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TabICLv2로 UPC의 cell 소속을</w:t>
        <w:br/>
        <w:t>수정하는 연구 방향</w:t>
      </w:r>
    </w:p>
    <w:p>
      <w:r>
        <w:rPr>
          <w:b/>
        </w:rPr>
        <w:t>예측 관계를 실제 관측값과 대조하는 clustering과 기존 RCTL의 결합</w:t>
      </w:r>
    </w:p>
    <w:p>
      <w:r>
        <w:rPr>
          <w:b w:val="0"/>
        </w:rPr>
        <w:t>연구 방향 검토안  |  2026년 10월 4일</w:t>
      </w:r>
    </w:p>
    <w:p>
      <w:pPr>
        <w:pStyle w:val="Heading1"/>
      </w:pPr>
      <w:r>
        <w:t>1 제안의 핵심과 연구할 이유</w:t>
      </w:r>
    </w:p>
    <w:p>
      <w:r>
        <w:rPr>
          <w:b w:val="0"/>
        </w:rPr>
        <w:t>UPC가 만든 cluster를 출발점으로 삼고, 함께 속한 cell의 최근 입력과 다음 트래픽의 관계가 충돌하는지 확인하여 소속을 수정하는 연구를 제안드립니다. TabICLv2는 이 관계를 추정하고, 별도 확인 구간의 실제값은 관계 차이를 뒷받침하는지 판단하는 데 사용합니다. 소속을 확정한 뒤에는 기존 RCTL이 전체 실제 자료로 최종 예측을 학습합니다.</w:t>
      </w:r>
    </w:p>
    <w:p>
      <w:r>
        <w:rPr>
          <w:b w:val="0"/>
        </w:rPr>
        <w:t>UPC의 피크 시간과 PCC는 하루 흐름의 유사성을 잘 요약합니다. PCC도 세부 변화에 반응하므로 UPC가 전체 흐름만 본다고 설명하는 것은 정확하지 않습니다. 다만 같은 시간에 비슷하게 움직이는 cell이라도, 같은 최근 이력과 시간대에서 이후 값이 달라질 수 있습니다. 이 차이가 UPC의 일부 소속을 수정할 추가 근거가 되는지 확인하는 것이 연구의 중심입니다.</w:t>
      </w:r>
    </w:p>
    <w:p>
      <w:pPr>
        <w:pStyle w:val="Heading2"/>
      </w:pPr>
      <w:r>
        <w:t>이번에 확인한 착수 근거</w:t>
      </w:r>
    </w:p>
    <w:p>
      <w:r>
        <w:rPr>
          <w:b w:val="0"/>
        </w:rPr>
        <w:t>16개 cell·K=4의 개발 비교에서 Tab 관계 점수는 세 cell을 이동시켰습니다. 그 소속을 고정한 RCTL은 작은 UPC 기준보다 전체 MAE가 3.97% 낮았습니다. 같은 Tab 예측을 단순 중앙값 거리나 정답 없는 점수로 비교하면 UPC 소속이 유지됐습니다. 따라서 예측기를 바꾸는 것에 더해, 예측 관계를 관측값과 대조하는 결정 자체에 연구할 근거가 있습니다.</w:t>
      </w:r>
    </w:p>
    <w:p>
      <w:r>
        <w:rPr>
          <w:b w:val="0"/>
        </w:rPr>
        <w:t>강한 기존 HGB 소속보다 전체 MAE는 1.93% 낮았지만 앞 절반에서는 2.71% 높았습니다. 현재 결과는 본 실험을 시작할 근거이며 모든 기간의 우위를 확정한 결과는 아닙니다. 추가 fine-tuning이나 보정 모듈 없이, 구현한 규칙을 고정하여 검증하는 방향을 제안드립니다.</w:t>
      </w:r>
    </w:p>
    <w:p>
      <w:pPr>
        <w:pStyle w:val="Heading2"/>
      </w:pPr>
      <w:r>
        <w:t>TabICLv2와 RCTL의 역할</w:t>
      </w:r>
    </w:p>
    <w:p>
      <w:r>
        <w:rPr>
          <w:b w:val="0"/>
        </w:rPr>
        <w:t>TabICLv2는 cell별 입력과 실제 정답을 context로 참고하는 사전학습 회귀 모델입니다. 공개 가중치를 고정하고 조건부 분위수를 구하므로 cell마다 신경망을 다시 최적화하지 않습니다. context 준비와 추론에는 비용이 듭니다. RCTL에는 Tab의 예측값이나 가중치를 넘기지 않고, 확정된 cell 소속과 전체 실제 학습 자료만 전달합니다. [1·2]</w:t>
      </w:r>
    </w:p>
    <w:p>
      <w:pPr>
        <w:pStyle w:val="Heading1"/>
        <w:pageBreakBefore/>
      </w:pPr>
      <w:r>
        <w:t>2 알고리즘 흐름과 비교 자료</w:t>
      </w:r>
    </w:p>
    <w:p>
      <w:pPr>
        <w:pStyle w:val="Heading2"/>
      </w:pPr>
      <w:r>
        <w:t>첫째 하루와 주간 흐름을 입력에 명시합니다</w:t>
      </w:r>
    </w:p>
    <w:p>
      <w:r>
        <w:rPr>
          <w:b w:val="0"/>
        </w:rPr>
        <w:t>한 sample은 현재까지 관측한 입력과 다음 시점의 실제 트래픽을 묶은 한 행입니다. 입력은 최근 8개 lag, 전일·전주 lag, 24시간 평균·표준편차, 시각·요일의 sin/cos인 16열입니다. 이 구성으로 최근 변화와 하루·요일 흐름을 함께 전달합니다. 여러 행을 날짜순으로 배치하는 것만으로 전체 흐름이 전달된다고 가정하지 않습니다.</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24"/>
        <w:gridCol w:w="7313"/>
      </w:tblGrid>
      <w:tr>
        <w:trPr>
          <w:cantSplit/>
          <w:tblHeader/>
        </w:trPr>
        <w:tc>
          <w:tcPr>
            <w:tcW w:type="dxa" w:w="2324"/>
            <w:vAlign w:val="center"/>
            <w:tcMar>
              <w:top w:w="90" w:type="dxa"/>
              <w:bottom w:w="90" w:type="dxa"/>
              <w:left w:w="100" w:type="dxa"/>
              <w:right w:w="100" w:type="dxa"/>
            </w:tcMar>
            <w:shd w:fill="E8EDF2"/>
          </w:tcPr>
          <w:p>
            <w:pPr>
              <w:spacing w:after="0" w:line="259" w:lineRule="auto"/>
            </w:pPr>
            <w:r>
              <w:rPr>
                <w:b/>
                <w:sz w:val="18"/>
              </w:rPr>
              <w:t>자료의 용도</w:t>
            </w:r>
          </w:p>
        </w:tc>
        <w:tc>
          <w:tcPr>
            <w:tcW w:type="dxa" w:w="7313"/>
            <w:vAlign w:val="center"/>
            <w:tcMar>
              <w:top w:w="90" w:type="dxa"/>
              <w:bottom w:w="90" w:type="dxa"/>
              <w:left w:w="100" w:type="dxa"/>
              <w:right w:w="100" w:type="dxa"/>
            </w:tcMar>
            <w:shd w:fill="E8EDF2"/>
          </w:tcPr>
          <w:p>
            <w:pPr>
              <w:spacing w:after="0" w:line="259" w:lineRule="auto"/>
            </w:pPr>
            <w:r>
              <w:rPr>
                <w:b/>
                <w:sz w:val="18"/>
              </w:rPr>
              <w:t>현재 작은 확인의 구성</w:t>
            </w:r>
          </w:p>
        </w:tc>
      </w:tr>
      <w:tr>
        <w:trPr>
          <w:cantSplit/>
        </w:trPr>
        <w:tc>
          <w:tcPr>
            <w:tcW w:type="dxa" w:w="2324"/>
            <w:vAlign w:val="center"/>
            <w:tcMar>
              <w:top w:w="90" w:type="dxa"/>
              <w:bottom w:w="90" w:type="dxa"/>
              <w:left w:w="100" w:type="dxa"/>
              <w:right w:w="100" w:type="dxa"/>
            </w:tcMar>
          </w:tcPr>
          <w:p>
            <w:pPr>
              <w:spacing w:after="0" w:line="259" w:lineRule="auto"/>
            </w:pPr>
            <w:r>
              <w:rPr>
                <w:b w:val="0"/>
                <w:sz w:val="18"/>
              </w:rPr>
              <w:t>cell별 context</w:t>
            </w:r>
          </w:p>
        </w:tc>
        <w:tc>
          <w:tcPr>
            <w:tcW w:type="dxa" w:w="7313"/>
            <w:vAlign w:val="center"/>
            <w:tcMar>
              <w:top w:w="90" w:type="dxa"/>
              <w:bottom w:w="90" w:type="dxa"/>
              <w:left w:w="100" w:type="dxa"/>
              <w:right w:w="100" w:type="dxa"/>
            </w:tcMar>
          </w:tcPr>
          <w:p>
            <w:pPr>
              <w:spacing w:after="0" w:line="259" w:lineRule="auto"/>
            </w:pPr>
            <w:r>
              <w:rPr>
                <w:b w:val="0"/>
                <w:sz w:val="18"/>
              </w:rPr>
              <w:t>target 168–671의 전체 504개 sample</w:t>
            </w:r>
          </w:p>
        </w:tc>
      </w:tr>
      <w:tr>
        <w:trPr>
          <w:cantSplit/>
        </w:trPr>
        <w:tc>
          <w:tcPr>
            <w:tcW w:type="dxa" w:w="2324"/>
            <w:vAlign w:val="center"/>
            <w:tcMar>
              <w:top w:w="90" w:type="dxa"/>
              <w:bottom w:w="90" w:type="dxa"/>
              <w:left w:w="100" w:type="dxa"/>
              <w:right w:w="100" w:type="dxa"/>
            </w:tcMar>
          </w:tcPr>
          <w:p>
            <w:pPr>
              <w:spacing w:after="0" w:line="259" w:lineRule="auto"/>
            </w:pPr>
            <w:r>
              <w:rPr>
                <w:b w:val="0"/>
                <w:sz w:val="18"/>
              </w:rPr>
              <w:t>clustering query</w:t>
            </w:r>
          </w:p>
        </w:tc>
        <w:tc>
          <w:tcPr>
            <w:tcW w:type="dxa" w:w="7313"/>
            <w:vAlign w:val="center"/>
            <w:tcMar>
              <w:top w:w="90" w:type="dxa"/>
              <w:bottom w:w="90" w:type="dxa"/>
              <w:left w:w="100" w:type="dxa"/>
              <w:right w:w="100" w:type="dxa"/>
            </w:tcMar>
          </w:tcPr>
          <w:p>
            <w:pPr>
              <w:spacing w:after="0" w:line="259" w:lineRule="auto"/>
            </w:pPr>
            <w:r>
              <w:rPr>
                <w:b w:val="0"/>
                <w:sz w:val="18"/>
              </w:rPr>
              <w:t>target 672–839 중 고정한 64개 입력과 실제 정답</w:t>
              <w:br/>
              <w:t>앞 32개와 뒤 32개로 구분</w:t>
            </w:r>
          </w:p>
        </w:tc>
      </w:tr>
      <w:tr>
        <w:trPr>
          <w:cantSplit/>
        </w:trPr>
        <w:tc>
          <w:tcPr>
            <w:tcW w:type="dxa" w:w="2324"/>
            <w:vAlign w:val="center"/>
            <w:tcMar>
              <w:top w:w="90" w:type="dxa"/>
              <w:bottom w:w="90" w:type="dxa"/>
              <w:left w:w="100" w:type="dxa"/>
              <w:right w:w="100" w:type="dxa"/>
            </w:tcMar>
          </w:tcPr>
          <w:p>
            <w:pPr>
              <w:spacing w:after="0" w:line="259" w:lineRule="auto"/>
            </w:pPr>
            <w:r>
              <w:rPr>
                <w:b w:val="0"/>
                <w:sz w:val="18"/>
              </w:rPr>
              <w:t>소속 확정 후 RCTL 학습</w:t>
            </w:r>
          </w:p>
        </w:tc>
        <w:tc>
          <w:tcPr>
            <w:tcW w:type="dxa" w:w="7313"/>
            <w:vAlign w:val="center"/>
            <w:tcMar>
              <w:top w:w="90" w:type="dxa"/>
              <w:bottom w:w="90" w:type="dxa"/>
              <w:left w:w="100" w:type="dxa"/>
              <w:right w:w="100" w:type="dxa"/>
            </w:tcMar>
          </w:tcPr>
          <w:p>
            <w:pPr>
              <w:spacing w:after="0" w:line="259" w:lineRule="auto"/>
            </w:pPr>
            <w:r>
              <w:rPr>
                <w:b w:val="0"/>
                <w:sz w:val="18"/>
              </w:rPr>
              <w:t>target 168–839의 전체 실제 자료</w:t>
            </w:r>
          </w:p>
        </w:tc>
      </w:tr>
      <w:tr>
        <w:trPr>
          <w:cantSplit/>
        </w:trPr>
        <w:tc>
          <w:tcPr>
            <w:tcW w:type="dxa" w:w="2324"/>
            <w:vAlign w:val="center"/>
            <w:tcMar>
              <w:top w:w="90" w:type="dxa"/>
              <w:bottom w:w="90" w:type="dxa"/>
              <w:left w:w="100" w:type="dxa"/>
              <w:right w:w="100" w:type="dxa"/>
            </w:tcMar>
          </w:tcPr>
          <w:p>
            <w:pPr>
              <w:spacing w:after="0" w:line="259" w:lineRule="auto"/>
            </w:pPr>
            <w:r>
              <w:rPr>
                <w:b w:val="0"/>
                <w:sz w:val="18"/>
              </w:rPr>
              <w:t>RCTL validation과 연결 확인</w:t>
            </w:r>
          </w:p>
        </w:tc>
        <w:tc>
          <w:tcPr>
            <w:tcW w:type="dxa" w:w="7313"/>
            <w:vAlign w:val="center"/>
            <w:tcMar>
              <w:top w:w="90" w:type="dxa"/>
              <w:bottom w:w="90" w:type="dxa"/>
              <w:left w:w="100" w:type="dxa"/>
              <w:right w:w="100" w:type="dxa"/>
            </w:tcMar>
          </w:tcPr>
          <w:p>
            <w:pPr>
              <w:spacing w:after="0" w:line="259" w:lineRule="auto"/>
            </w:pPr>
            <w:r>
              <w:rPr>
                <w:b w:val="0"/>
                <w:sz w:val="18"/>
              </w:rPr>
              <w:t>validation 840–1007</w:t>
              <w:br/>
              <w:t>연결 확인 1008–1487의 480시점</w:t>
            </w:r>
          </w:p>
        </w:tc>
      </w:tr>
    </w:tbl>
    <w:p>
      <w:pPr>
        <w:spacing w:after="0"/>
      </w:pPr>
    </w:p>
    <w:p>
      <w:r>
        <w:rPr>
          <w:b w:val="0"/>
        </w:rPr>
        <w:t>숫자는 시간 단위 인덱스이며 모든 기간은 개발 자료입니다. 정규화는 cell별 첫 672시간 평균 척도로 고정합니다. query 정답은 관계 점수에만 사용하고 분포 모델의 context에는 넣지 않습니다. RCTL 학습은 소속이 확정된 뒤 앞의 개발 자료 전체를 사용할 수 있습니다.</w:t>
      </w:r>
    </w:p>
    <w:p>
      <w:pPr>
        <w:pStyle w:val="Heading2"/>
      </w:pPr>
      <w:r>
        <w:t>둘째 하루 profile로 비교할 cell을 먼저 좁힙니다</w:t>
      </w:r>
    </w:p>
    <w:p>
      <w:r>
        <w:rPr>
          <w:b w:val="0"/>
        </w:rPr>
        <w:t>앞 구간의 target을 시각별로 평균하여 24차원 profile을 만들고 L2 정규화합니다. cell마다 가까운 이웃 8개를 검색하고 양방향 결과를 합칩니다. 현재 16개 cell에서 79개 pair가 남았습니다. 모든 pair에 Tab을 실행한 뒤 후보를 줄이는 방식이 아닙니다.</w:t>
      </w:r>
    </w:p>
    <w:p>
      <w:r>
        <w:rPr>
          <w:b w:val="0"/>
        </w:rPr>
        <w:t>각 pair의 앞 구간 입력으로 작은 HGB 분류기를 학습하여 sample의 출처 확률 p를 구합니다. p가 0.1–0.9인 입력이 각 cell·각 query 절반에 8개 이상, 2개 날짜 이상 있어야 비교합니다. 입력 겹침이 부족하면 미판정으로 남깁니다. 후보 검색과 출처 분류는 TabICLv2의 역할이 아닙니다.</w:t>
      </w:r>
    </w:p>
    <w:p>
      <w:pPr>
        <w:pStyle w:val="Heading2"/>
      </w:pPr>
      <w:r>
        <w:t>셋째 cell별 분포를 한 번 준비하고 이웃이 재사용합니다</w:t>
      </w:r>
    </w:p>
    <w:p>
      <w:r>
        <w:rPr>
          <w:b w:val="0"/>
        </w:rPr>
        <w:t>지원 pair에 등장하는 cell별로 자기 504개 sample을 context로 준비합니다. 해당 cell과 이웃의 query에서 0.1–0.9의 9개 분위수를 구합니다. 동일한 예측을 여러 pair가 재사용하므로 소속 이동마다 Tab을 다시 준비하지 않습니다. 실제로 14개 cell의 분포와 3,712개 고유 query 예측 행을 확보했습니다.</w:t>
      </w:r>
    </w:p>
    <w:p>
      <w:pPr>
        <w:pStyle w:val="Heading1"/>
        <w:pageBreakBefore/>
      </w:pPr>
      <w:r>
        <w:t>3 관계 점수로 소속을 수정합니다</w:t>
      </w:r>
    </w:p>
    <w:p>
      <w:pPr>
        <w:pStyle w:val="Heading2"/>
      </w:pPr>
      <w:r>
        <w:t>넷째 추정한 관계를 실제 정답과 대조합니다</w:t>
      </w:r>
    </w:p>
    <w:p>
      <w:r>
        <w:rPr>
          <w:b w:val="0"/>
        </w:rPr>
        <w:t>같은 입력에서 두 cell의 조건부분포를 비교하여 공통 중앙 기준 q를 정합니다. 실제 다음 값이 q보다 위인지 아래인지 확인하고, 두 cell의 결과가 서로 다른 방향으로 치우치는지 계산합니다. 입력 출처 비중과 기준 주변의 밀도를 반영하며, 차이의 방향은 앞 구간으로 만든 모델에서 정합니다. query 정답을 보고 방향을 뒤집지 않습니다.</w:t>
      </w:r>
    </w:p>
    <w:p>
      <w:r>
        <w:rPr>
          <w:b w:val="0"/>
        </w:rPr>
        <w:t>구현식은 S = w(D − a){0.5 − 1[Y ≤ q]}입니다. D는 sample의 출처 cell, a는 q 주변 밀도로 보정한 출처 비중, w는 두 분포 차이의 방향입니다. S의 범위는 −0.5부터 0.5입니다. 각 query 절반에서 cell별 평균을 구하고 두 평균에 같은 비중을 준 뒤 양의 부분을 pair 비용으로 사용합니다. 정확한 q·a·w와 보간 규칙은 동봉 보고서 4.4절에 적었습니다.</w:t>
      </w:r>
    </w:p>
    <w:p>
      <w:r>
        <w:rPr>
          <w:b w:val="0"/>
        </w:rPr>
        <w:t>이 값은 실제 RCTL의 MAE 증가량이나 통계적 검정 결과가 아닙니다. 낮은 점수가 두 cell의 동일성을 증명하지도 않습니다. 9분위수 사이의 선형 보간이 불가능하거나 혼합 밀도가 0이면 미판정입니다. 현재 비교는 Tab과 HGB 모두 계산 가능한 구간의 교집합을 사용하여 22개 pair를 남겼습니다. 따라서 HGB 분포 준비도 현재 구현의 지원 판단과 전체 비용에 포함됩니다.</w:t>
      </w:r>
    </w:p>
    <w:p>
      <w:pPr>
        <w:pStyle w:val="Heading2"/>
      </w:pPr>
      <w:r>
        <w:t>다섯째 두 시간 구간에서 모두 충돌이 줄 때 이동합니다</w:t>
      </w:r>
    </w:p>
    <w:p>
      <w:r>
        <w:rPr>
          <w:b w:val="0"/>
        </w:rPr>
        <w:t>UPC의 초기 K=4에서 출발합니다. 목적값은 같은 cluster 내부의 유효 pair 비용 합입니다. cell 번호순으로 최대 세 번 순회하며 다음 조건을 모두 만족하는 이동만 허용합니다.</w:t>
      </w:r>
    </w:p>
    <w:p>
      <w:pPr>
        <w:pStyle w:val="ListBullet"/>
      </w:pPr>
      <w:r>
        <w:t>이동 후 출발 cluster가 비지 않아야 합니다.</w:t>
      </w:r>
    </w:p>
    <w:p>
      <w:pPr>
        <w:pStyle w:val="ListBullet"/>
      </w:pPr>
      <w:r>
        <w:t>목적지에 유효 pair로 연결된 cell이 두 개 이상 있어야 합니다.</w:t>
      </w:r>
    </w:p>
    <w:p>
      <w:pPr>
        <w:pStyle w:val="ListBullet"/>
      </w:pPr>
      <w:r>
        <w:t>앞·뒤 query 절반의 목적값이 각각 1e−12보다 크게 감소해야 합니다.</w:t>
      </w:r>
    </w:p>
    <w:p>
      <w:r>
        <w:rPr>
          <w:b w:val="0"/>
        </w:rPr>
        <w:t>목적지가 여러 곳이면 두 구간 감소량 평균이 가장 큰 곳을 선택하고, 동점은 cluster 번호순으로 정합니다. 이동 없는 순회 또는 세 번째 순회에서 종료합니다. 현재 Tab 점수는 3745·6153·3765를 group 3으로 옮겼고 HGB 점수는 3745만 옮겼습니다. K는 모두 4입니다.</w:t>
      </w:r>
    </w:p>
    <w:p>
      <w:pPr>
        <w:pStyle w:val="Heading2"/>
      </w:pPr>
      <w:r>
        <w:t>여섯째 소속을 고정한 뒤 기존 RCTL을 학습합니다</w:t>
      </w:r>
    </w:p>
    <w:p>
      <w:r>
        <w:rPr>
          <w:b w:val="0"/>
        </w:rPr>
        <w:t>RCTL의 TCN·LSTM·이중 잔차 구조와 학습 규칙을 유지합니다. 현재 재현은 8×9 입력, MAE, Adam, batch 256, 최대 80epoch, validation patience 10입니다. cluster의 전체 실제 입력·정답을 사용하며 Tab 분포나 일부 context로 대체하지 않습니다. RCTL 결과는 앞의 소속 이동이나 임계값 조정에 사용하지 않습니다.</w:t>
      </w:r>
    </w:p>
    <w:p>
      <w:r>
        <w:rPr>
          <w:b w:val="0"/>
        </w:rPr>
        <w:t>확인하지 않은 pair는 동일 관계로 인증하지 않습니다. 비용 합은 group 크기와 이웃 수에 영향을 받고 singleton도 허용됩니다. 이 한계 때문에 목적값 감소만으로 성공을 선언하지 않고 고정 소속의 RCTL을 실제로 확인했습니다.</w:t>
      </w:r>
    </w:p>
    <w:p>
      <w:pPr>
        <w:pStyle w:val="Heading1"/>
        <w:pageBreakBefore/>
      </w:pPr>
      <w:r>
        <w:t>4 선행연구에서 이어받은 것과 차별점</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41"/>
        <w:gridCol w:w="3118"/>
        <w:gridCol w:w="4479"/>
      </w:tblGrid>
      <w:tr>
        <w:trPr>
          <w:cantSplit/>
          <w:tblHeader/>
        </w:trPr>
        <w:tc>
          <w:tcPr>
            <w:tcW w:type="dxa" w:w="2041"/>
            <w:vAlign w:val="center"/>
            <w:tcMar>
              <w:top w:w="90" w:type="dxa"/>
              <w:bottom w:w="90" w:type="dxa"/>
              <w:left w:w="100" w:type="dxa"/>
              <w:right w:w="100" w:type="dxa"/>
            </w:tcMar>
            <w:shd w:fill="E8EDF2"/>
          </w:tcPr>
          <w:p>
            <w:pPr>
              <w:spacing w:after="0" w:line="259" w:lineRule="auto"/>
            </w:pPr>
            <w:r>
              <w:rPr>
                <w:b/>
                <w:sz w:val="18"/>
              </w:rPr>
              <w:t>가까운 연구</w:t>
            </w:r>
          </w:p>
        </w:tc>
        <w:tc>
          <w:tcPr>
            <w:tcW w:type="dxa" w:w="3118"/>
            <w:vAlign w:val="center"/>
            <w:tcMar>
              <w:top w:w="90" w:type="dxa"/>
              <w:bottom w:w="90" w:type="dxa"/>
              <w:left w:w="100" w:type="dxa"/>
              <w:right w:w="100" w:type="dxa"/>
            </w:tcMar>
            <w:shd w:fill="E8EDF2"/>
          </w:tcPr>
          <w:p>
            <w:pPr>
              <w:spacing w:after="0" w:line="259" w:lineRule="auto"/>
            </w:pPr>
            <w:r>
              <w:rPr>
                <w:b/>
                <w:sz w:val="18"/>
              </w:rPr>
              <w:t>기존 소속 결정</w:t>
            </w:r>
          </w:p>
        </w:tc>
        <w:tc>
          <w:tcPr>
            <w:tcW w:type="dxa" w:w="4479"/>
            <w:vAlign w:val="center"/>
            <w:tcMar>
              <w:top w:w="90" w:type="dxa"/>
              <w:bottom w:w="90" w:type="dxa"/>
              <w:left w:w="100" w:type="dxa"/>
              <w:right w:w="100" w:type="dxa"/>
            </w:tcMar>
            <w:shd w:fill="E8EDF2"/>
          </w:tcPr>
          <w:p>
            <w:pPr>
              <w:spacing w:after="0" w:line="259" w:lineRule="auto"/>
            </w:pPr>
            <w:r>
              <w:rPr>
                <w:b/>
                <w:sz w:val="18"/>
              </w:rPr>
              <w:t>현재 연구에서 확인할 차이</w:t>
            </w:r>
          </w:p>
        </w:tc>
      </w:tr>
      <w:tr>
        <w:trPr>
          <w:cantSplit/>
        </w:trPr>
        <w:tc>
          <w:tcPr>
            <w:tcW w:type="dxa" w:w="2041"/>
            <w:vAlign w:val="center"/>
            <w:tcMar>
              <w:top w:w="90" w:type="dxa"/>
              <w:bottom w:w="90" w:type="dxa"/>
              <w:left w:w="100" w:type="dxa"/>
              <w:right w:w="100" w:type="dxa"/>
            </w:tcMar>
          </w:tcPr>
          <w:p>
            <w:pPr>
              <w:spacing w:after="0" w:line="259" w:lineRule="auto"/>
            </w:pPr>
            <w:r>
              <w:rPr>
                <w:b w:val="0"/>
                <w:sz w:val="18"/>
              </w:rPr>
              <w:t>UPC와 RCTL [1]</w:t>
            </w:r>
          </w:p>
        </w:tc>
        <w:tc>
          <w:tcPr>
            <w:tcW w:type="dxa" w:w="3118"/>
            <w:vAlign w:val="center"/>
            <w:tcMar>
              <w:top w:w="90" w:type="dxa"/>
              <w:bottom w:w="90" w:type="dxa"/>
              <w:left w:w="100" w:type="dxa"/>
              <w:right w:w="100" w:type="dxa"/>
            </w:tcMar>
          </w:tcPr>
          <w:p>
            <w:pPr>
              <w:spacing w:after="0" w:line="259" w:lineRule="auto"/>
            </w:pPr>
            <w:r>
              <w:rPr>
                <w:b w:val="0"/>
                <w:sz w:val="18"/>
              </w:rPr>
              <w:t>피크 시간 그룹과 평균 파형 PCC</w:t>
            </w:r>
          </w:p>
        </w:tc>
        <w:tc>
          <w:tcPr>
            <w:tcW w:type="dxa" w:w="4479"/>
            <w:vAlign w:val="center"/>
            <w:tcMar>
              <w:top w:w="90" w:type="dxa"/>
              <w:bottom w:w="90" w:type="dxa"/>
              <w:left w:w="100" w:type="dxa"/>
              <w:right w:w="100" w:type="dxa"/>
            </w:tcMar>
          </w:tcPr>
          <w:p>
            <w:pPr>
              <w:spacing w:after="0" w:line="259" w:lineRule="auto"/>
            </w:pPr>
            <w:r>
              <w:rPr>
                <w:b w:val="0"/>
                <w:sz w:val="18"/>
              </w:rPr>
              <w:t>초기 UPC를 유지하며 별도 관측 정답으로 관계를 확인해 cell 소속 수정</w:t>
            </w:r>
          </w:p>
        </w:tc>
      </w:tr>
      <w:tr>
        <w:trPr>
          <w:cantSplit/>
        </w:trPr>
        <w:tc>
          <w:tcPr>
            <w:tcW w:type="dxa" w:w="2041"/>
            <w:vAlign w:val="center"/>
            <w:tcMar>
              <w:top w:w="90" w:type="dxa"/>
              <w:bottom w:w="90" w:type="dxa"/>
              <w:left w:w="100" w:type="dxa"/>
              <w:right w:w="100" w:type="dxa"/>
            </w:tcMar>
          </w:tcPr>
          <w:p>
            <w:pPr>
              <w:spacing w:after="0" w:line="259" w:lineRule="auto"/>
            </w:pPr>
            <w:r>
              <w:rPr>
                <w:b w:val="0"/>
                <w:sz w:val="18"/>
              </w:rPr>
              <w:t>Zhang 등 2019 [4]</w:t>
            </w:r>
          </w:p>
        </w:tc>
        <w:tc>
          <w:tcPr>
            <w:tcW w:type="dxa" w:w="3118"/>
            <w:vAlign w:val="center"/>
            <w:tcMar>
              <w:top w:w="90" w:type="dxa"/>
              <w:bottom w:w="90" w:type="dxa"/>
              <w:left w:w="100" w:type="dxa"/>
              <w:right w:w="100" w:type="dxa"/>
            </w:tcMar>
          </w:tcPr>
          <w:p>
            <w:pPr>
              <w:spacing w:after="0" w:line="259" w:lineRule="auto"/>
            </w:pPr>
            <w:r>
              <w:rPr>
                <w:b w:val="0"/>
                <w:sz w:val="18"/>
              </w:rPr>
              <w:t>group 분위수 손실로 배정하고 공동 회귀 반복 적합</w:t>
            </w:r>
          </w:p>
        </w:tc>
        <w:tc>
          <w:tcPr>
            <w:tcW w:type="dxa" w:w="4479"/>
            <w:vAlign w:val="center"/>
            <w:tcMar>
              <w:top w:w="90" w:type="dxa"/>
              <w:bottom w:w="90" w:type="dxa"/>
              <w:left w:w="100" w:type="dxa"/>
              <w:right w:w="100" w:type="dxa"/>
            </w:tcMar>
          </w:tcPr>
          <w:p>
            <w:pPr>
              <w:spacing w:after="0" w:line="259" w:lineRule="auto"/>
            </w:pPr>
            <w:r>
              <w:rPr>
                <w:b w:val="0"/>
                <w:sz w:val="18"/>
              </w:rPr>
              <w:t>최근 입력과 다음 값의 관계로 묶는 발상 자체는 기존 내용</w:t>
            </w:r>
          </w:p>
        </w:tc>
      </w:tr>
      <w:tr>
        <w:trPr>
          <w:cantSplit/>
        </w:trPr>
        <w:tc>
          <w:tcPr>
            <w:tcW w:type="dxa" w:w="2041"/>
            <w:vAlign w:val="center"/>
            <w:tcMar>
              <w:top w:w="90" w:type="dxa"/>
              <w:bottom w:w="90" w:type="dxa"/>
              <w:left w:w="100" w:type="dxa"/>
              <w:right w:w="100" w:type="dxa"/>
            </w:tcMar>
          </w:tcPr>
          <w:p>
            <w:pPr>
              <w:spacing w:after="0" w:line="259" w:lineRule="auto"/>
            </w:pPr>
            <w:r>
              <w:rPr>
                <w:b w:val="0"/>
                <w:sz w:val="18"/>
              </w:rPr>
              <w:t>Yu 등 2024 [5]</w:t>
            </w:r>
          </w:p>
        </w:tc>
        <w:tc>
          <w:tcPr>
            <w:tcW w:type="dxa" w:w="3118"/>
            <w:vAlign w:val="center"/>
            <w:tcMar>
              <w:top w:w="90" w:type="dxa"/>
              <w:bottom w:w="90" w:type="dxa"/>
              <w:left w:w="100" w:type="dxa"/>
              <w:right w:w="100" w:type="dxa"/>
            </w:tcMar>
          </w:tcPr>
          <w:p>
            <w:pPr>
              <w:spacing w:after="0" w:line="259" w:lineRule="auto"/>
            </w:pPr>
            <w:r>
              <w:rPr>
                <w:b w:val="0"/>
                <w:sz w:val="18"/>
              </w:rPr>
              <w:t>개별 파라미터 차이를 추정 분산으로 보정하고 spectral clustering</w:t>
            </w:r>
          </w:p>
        </w:tc>
        <w:tc>
          <w:tcPr>
            <w:tcW w:type="dxa" w:w="4479"/>
            <w:vAlign w:val="center"/>
            <w:tcMar>
              <w:top w:w="90" w:type="dxa"/>
              <w:bottom w:w="90" w:type="dxa"/>
              <w:left w:w="100" w:type="dxa"/>
              <w:right w:w="100" w:type="dxa"/>
            </w:tcMar>
          </w:tcPr>
          <w:p>
            <w:pPr>
              <w:spacing w:after="0" w:line="259" w:lineRule="auto"/>
            </w:pPr>
            <w:r>
              <w:rPr>
                <w:b w:val="0"/>
                <w:sz w:val="18"/>
              </w:rPr>
              <w:t>개별 추정 재사용도 기존 내용. 현재는 관측 정답 반응으로 비교</w:t>
            </w:r>
          </w:p>
        </w:tc>
      </w:tr>
      <w:tr>
        <w:trPr>
          <w:cantSplit/>
        </w:trPr>
        <w:tc>
          <w:tcPr>
            <w:tcW w:type="dxa" w:w="2041"/>
            <w:vAlign w:val="center"/>
            <w:tcMar>
              <w:top w:w="90" w:type="dxa"/>
              <w:bottom w:w="90" w:type="dxa"/>
              <w:left w:w="100" w:type="dxa"/>
              <w:right w:w="100" w:type="dxa"/>
            </w:tcMar>
          </w:tcPr>
          <w:p>
            <w:pPr>
              <w:spacing w:after="0" w:line="259" w:lineRule="auto"/>
            </w:pPr>
            <w:r>
              <w:rPr>
                <w:b w:val="0"/>
                <w:sz w:val="18"/>
              </w:rPr>
              <w:t>Yang 등 2024 [6]</w:t>
            </w:r>
          </w:p>
        </w:tc>
        <w:tc>
          <w:tcPr>
            <w:tcW w:type="dxa" w:w="3118"/>
            <w:vAlign w:val="center"/>
            <w:tcMar>
              <w:top w:w="90" w:type="dxa"/>
              <w:bottom w:w="90" w:type="dxa"/>
              <w:left w:w="100" w:type="dxa"/>
              <w:right w:w="100" w:type="dxa"/>
            </w:tcMar>
          </w:tcPr>
          <w:p>
            <w:pPr>
              <w:spacing w:after="0" w:line="259" w:lineRule="auto"/>
            </w:pPr>
            <w:r>
              <w:rPr>
                <w:b w:val="0"/>
                <w:sz w:val="18"/>
              </w:rPr>
              <w:t>상태별 분위수 계수 함수의 거리로 clustering 후 공동 추정</w:t>
            </w:r>
          </w:p>
        </w:tc>
        <w:tc>
          <w:tcPr>
            <w:tcW w:type="dxa" w:w="4479"/>
            <w:vAlign w:val="center"/>
            <w:tcMar>
              <w:top w:w="90" w:type="dxa"/>
              <w:bottom w:w="90" w:type="dxa"/>
              <w:left w:w="100" w:type="dxa"/>
              <w:right w:w="100" w:type="dxa"/>
            </w:tcMar>
          </w:tcPr>
          <w:p>
            <w:pPr>
              <w:spacing w:after="0" w:line="259" w:lineRule="auto"/>
            </w:pPr>
            <w:r>
              <w:rPr>
                <w:b w:val="0"/>
                <w:sz w:val="18"/>
              </w:rPr>
              <w:t>비선형 관계와 단계 분리도 기존 내용. 실제 정답 score의 추가 결정이 핵심</w:t>
            </w:r>
          </w:p>
        </w:tc>
      </w:tr>
      <w:tr>
        <w:trPr>
          <w:cantSplit/>
        </w:trPr>
        <w:tc>
          <w:tcPr>
            <w:tcW w:type="dxa" w:w="2041"/>
            <w:vAlign w:val="center"/>
            <w:tcMar>
              <w:top w:w="90" w:type="dxa"/>
              <w:bottom w:w="90" w:type="dxa"/>
              <w:left w:w="100" w:type="dxa"/>
              <w:right w:w="100" w:type="dxa"/>
            </w:tcMar>
          </w:tcPr>
          <w:p>
            <w:pPr>
              <w:spacing w:after="0" w:line="259" w:lineRule="auto"/>
            </w:pPr>
            <w:r>
              <w:rPr>
                <w:b w:val="0"/>
                <w:sz w:val="18"/>
              </w:rPr>
              <w:t>Predictive population clustering [7]</w:t>
            </w:r>
          </w:p>
        </w:tc>
        <w:tc>
          <w:tcPr>
            <w:tcW w:type="dxa" w:w="3118"/>
            <w:vAlign w:val="center"/>
            <w:tcMar>
              <w:top w:w="90" w:type="dxa"/>
              <w:bottom w:w="90" w:type="dxa"/>
              <w:left w:w="100" w:type="dxa"/>
              <w:right w:w="100" w:type="dxa"/>
            </w:tcMar>
          </w:tcPr>
          <w:p>
            <w:pPr>
              <w:spacing w:after="0" w:line="259" w:lineRule="auto"/>
            </w:pPr>
            <w:r>
              <w:rPr>
                <w:b w:val="0"/>
                <w:sz w:val="18"/>
              </w:rPr>
              <w:t>실제 pooled 모델의 validation 손실로 병합</w:t>
            </w:r>
          </w:p>
        </w:tc>
        <w:tc>
          <w:tcPr>
            <w:tcW w:type="dxa" w:w="4479"/>
            <w:vAlign w:val="center"/>
            <w:tcMar>
              <w:top w:w="90" w:type="dxa"/>
              <w:bottom w:w="90" w:type="dxa"/>
              <w:left w:w="100" w:type="dxa"/>
              <w:right w:w="100" w:type="dxa"/>
            </w:tcMar>
          </w:tcPr>
          <w:p>
            <w:pPr>
              <w:spacing w:after="0" w:line="259" w:lineRule="auto"/>
            </w:pPr>
            <w:r>
              <w:rPr>
                <w:b w:val="0"/>
                <w:sz w:val="18"/>
              </w:rPr>
              <w:t>반복 공동 적합을 피하는 대신 공동 학습 효용은 소속 고정 후 별도 확인</w:t>
            </w:r>
          </w:p>
        </w:tc>
      </w:tr>
    </w:tbl>
    <w:p>
      <w:pPr>
        <w:spacing w:after="0"/>
      </w:pPr>
    </w:p>
    <w:p>
      <w:r>
        <w:rPr>
          <w:b w:val="0"/>
        </w:rPr>
        <w:t>신규성은 ‘예측 관계로 clustering한다’거나 ‘TabICLv2를 쓴다’는 데 두지 않습니다. 같은 분포 추정을 확보했을 때, 실제 정답을 사용하는 관계 점수가 단순 함수 거리와 다른 유용한 소속을 만드는지가 구체적인 차별화 질문입니다. score의 보정 원리는 알려진 분위수 추정 계열이며 새로운 직교화 공식이라고 주장하지 않습니다. [4–7·16]</w:t>
      </w:r>
    </w:p>
    <w:p>
      <w:pPr>
        <w:pStyle w:val="Heading2"/>
      </w:pPr>
      <w:r>
        <w:t>네트워크 트래픽과 시계열 연구를 반영한 부분</w:t>
      </w:r>
    </w:p>
    <w:p>
      <w:r>
        <w:rPr>
          <w:b w:val="0"/>
        </w:rPr>
        <w:t>TabPFN-ST-AR는 도로 교통의 lag·시간·공간 정보를 표에 명시합니다. 이를 최근·일·주 이력과 달력을 포함한 입력 설계에 연결했습니다. TabPFN-TS는 해당 비자기회귀 설계에서 lag를 쓰지 않으므로 같은 근거로 묶지 않았습니다. 그 추세 외삽 한계는 관측 입력이 겹치는 범위만 비교하고 미지원 구간을 남기는 설계와 연결됩니다. [8·9]</w:t>
      </w:r>
    </w:p>
    <w:p>
      <w:r>
        <w:rPr>
          <w:b w:val="0"/>
        </w:rPr>
        <w:t>ISP 트래픽·MobiGPT·5G ICL 연구는 집계 수준, 도시, 사용 가능한 공변량이 결과를 바꾼다는 점에 반영했습니다. Milan에 없는 RSRP나 handover를 가정하지 않고 cell 결과를 IP나 새 도시의 성능으로 확대하지 않습니다. Traffic matrix clustering과 TIDES에 이미 clustering 후 예측 구조가 있으므로 단계의 순서 자체는 신규성이 아닙니다. [10–15]</w:t>
      </w:r>
    </w:p>
    <w:p>
      <w:pPr>
        <w:pStyle w:val="Heading2"/>
      </w:pPr>
      <w:r>
        <w:t>TabICLv2를 선택한 근거</w:t>
      </w:r>
    </w:p>
    <w:p>
      <w:r>
        <w:rPr>
          <w:b w:val="0"/>
        </w:rPr>
        <w:t>공개된 회귀 가중치와 분위수 출력, cell별 고정 context 재사용이 구현에 맞습니다. 같은 정보 HGB와 실제로 다른 소속 및 RCTL 결과를 얻었다는 근거도 있습니다. 회귀용 TabPFN으로 대체할 수 있으므로 Tab만 가능한 기능으로 설명하지 않습니다. 이번에 실행하지 않은 TabPFN의 성능이나 속도 우위는 판단하지 않습니다. [2·3]</w:t>
      </w:r>
    </w:p>
    <w:p>
      <w:pPr>
        <w:pStyle w:val="Heading1"/>
        <w:pageBreakBefore/>
      </w:pPr>
      <w:r>
        <w:t>5 확인한 결과와 실제 비용</w:t>
      </w:r>
    </w:p>
    <w:p>
      <w:r>
        <w:rPr>
          <w:b w:val="0"/>
        </w:rPr>
        <w:t>다음은 같은 16개 cell·K=4의 cell별 정규화 MAE 평균입니다. 작은 값이 좋습니다. 소속을 먼저 고정하고 동일한 실제 자료와 RCTL 학습 규칙을 사용했습니다. 모든 기간은 개발 자료입니다.</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025"/>
        <w:gridCol w:w="1871"/>
        <w:gridCol w:w="1871"/>
        <w:gridCol w:w="1871"/>
      </w:tblGrid>
      <w:tr>
        <w:trPr>
          <w:cantSplit/>
          <w:tblHeader/>
        </w:trPr>
        <w:tc>
          <w:tcPr>
            <w:tcW w:type="dxa" w:w="4025"/>
            <w:vAlign w:val="center"/>
            <w:tcMar>
              <w:top w:w="90" w:type="dxa"/>
              <w:bottom w:w="90" w:type="dxa"/>
              <w:left w:w="100" w:type="dxa"/>
              <w:right w:w="100" w:type="dxa"/>
            </w:tcMar>
            <w:shd w:fill="E8EDF2"/>
          </w:tcPr>
          <w:p>
            <w:pPr>
              <w:spacing w:after="0" w:line="259" w:lineRule="auto"/>
            </w:pPr>
            <w:r>
              <w:rPr>
                <w:b/>
                <w:sz w:val="18"/>
              </w:rPr>
              <w:t>소속 결정</w:t>
            </w:r>
          </w:p>
        </w:tc>
        <w:tc>
          <w:tcPr>
            <w:tcW w:type="dxa" w:w="1871"/>
            <w:vAlign w:val="center"/>
            <w:tcMar>
              <w:top w:w="90" w:type="dxa"/>
              <w:bottom w:w="90" w:type="dxa"/>
              <w:left w:w="100" w:type="dxa"/>
              <w:right w:w="100" w:type="dxa"/>
            </w:tcMar>
            <w:shd w:fill="E8EDF2"/>
          </w:tcPr>
          <w:p>
            <w:pPr>
              <w:spacing w:after="0" w:line="259" w:lineRule="auto"/>
            </w:pPr>
            <w:r>
              <w:rPr>
                <w:b/>
                <w:sz w:val="18"/>
              </w:rPr>
              <w:t>앞 240시점</w:t>
            </w:r>
          </w:p>
        </w:tc>
        <w:tc>
          <w:tcPr>
            <w:tcW w:type="dxa" w:w="1871"/>
            <w:vAlign w:val="center"/>
            <w:tcMar>
              <w:top w:w="90" w:type="dxa"/>
              <w:bottom w:w="90" w:type="dxa"/>
              <w:left w:w="100" w:type="dxa"/>
              <w:right w:w="100" w:type="dxa"/>
            </w:tcMar>
            <w:shd w:fill="E8EDF2"/>
          </w:tcPr>
          <w:p>
            <w:pPr>
              <w:spacing w:after="0" w:line="259" w:lineRule="auto"/>
            </w:pPr>
            <w:r>
              <w:rPr>
                <w:b/>
                <w:sz w:val="18"/>
              </w:rPr>
              <w:t>뒤 240시점</w:t>
            </w:r>
          </w:p>
        </w:tc>
        <w:tc>
          <w:tcPr>
            <w:tcW w:type="dxa" w:w="1871"/>
            <w:vAlign w:val="center"/>
            <w:tcMar>
              <w:top w:w="90" w:type="dxa"/>
              <w:bottom w:w="90" w:type="dxa"/>
              <w:left w:w="100" w:type="dxa"/>
              <w:right w:w="100" w:type="dxa"/>
            </w:tcMar>
            <w:shd w:fill="E8EDF2"/>
          </w:tcPr>
          <w:p>
            <w:pPr>
              <w:spacing w:after="0" w:line="259" w:lineRule="auto"/>
            </w:pPr>
            <w:r>
              <w:rPr>
                <w:b/>
                <w:sz w:val="18"/>
              </w:rPr>
              <w:t>전체</w:t>
            </w:r>
          </w:p>
        </w:tc>
      </w:tr>
      <w:tr>
        <w:trPr>
          <w:cantSplit/>
        </w:trPr>
        <w:tc>
          <w:tcPr>
            <w:tcW w:type="dxa" w:w="4025"/>
            <w:vAlign w:val="center"/>
            <w:tcMar>
              <w:top w:w="90" w:type="dxa"/>
              <w:bottom w:w="90" w:type="dxa"/>
              <w:left w:w="100" w:type="dxa"/>
              <w:right w:w="100" w:type="dxa"/>
            </w:tcMar>
          </w:tcPr>
          <w:p>
            <w:pPr>
              <w:spacing w:after="0" w:line="259" w:lineRule="auto"/>
            </w:pPr>
            <w:r>
              <w:rPr>
                <w:b w:val="0"/>
                <w:sz w:val="18"/>
              </w:rPr>
              <w:t>작은 UPC θ=0</w:t>
            </w:r>
          </w:p>
        </w:tc>
        <w:tc>
          <w:tcPr>
            <w:tcW w:type="dxa" w:w="1871"/>
            <w:vAlign w:val="center"/>
            <w:tcMar>
              <w:top w:w="90" w:type="dxa"/>
              <w:bottom w:w="90" w:type="dxa"/>
              <w:left w:w="100" w:type="dxa"/>
              <w:right w:w="100" w:type="dxa"/>
            </w:tcMar>
          </w:tcPr>
          <w:p>
            <w:pPr>
              <w:spacing w:after="0" w:line="259" w:lineRule="auto"/>
            </w:pPr>
            <w:r>
              <w:rPr>
                <w:b w:val="0"/>
                <w:sz w:val="18"/>
              </w:rPr>
              <w:t>0.073663</w:t>
            </w:r>
          </w:p>
        </w:tc>
        <w:tc>
          <w:tcPr>
            <w:tcW w:type="dxa" w:w="1871"/>
            <w:vAlign w:val="center"/>
            <w:tcMar>
              <w:top w:w="90" w:type="dxa"/>
              <w:bottom w:w="90" w:type="dxa"/>
              <w:left w:w="100" w:type="dxa"/>
              <w:right w:w="100" w:type="dxa"/>
            </w:tcMar>
          </w:tcPr>
          <w:p>
            <w:pPr>
              <w:spacing w:after="0" w:line="259" w:lineRule="auto"/>
            </w:pPr>
            <w:r>
              <w:rPr>
                <w:b w:val="0"/>
                <w:sz w:val="18"/>
              </w:rPr>
              <w:t>0.095851</w:t>
            </w:r>
          </w:p>
        </w:tc>
        <w:tc>
          <w:tcPr>
            <w:tcW w:type="dxa" w:w="1871"/>
            <w:vAlign w:val="center"/>
            <w:tcMar>
              <w:top w:w="90" w:type="dxa"/>
              <w:bottom w:w="90" w:type="dxa"/>
              <w:left w:w="100" w:type="dxa"/>
              <w:right w:w="100" w:type="dxa"/>
            </w:tcMar>
          </w:tcPr>
          <w:p>
            <w:pPr>
              <w:spacing w:after="0" w:line="259" w:lineRule="auto"/>
            </w:pPr>
            <w:r>
              <w:rPr>
                <w:b w:val="0"/>
                <w:sz w:val="18"/>
              </w:rPr>
              <w:t>0.084757</w:t>
            </w:r>
          </w:p>
        </w:tc>
      </w:tr>
      <w:tr>
        <w:trPr>
          <w:cantSplit/>
        </w:trPr>
        <w:tc>
          <w:tcPr>
            <w:tcW w:type="dxa" w:w="4025"/>
            <w:vAlign w:val="center"/>
            <w:tcMar>
              <w:top w:w="90" w:type="dxa"/>
              <w:bottom w:w="90" w:type="dxa"/>
              <w:left w:w="100" w:type="dxa"/>
              <w:right w:w="100" w:type="dxa"/>
            </w:tcMar>
          </w:tcPr>
          <w:p>
            <w:pPr>
              <w:spacing w:after="0" w:line="259" w:lineRule="auto"/>
            </w:pPr>
            <w:r>
              <w:rPr>
                <w:b w:val="0"/>
                <w:sz w:val="18"/>
              </w:rPr>
              <w:t>강한 기존 HGB 소속</w:t>
            </w:r>
          </w:p>
        </w:tc>
        <w:tc>
          <w:tcPr>
            <w:tcW w:type="dxa" w:w="1871"/>
            <w:vAlign w:val="center"/>
            <w:tcMar>
              <w:top w:w="90" w:type="dxa"/>
              <w:bottom w:w="90" w:type="dxa"/>
              <w:left w:w="100" w:type="dxa"/>
              <w:right w:w="100" w:type="dxa"/>
            </w:tcMar>
          </w:tcPr>
          <w:p>
            <w:pPr>
              <w:spacing w:after="0" w:line="259" w:lineRule="auto"/>
            </w:pPr>
            <w:r>
              <w:rPr>
                <w:b w:val="0"/>
                <w:sz w:val="18"/>
              </w:rPr>
              <w:t>0.071623</w:t>
            </w:r>
          </w:p>
        </w:tc>
        <w:tc>
          <w:tcPr>
            <w:tcW w:type="dxa" w:w="1871"/>
            <w:vAlign w:val="center"/>
            <w:tcMar>
              <w:top w:w="90" w:type="dxa"/>
              <w:bottom w:w="90" w:type="dxa"/>
              <w:left w:w="100" w:type="dxa"/>
              <w:right w:w="100" w:type="dxa"/>
            </w:tcMar>
          </w:tcPr>
          <w:p>
            <w:pPr>
              <w:spacing w:after="0" w:line="259" w:lineRule="auto"/>
            </w:pPr>
            <w:r>
              <w:rPr>
                <w:b w:val="0"/>
                <w:sz w:val="18"/>
              </w:rPr>
              <w:t>0.094376</w:t>
            </w:r>
          </w:p>
        </w:tc>
        <w:tc>
          <w:tcPr>
            <w:tcW w:type="dxa" w:w="1871"/>
            <w:vAlign w:val="center"/>
            <w:tcMar>
              <w:top w:w="90" w:type="dxa"/>
              <w:bottom w:w="90" w:type="dxa"/>
              <w:left w:w="100" w:type="dxa"/>
              <w:right w:w="100" w:type="dxa"/>
            </w:tcMar>
          </w:tcPr>
          <w:p>
            <w:pPr>
              <w:spacing w:after="0" w:line="259" w:lineRule="auto"/>
            </w:pPr>
            <w:r>
              <w:rPr>
                <w:b w:val="0"/>
                <w:sz w:val="18"/>
              </w:rPr>
              <w:t>0.083000</w:t>
            </w:r>
          </w:p>
        </w:tc>
      </w:tr>
      <w:tr>
        <w:trPr>
          <w:cantSplit/>
        </w:trPr>
        <w:tc>
          <w:tcPr>
            <w:tcW w:type="dxa" w:w="4025"/>
            <w:vAlign w:val="center"/>
            <w:tcMar>
              <w:top w:w="90" w:type="dxa"/>
              <w:bottom w:w="90" w:type="dxa"/>
              <w:left w:w="100" w:type="dxa"/>
              <w:right w:w="100" w:type="dxa"/>
            </w:tcMar>
          </w:tcPr>
          <w:p>
            <w:pPr>
              <w:spacing w:after="0" w:line="259" w:lineRule="auto"/>
            </w:pPr>
            <w:r>
              <w:rPr>
                <w:b w:val="0"/>
                <w:sz w:val="18"/>
              </w:rPr>
              <w:t>같은 관계 점수와 HGB</w:t>
            </w:r>
          </w:p>
        </w:tc>
        <w:tc>
          <w:tcPr>
            <w:tcW w:type="dxa" w:w="1871"/>
            <w:vAlign w:val="center"/>
            <w:tcMar>
              <w:top w:w="90" w:type="dxa"/>
              <w:bottom w:w="90" w:type="dxa"/>
              <w:left w:w="100" w:type="dxa"/>
              <w:right w:w="100" w:type="dxa"/>
            </w:tcMar>
          </w:tcPr>
          <w:p>
            <w:pPr>
              <w:spacing w:after="0" w:line="259" w:lineRule="auto"/>
            </w:pPr>
            <w:r>
              <w:rPr>
                <w:b w:val="0"/>
                <w:sz w:val="18"/>
              </w:rPr>
              <w:t>0.074461</w:t>
            </w:r>
          </w:p>
        </w:tc>
        <w:tc>
          <w:tcPr>
            <w:tcW w:type="dxa" w:w="1871"/>
            <w:vAlign w:val="center"/>
            <w:tcMar>
              <w:top w:w="90" w:type="dxa"/>
              <w:bottom w:w="90" w:type="dxa"/>
              <w:left w:w="100" w:type="dxa"/>
              <w:right w:w="100" w:type="dxa"/>
            </w:tcMar>
          </w:tcPr>
          <w:p>
            <w:pPr>
              <w:spacing w:after="0" w:line="259" w:lineRule="auto"/>
            </w:pPr>
            <w:r>
              <w:rPr>
                <w:b w:val="0"/>
                <w:sz w:val="18"/>
              </w:rPr>
              <w:t>0.096335</w:t>
            </w:r>
          </w:p>
        </w:tc>
        <w:tc>
          <w:tcPr>
            <w:tcW w:type="dxa" w:w="1871"/>
            <w:vAlign w:val="center"/>
            <w:tcMar>
              <w:top w:w="90" w:type="dxa"/>
              <w:bottom w:w="90" w:type="dxa"/>
              <w:left w:w="100" w:type="dxa"/>
              <w:right w:w="100" w:type="dxa"/>
            </w:tcMar>
          </w:tcPr>
          <w:p>
            <w:pPr>
              <w:spacing w:after="0" w:line="259" w:lineRule="auto"/>
            </w:pPr>
            <w:r>
              <w:rPr>
                <w:b w:val="0"/>
                <w:sz w:val="18"/>
              </w:rPr>
              <w:t>0.085398</w:t>
            </w:r>
          </w:p>
        </w:tc>
      </w:tr>
      <w:tr>
        <w:trPr>
          <w:cantSplit/>
        </w:trPr>
        <w:tc>
          <w:tcPr>
            <w:tcW w:type="dxa" w:w="4025"/>
            <w:vAlign w:val="center"/>
            <w:tcMar>
              <w:top w:w="90" w:type="dxa"/>
              <w:bottom w:w="90" w:type="dxa"/>
              <w:left w:w="100" w:type="dxa"/>
              <w:right w:w="100" w:type="dxa"/>
            </w:tcMar>
          </w:tcPr>
          <w:p>
            <w:pPr>
              <w:spacing w:after="0" w:line="259" w:lineRule="auto"/>
            </w:pPr>
            <w:r>
              <w:rPr>
                <w:b w:val="0"/>
                <w:sz w:val="18"/>
              </w:rPr>
              <w:t>제안한 Tab 관계 소속</w:t>
            </w:r>
          </w:p>
        </w:tc>
        <w:tc>
          <w:tcPr>
            <w:tcW w:type="dxa" w:w="1871"/>
            <w:vAlign w:val="center"/>
            <w:tcMar>
              <w:top w:w="90" w:type="dxa"/>
              <w:bottom w:w="90" w:type="dxa"/>
              <w:left w:w="100" w:type="dxa"/>
              <w:right w:w="100" w:type="dxa"/>
            </w:tcMar>
          </w:tcPr>
          <w:p>
            <w:pPr>
              <w:spacing w:after="0" w:line="259" w:lineRule="auto"/>
            </w:pPr>
            <w:r>
              <w:rPr>
                <w:b w:val="0"/>
                <w:sz w:val="18"/>
              </w:rPr>
              <w:t>0.073563</w:t>
            </w:r>
          </w:p>
        </w:tc>
        <w:tc>
          <w:tcPr>
            <w:tcW w:type="dxa" w:w="1871"/>
            <w:vAlign w:val="center"/>
            <w:tcMar>
              <w:top w:w="90" w:type="dxa"/>
              <w:bottom w:w="90" w:type="dxa"/>
              <w:left w:w="100" w:type="dxa"/>
              <w:right w:w="100" w:type="dxa"/>
            </w:tcMar>
          </w:tcPr>
          <w:p>
            <w:pPr>
              <w:spacing w:after="0" w:line="259" w:lineRule="auto"/>
            </w:pPr>
            <w:r>
              <w:rPr>
                <w:b w:val="0"/>
                <w:sz w:val="18"/>
              </w:rPr>
              <w:t>0.089228</w:t>
            </w:r>
          </w:p>
        </w:tc>
        <w:tc>
          <w:tcPr>
            <w:tcW w:type="dxa" w:w="1871"/>
            <w:vAlign w:val="center"/>
            <w:tcMar>
              <w:top w:w="90" w:type="dxa"/>
              <w:bottom w:w="90" w:type="dxa"/>
              <w:left w:w="100" w:type="dxa"/>
              <w:right w:w="100" w:type="dxa"/>
            </w:tcMar>
          </w:tcPr>
          <w:p>
            <w:pPr>
              <w:spacing w:after="0" w:line="259" w:lineRule="auto"/>
            </w:pPr>
            <w:r>
              <w:rPr>
                <w:b w:val="0"/>
                <w:sz w:val="18"/>
              </w:rPr>
              <w:t>0.081396</w:t>
            </w:r>
          </w:p>
        </w:tc>
      </w:tr>
    </w:tbl>
    <w:p>
      <w:pPr>
        <w:spacing w:after="0"/>
      </w:pPr>
    </w:p>
    <w:p>
      <w:r>
        <w:rPr>
          <w:b w:val="0"/>
        </w:rPr>
        <w:t>Tab 소속은 UPC 대비 전체 3.97%, 동일 score의 HGB 대비 4.69% 낮은 MAE를 보였습니다. 강한 HGB 소속 대비 전체 1.93% 개선이지만 앞 절반은 2.71% 악화했습니다. UPC보다 개선된 cell은 9개, 악화 4개, 동일 3개입니다. 강한 HGB보다 개선 10개, 악화 6개로 평균 이득과 개별 손해를 함께 남깁니다.</w:t>
      </w:r>
    </w:p>
    <w:p>
      <w:pPr>
        <w:pStyle w:val="Heading2"/>
      </w:pPr>
      <w:r>
        <w:t>같은 예측의 단순 대조로 확인한 결정 기여</w:t>
      </w:r>
    </w:p>
    <w:p>
      <w:r>
        <w:rPr>
          <w:b w:val="0"/>
        </w:rPr>
        <w:t>Tab/HGB 각각에서 직접 중앙값 거리와 정답 없는 plug-in 점수를 계산하면 모두 UPC 소속을 유지했습니다. 현재 실제 정답 score는 Tab에서 세 cell, HGB에서 한 cell을 이동시켰습니다. 대조는 같은 예측·지원·배정 규칙을 사용했습니다. 이 비교는 가까운 함수 clustering 논문 전체의 재현이 아니라 현재 결정식의 추가 효과를 구분한 확인입니다.</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24"/>
        <w:gridCol w:w="5443"/>
        <w:gridCol w:w="1871"/>
      </w:tblGrid>
      <w:tr>
        <w:trPr>
          <w:cantSplit/>
          <w:tblHeader/>
        </w:trPr>
        <w:tc>
          <w:tcPr>
            <w:tcW w:type="dxa" w:w="2324"/>
            <w:vAlign w:val="center"/>
            <w:tcMar>
              <w:top w:w="90" w:type="dxa"/>
              <w:bottom w:w="90" w:type="dxa"/>
              <w:left w:w="100" w:type="dxa"/>
              <w:right w:w="100" w:type="dxa"/>
            </w:tcMar>
            <w:shd w:fill="E8EDF2"/>
          </w:tcPr>
          <w:p>
            <w:pPr>
              <w:spacing w:after="0" w:line="259" w:lineRule="auto"/>
            </w:pPr>
            <w:r>
              <w:rPr>
                <w:b/>
                <w:sz w:val="18"/>
              </w:rPr>
              <w:t>작업</w:t>
            </w:r>
          </w:p>
        </w:tc>
        <w:tc>
          <w:tcPr>
            <w:tcW w:type="dxa" w:w="5443"/>
            <w:vAlign w:val="center"/>
            <w:tcMar>
              <w:top w:w="90" w:type="dxa"/>
              <w:bottom w:w="90" w:type="dxa"/>
              <w:left w:w="100" w:type="dxa"/>
              <w:right w:w="100" w:type="dxa"/>
            </w:tcMar>
            <w:shd w:fill="E8EDF2"/>
          </w:tcPr>
          <w:p>
            <w:pPr>
              <w:spacing w:after="0" w:line="259" w:lineRule="auto"/>
            </w:pPr>
            <w:r>
              <w:rPr>
                <w:b/>
                <w:sz w:val="18"/>
              </w:rPr>
              <w:t>새 실행과 재사용</w:t>
            </w:r>
          </w:p>
        </w:tc>
        <w:tc>
          <w:tcPr>
            <w:tcW w:type="dxa" w:w="1871"/>
            <w:vAlign w:val="center"/>
            <w:tcMar>
              <w:top w:w="90" w:type="dxa"/>
              <w:bottom w:w="90" w:type="dxa"/>
              <w:left w:w="100" w:type="dxa"/>
              <w:right w:w="100" w:type="dxa"/>
            </w:tcMar>
            <w:shd w:fill="E8EDF2"/>
          </w:tcPr>
          <w:p>
            <w:pPr>
              <w:spacing w:after="0" w:line="259" w:lineRule="auto"/>
            </w:pPr>
            <w:r>
              <w:rPr>
                <w:b/>
                <w:sz w:val="18"/>
              </w:rPr>
              <w:t>실측 시간</w:t>
            </w:r>
          </w:p>
        </w:tc>
      </w:tr>
      <w:tr>
        <w:trPr>
          <w:cantSplit/>
        </w:trPr>
        <w:tc>
          <w:tcPr>
            <w:tcW w:type="dxa" w:w="2324"/>
            <w:vAlign w:val="center"/>
            <w:tcMar>
              <w:top w:w="90" w:type="dxa"/>
              <w:bottom w:w="90" w:type="dxa"/>
              <w:left w:w="100" w:type="dxa"/>
              <w:right w:w="100" w:type="dxa"/>
            </w:tcMar>
          </w:tcPr>
          <w:p>
            <w:pPr>
              <w:spacing w:after="0" w:line="259" w:lineRule="auto"/>
            </w:pPr>
            <w:r>
              <w:rPr>
                <w:b w:val="0"/>
                <w:sz w:val="18"/>
              </w:rPr>
              <w:t>검색부터 소속 결정</w:t>
            </w:r>
          </w:p>
        </w:tc>
        <w:tc>
          <w:tcPr>
            <w:tcW w:type="dxa" w:w="5443"/>
            <w:vAlign w:val="center"/>
            <w:tcMar>
              <w:top w:w="90" w:type="dxa"/>
              <w:bottom w:w="90" w:type="dxa"/>
              <w:left w:w="100" w:type="dxa"/>
              <w:right w:w="100" w:type="dxa"/>
            </w:tcMar>
          </w:tcPr>
          <w:p>
            <w:pPr>
              <w:spacing w:after="0" w:line="259" w:lineRule="auto"/>
            </w:pPr>
            <w:r>
              <w:rPr>
                <w:b w:val="0"/>
                <w:sz w:val="18"/>
              </w:rPr>
              <w:t>14개 cell 분포·3,712개 고유 query 행</w:t>
              <w:br/>
              <w:t>Tab과 HGB 준비 및 실패 비용 포함</w:t>
            </w:r>
          </w:p>
        </w:tc>
        <w:tc>
          <w:tcPr>
            <w:tcW w:type="dxa" w:w="1871"/>
            <w:vAlign w:val="center"/>
            <w:tcMar>
              <w:top w:w="90" w:type="dxa"/>
              <w:bottom w:w="90" w:type="dxa"/>
              <w:left w:w="100" w:type="dxa"/>
              <w:right w:w="100" w:type="dxa"/>
            </w:tcMar>
          </w:tcPr>
          <w:p>
            <w:pPr>
              <w:spacing w:after="0" w:line="259" w:lineRule="auto"/>
            </w:pPr>
            <w:r>
              <w:rPr>
                <w:b w:val="0"/>
                <w:sz w:val="18"/>
              </w:rPr>
              <w:t>197.086초</w:t>
            </w:r>
          </w:p>
        </w:tc>
      </w:tr>
      <w:tr>
        <w:trPr>
          <w:cantSplit/>
        </w:trPr>
        <w:tc>
          <w:tcPr>
            <w:tcW w:type="dxa" w:w="2324"/>
            <w:vAlign w:val="center"/>
            <w:tcMar>
              <w:top w:w="90" w:type="dxa"/>
              <w:bottom w:w="90" w:type="dxa"/>
              <w:left w:w="100" w:type="dxa"/>
              <w:right w:w="100" w:type="dxa"/>
            </w:tcMar>
          </w:tcPr>
          <w:p>
            <w:pPr>
              <w:spacing w:after="0" w:line="259" w:lineRule="auto"/>
            </w:pPr>
            <w:r>
              <w:rPr>
                <w:b w:val="0"/>
                <w:sz w:val="18"/>
              </w:rPr>
              <w:t>고정 소속의 RCTL</w:t>
            </w:r>
          </w:p>
        </w:tc>
        <w:tc>
          <w:tcPr>
            <w:tcW w:type="dxa" w:w="5443"/>
            <w:vAlign w:val="center"/>
            <w:tcMar>
              <w:top w:w="90" w:type="dxa"/>
              <w:bottom w:w="90" w:type="dxa"/>
              <w:left w:w="100" w:type="dxa"/>
              <w:right w:w="100" w:type="dxa"/>
            </w:tcMar>
          </w:tcPr>
          <w:p>
            <w:pPr>
              <w:spacing w:after="0" w:line="259" w:lineRule="auto"/>
            </w:pPr>
            <w:r>
              <w:rPr>
                <w:b w:val="0"/>
                <w:sz w:val="18"/>
              </w:rPr>
              <w:t>새 3group·165epoch</w:t>
              <w:br/>
              <w:t>완료 13task 재사용</w:t>
            </w:r>
          </w:p>
        </w:tc>
        <w:tc>
          <w:tcPr>
            <w:tcW w:type="dxa" w:w="1871"/>
            <w:vAlign w:val="center"/>
            <w:tcMar>
              <w:top w:w="90" w:type="dxa"/>
              <w:bottom w:w="90" w:type="dxa"/>
              <w:left w:w="100" w:type="dxa"/>
              <w:right w:w="100" w:type="dxa"/>
            </w:tcMar>
          </w:tcPr>
          <w:p>
            <w:pPr>
              <w:spacing w:after="0" w:line="259" w:lineRule="auto"/>
            </w:pPr>
            <w:r>
              <w:rPr>
                <w:b w:val="0"/>
                <w:sz w:val="18"/>
              </w:rPr>
              <w:t>158.336초</w:t>
              <w:br/>
              <w:t>기타 2.737초</w:t>
            </w:r>
          </w:p>
        </w:tc>
      </w:tr>
      <w:tr>
        <w:trPr>
          <w:cantSplit/>
        </w:trPr>
        <w:tc>
          <w:tcPr>
            <w:tcW w:type="dxa" w:w="2324"/>
            <w:vAlign w:val="center"/>
            <w:tcMar>
              <w:top w:w="90" w:type="dxa"/>
              <w:bottom w:w="90" w:type="dxa"/>
              <w:left w:w="100" w:type="dxa"/>
              <w:right w:w="100" w:type="dxa"/>
            </w:tcMar>
          </w:tcPr>
          <w:p>
            <w:pPr>
              <w:spacing w:after="0" w:line="259" w:lineRule="auto"/>
            </w:pPr>
            <w:r>
              <w:rPr>
                <w:b w:val="0"/>
                <w:sz w:val="18"/>
              </w:rPr>
              <w:t>저장 예측의 결정 대조</w:t>
            </w:r>
          </w:p>
        </w:tc>
        <w:tc>
          <w:tcPr>
            <w:tcW w:type="dxa" w:w="5443"/>
            <w:vAlign w:val="center"/>
            <w:tcMar>
              <w:top w:w="90" w:type="dxa"/>
              <w:bottom w:w="90" w:type="dxa"/>
              <w:left w:w="100" w:type="dxa"/>
              <w:right w:w="100" w:type="dxa"/>
            </w:tcMar>
          </w:tcPr>
          <w:p>
            <w:pPr>
              <w:spacing w:after="0" w:line="259" w:lineRule="auto"/>
            </w:pPr>
            <w:r>
              <w:rPr>
                <w:b w:val="0"/>
                <w:sz w:val="18"/>
              </w:rPr>
              <w:t>새 모델·추론 0</w:t>
              <w:br/>
              <w:t>동일 소속의 완료 RCTL 연결</w:t>
            </w:r>
          </w:p>
        </w:tc>
        <w:tc>
          <w:tcPr>
            <w:tcW w:type="dxa" w:w="1871"/>
            <w:vAlign w:val="center"/>
            <w:tcMar>
              <w:top w:w="90" w:type="dxa"/>
              <w:bottom w:w="90" w:type="dxa"/>
              <w:left w:w="100" w:type="dxa"/>
              <w:right w:w="100" w:type="dxa"/>
            </w:tcMar>
          </w:tcPr>
          <w:p>
            <w:pPr>
              <w:spacing w:after="0" w:line="259" w:lineRule="auto"/>
            </w:pPr>
            <w:r>
              <w:rPr>
                <w:b w:val="0"/>
                <w:sz w:val="18"/>
              </w:rPr>
              <w:t>0.330초</w:t>
            </w:r>
          </w:p>
        </w:tc>
      </w:tr>
    </w:tbl>
    <w:p>
      <w:pPr>
        <w:spacing w:after="0"/>
      </w:pPr>
    </w:p>
    <w:p>
      <w:r>
        <w:rPr>
          <w:b w:val="0"/>
        </w:rPr>
        <w:t>후보 pair 수는 E≤Nk로 제한하고 Tab 준비 최대 N회, query 계산 Q(N+2E), 이동 계산 O(3KE)로 구성합니다. 검색·출처 분류·분포 저장 비용도 남습니다. 현재 197.086초는 두 추정기의 공통 지원을 준비한 전체 시간이며 Tab 단독 시간이나 1만 개 cell의 실행 시간으로 해석할 수 없습니다.</w:t>
      </w:r>
    </w:p>
    <w:p>
      <w:r>
        <w:rPr>
          <w:b w:val="0"/>
        </w:rPr>
        <w:t>원 UPC의 θ=10은 피크 그룹 안의 cell 수 조건입니다. 16cell·K=4의 현재 θ=0 결과를 원 전체 도시 실험 개선으로 쓰지 않습니다. 한 seed이며 일부 재사용 학습의 thread 수 차이도 보존했습니다. 전체 연구의 과거 실행과 실패 비용은 누적 원장에 별도로 남아 있습니다.</w:t>
      </w:r>
    </w:p>
    <w:p>
      <w:pPr>
        <w:pStyle w:val="Heading1"/>
        <w:pageBreakBefore/>
      </w:pPr>
      <w:r>
        <w:t>6 추천 범위와 본 실험의 판단 기준</w:t>
      </w:r>
    </w:p>
    <w:p>
      <w:r>
        <w:rPr>
          <w:b w:val="0"/>
        </w:rPr>
        <w:t>현재 후보는 구현과 작은 실제 확인까지 연결되어 있으므로 본 실험에 착수할 방향으로 추천드립니다. 추천 범위는 별도 관측 정답을 이용한 관계 점수의 소속 수정 가치입니다. 일반적인 성능 우위나 새로운 수학 공식을 확정한 것은 아닙니다.</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51"/>
        <w:gridCol w:w="7087"/>
      </w:tblGrid>
      <w:tr>
        <w:trPr>
          <w:cantSplit/>
          <w:tblHeader/>
        </w:trPr>
        <w:tc>
          <w:tcPr>
            <w:tcW w:type="dxa" w:w="2551"/>
            <w:vAlign w:val="center"/>
            <w:tcMar>
              <w:top w:w="90" w:type="dxa"/>
              <w:bottom w:w="90" w:type="dxa"/>
              <w:left w:w="100" w:type="dxa"/>
              <w:right w:w="100" w:type="dxa"/>
            </w:tcMar>
            <w:shd w:fill="E8EDF2"/>
          </w:tcPr>
          <w:p>
            <w:pPr>
              <w:spacing w:after="0" w:line="259" w:lineRule="auto"/>
            </w:pPr>
            <w:r>
              <w:rPr>
                <w:b/>
                <w:sz w:val="18"/>
              </w:rPr>
              <w:t>핵심 반론</w:t>
            </w:r>
          </w:p>
        </w:tc>
        <w:tc>
          <w:tcPr>
            <w:tcW w:type="dxa" w:w="7087"/>
            <w:vAlign w:val="center"/>
            <w:tcMar>
              <w:top w:w="90" w:type="dxa"/>
              <w:bottom w:w="90" w:type="dxa"/>
              <w:left w:w="100" w:type="dxa"/>
              <w:right w:w="100" w:type="dxa"/>
            </w:tcMar>
            <w:shd w:fill="E8EDF2"/>
          </w:tcPr>
          <w:p>
            <w:pPr>
              <w:spacing w:after="0" w:line="259" w:lineRule="auto"/>
            </w:pPr>
            <w:r>
              <w:rPr>
                <w:b/>
                <w:sz w:val="18"/>
              </w:rPr>
              <w:t>현재 답변과 본 실험에서 바뀔 판단</w:t>
            </w:r>
          </w:p>
        </w:tc>
      </w:tr>
      <w:tr>
        <w:trPr>
          <w:cantSplit/>
        </w:trPr>
        <w:tc>
          <w:tcPr>
            <w:tcW w:type="dxa" w:w="2551"/>
            <w:vAlign w:val="center"/>
            <w:tcMar>
              <w:top w:w="90" w:type="dxa"/>
              <w:bottom w:w="90" w:type="dxa"/>
              <w:left w:w="100" w:type="dxa"/>
              <w:right w:w="100" w:type="dxa"/>
            </w:tcMar>
          </w:tcPr>
          <w:p>
            <w:pPr>
              <w:spacing w:after="0" w:line="259" w:lineRule="auto"/>
            </w:pPr>
            <w:r>
              <w:rPr>
                <w:b w:val="0"/>
                <w:sz w:val="18"/>
              </w:rPr>
              <w:t>단순 시간 특징이면 충분한가</w:t>
            </w:r>
          </w:p>
        </w:tc>
        <w:tc>
          <w:tcPr>
            <w:tcW w:type="dxa" w:w="7087"/>
            <w:vAlign w:val="center"/>
            <w:tcMar>
              <w:top w:w="90" w:type="dxa"/>
              <w:bottom w:w="90" w:type="dxa"/>
              <w:left w:w="100" w:type="dxa"/>
              <w:right w:w="100" w:type="dxa"/>
            </w:tcMar>
          </w:tcPr>
          <w:p>
            <w:pPr>
              <w:spacing w:after="0" w:line="259" w:lineRule="auto"/>
            </w:pPr>
            <w:r>
              <w:rPr>
                <w:b w:val="0"/>
                <w:sz w:val="18"/>
              </w:rPr>
              <w:t>현재 입력에 이미 포함했습니다. 같은 profile·입력 조건에서도 원 UPC와 강한 대안보다 이득이 남는지 확인합니다.</w:t>
            </w:r>
          </w:p>
        </w:tc>
      </w:tr>
      <w:tr>
        <w:trPr>
          <w:cantSplit/>
        </w:trPr>
        <w:tc>
          <w:tcPr>
            <w:tcW w:type="dxa" w:w="2551"/>
            <w:vAlign w:val="center"/>
            <w:tcMar>
              <w:top w:w="90" w:type="dxa"/>
              <w:bottom w:w="90" w:type="dxa"/>
              <w:left w:w="100" w:type="dxa"/>
              <w:right w:w="100" w:type="dxa"/>
            </w:tcMar>
          </w:tcPr>
          <w:p>
            <w:pPr>
              <w:spacing w:after="0" w:line="259" w:lineRule="auto"/>
            </w:pPr>
            <w:r>
              <w:rPr>
                <w:b w:val="0"/>
                <w:sz w:val="18"/>
              </w:rPr>
              <w:t>모델 이름만 바꾼 것 아닌가</w:t>
            </w:r>
          </w:p>
        </w:tc>
        <w:tc>
          <w:tcPr>
            <w:tcW w:type="dxa" w:w="7087"/>
            <w:vAlign w:val="center"/>
            <w:tcMar>
              <w:top w:w="90" w:type="dxa"/>
              <w:bottom w:w="90" w:type="dxa"/>
              <w:left w:w="100" w:type="dxa"/>
              <w:right w:w="100" w:type="dxa"/>
            </w:tcMar>
          </w:tcPr>
          <w:p>
            <w:pPr>
              <w:spacing w:after="0" w:line="259" w:lineRule="auto"/>
            </w:pPr>
            <w:r>
              <w:rPr>
                <w:b w:val="0"/>
                <w:sz w:val="18"/>
              </w:rPr>
              <w:t>동일한 예측에 다른 점수를 적용한 대조에서 소속이 달랐습니다. 알려진 score·함수 clustering 자체는 신규성에서 제외합니다.</w:t>
            </w:r>
          </w:p>
        </w:tc>
      </w:tr>
      <w:tr>
        <w:trPr>
          <w:cantSplit/>
        </w:trPr>
        <w:tc>
          <w:tcPr>
            <w:tcW w:type="dxa" w:w="2551"/>
            <w:vAlign w:val="center"/>
            <w:tcMar>
              <w:top w:w="90" w:type="dxa"/>
              <w:bottom w:w="90" w:type="dxa"/>
              <w:left w:w="100" w:type="dxa"/>
              <w:right w:w="100" w:type="dxa"/>
            </w:tcMar>
          </w:tcPr>
          <w:p>
            <w:pPr>
              <w:spacing w:after="0" w:line="259" w:lineRule="auto"/>
            </w:pPr>
            <w:r>
              <w:rPr>
                <w:b w:val="0"/>
                <w:sz w:val="18"/>
              </w:rPr>
              <w:t>Tab이 RCTL에도 유용한가</w:t>
            </w:r>
          </w:p>
        </w:tc>
        <w:tc>
          <w:tcPr>
            <w:tcW w:type="dxa" w:w="7087"/>
            <w:vAlign w:val="center"/>
            <w:tcMar>
              <w:top w:w="90" w:type="dxa"/>
              <w:bottom w:w="90" w:type="dxa"/>
              <w:left w:w="100" w:type="dxa"/>
              <w:right w:w="100" w:type="dxa"/>
            </w:tcMar>
          </w:tcPr>
          <w:p>
            <w:pPr>
              <w:spacing w:after="0" w:line="259" w:lineRule="auto"/>
            </w:pPr>
            <w:r>
              <w:rPr>
                <w:b w:val="0"/>
                <w:sz w:val="18"/>
              </w:rPr>
              <w:t>소속 봉인 후 실제 RCTL 평균 이득이 있습니다. 새 기간에서 악화하면 현재 연결 가설을 닫습니다.</w:t>
            </w:r>
          </w:p>
        </w:tc>
      </w:tr>
      <w:tr>
        <w:trPr>
          <w:cantSplit/>
        </w:trPr>
        <w:tc>
          <w:tcPr>
            <w:tcW w:type="dxa" w:w="2551"/>
            <w:vAlign w:val="center"/>
            <w:tcMar>
              <w:top w:w="90" w:type="dxa"/>
              <w:bottom w:w="90" w:type="dxa"/>
              <w:left w:w="100" w:type="dxa"/>
              <w:right w:w="100" w:type="dxa"/>
            </w:tcMar>
          </w:tcPr>
          <w:p>
            <w:pPr>
              <w:spacing w:after="0" w:line="259" w:lineRule="auto"/>
            </w:pPr>
            <w:r>
              <w:rPr>
                <w:b w:val="0"/>
                <w:sz w:val="18"/>
              </w:rPr>
              <w:t>추가 정보나 계산량 효과 아닌가</w:t>
            </w:r>
          </w:p>
        </w:tc>
        <w:tc>
          <w:tcPr>
            <w:tcW w:type="dxa" w:w="7087"/>
            <w:vAlign w:val="center"/>
            <w:tcMar>
              <w:top w:w="90" w:type="dxa"/>
              <w:bottom w:w="90" w:type="dxa"/>
              <w:left w:w="100" w:type="dxa"/>
              <w:right w:w="100" w:type="dxa"/>
            </w:tcMar>
          </w:tcPr>
          <w:p>
            <w:pPr>
              <w:spacing w:after="0" w:line="259" w:lineRule="auto"/>
            </w:pPr>
            <w:r>
              <w:rPr>
                <w:b w:val="0"/>
                <w:sz w:val="18"/>
              </w:rPr>
              <w:t>sample·입력·K는 같습니다. HGB 공통 지원 비용을 포함합니다. 정확히 같은 wall-time으로 강한 대안에 자원을 배분한 비교는 남아 있습니다.</w:t>
            </w:r>
          </w:p>
        </w:tc>
      </w:tr>
      <w:tr>
        <w:trPr>
          <w:cantSplit/>
        </w:trPr>
        <w:tc>
          <w:tcPr>
            <w:tcW w:type="dxa" w:w="2551"/>
            <w:vAlign w:val="center"/>
            <w:tcMar>
              <w:top w:w="90" w:type="dxa"/>
              <w:bottom w:w="90" w:type="dxa"/>
              <w:left w:w="100" w:type="dxa"/>
              <w:right w:w="100" w:type="dxa"/>
            </w:tcMar>
          </w:tcPr>
          <w:p>
            <w:pPr>
              <w:spacing w:after="0" w:line="259" w:lineRule="auto"/>
            </w:pPr>
            <w:r>
              <w:rPr>
                <w:b w:val="0"/>
                <w:sz w:val="18"/>
              </w:rPr>
              <w:t>query나 graph에 과적합한 것 아닌가</w:t>
            </w:r>
          </w:p>
        </w:tc>
        <w:tc>
          <w:tcPr>
            <w:tcW w:type="dxa" w:w="7087"/>
            <w:vAlign w:val="center"/>
            <w:tcMar>
              <w:top w:w="90" w:type="dxa"/>
              <w:bottom w:w="90" w:type="dxa"/>
              <w:left w:w="100" w:type="dxa"/>
              <w:right w:w="100" w:type="dxa"/>
            </w:tcMar>
          </w:tcPr>
          <w:p>
            <w:pPr>
              <w:spacing w:after="0" w:line="259" w:lineRule="auto"/>
            </w:pPr>
            <w:r>
              <w:rPr>
                <w:b w:val="0"/>
                <w:sz w:val="18"/>
              </w:rPr>
              <w:t>사용 기간을 모두 개발 자료로 취급합니다. 새 기간과 크기 조건 대조를 고정하고, 유리한 날짜나 cell을 사후 제외하지 않습니다.</w:t>
            </w:r>
          </w:p>
        </w:tc>
      </w:tr>
      <w:tr>
        <w:trPr>
          <w:cantSplit/>
        </w:trPr>
        <w:tc>
          <w:tcPr>
            <w:tcW w:type="dxa" w:w="2551"/>
            <w:vAlign w:val="center"/>
            <w:tcMar>
              <w:top w:w="90" w:type="dxa"/>
              <w:bottom w:w="90" w:type="dxa"/>
              <w:left w:w="100" w:type="dxa"/>
              <w:right w:w="100" w:type="dxa"/>
            </w:tcMar>
          </w:tcPr>
          <w:p>
            <w:pPr>
              <w:spacing w:after="0" w:line="259" w:lineRule="auto"/>
            </w:pPr>
            <w:r>
              <w:rPr>
                <w:b w:val="0"/>
                <w:sz w:val="18"/>
              </w:rPr>
              <w:t>이득이 없으면 복잡성을 더하는가</w:t>
            </w:r>
          </w:p>
        </w:tc>
        <w:tc>
          <w:tcPr>
            <w:tcW w:type="dxa" w:w="7087"/>
            <w:vAlign w:val="center"/>
            <w:tcMar>
              <w:top w:w="90" w:type="dxa"/>
              <w:bottom w:w="90" w:type="dxa"/>
              <w:left w:w="100" w:type="dxa"/>
              <w:right w:w="100" w:type="dxa"/>
            </w:tcMar>
          </w:tcPr>
          <w:p>
            <w:pPr>
              <w:spacing w:after="0" w:line="259" w:lineRule="auto"/>
            </w:pPr>
            <w:r>
              <w:rPr>
                <w:b w:val="0"/>
                <w:sz w:val="18"/>
              </w:rPr>
              <w:t>HGB 또는 원 UPC 소속으로 단순화합니다. fine-tuning·보정기를 자동 추가하지 않습니다.</w:t>
            </w:r>
          </w:p>
        </w:tc>
      </w:tr>
    </w:tbl>
    <w:p>
      <w:pPr>
        <w:spacing w:after="0"/>
      </w:pPr>
    </w:p>
    <w:p>
      <w:pPr>
        <w:pStyle w:val="Heading2"/>
      </w:pPr>
      <w:r>
        <w:t>본 실험은 고정한 비교로 진행합니다</w:t>
      </w:r>
    </w:p>
    <w:p>
      <w:r>
        <w:rPr>
          <w:b w:val="0"/>
        </w:rPr>
        <w:t>첫 단계에서는 미사용 기간과 cell 집합을 정하고 원 θ=10 UPC의 목표 K가 가능한지 확인합니다. K=4에는 적어도 44개 cell이 필요하지만 피크 그룹의 분포 조건도 충족해야 합니다. 적용 불가를 낮은 θ나 유리한 K로 바꾸어 숨기지 않습니다.</w:t>
      </w:r>
    </w:p>
    <w:p>
      <w:r>
        <w:rPr>
          <w:b w:val="0"/>
        </w:rPr>
        <w:t>다음으로 현재 k=8, 지원 조건, 점수, 세 번의 이동 규칙을 고정합니다. 원 UPC·profile 기준·동일 score HGB·강한 pooled-HGB·직접 함수 거리를 비교하고 RCTL 평가 전에 소속을 봉인합니다. 자료량을 맞춘 비교와 실제 시간 상한을 맞춘 비교를 구별합니다. TabPFN은 가중치·버전·자원을 확인한 별도 비교로 계획하며 현재 완료 결과에 포함하지 않습니다.</w:t>
      </w:r>
    </w:p>
    <w:p>
      <w:r>
        <w:rPr>
          <w:b w:val="0"/>
        </w:rPr>
        <w:t>최종 판단은 같은 K와 RCTL 학습 조건의 미래 MAE, 기간별 변화, cell별 손해, 지원 비율, 전체 clustering 비용으로 내립니다. 강한 단순 대안이 같은 효용을 더 적은 비용으로 내면 Tab 중심 기여를 철회합니다. 일부 조건에서만 이득이 있으면 그 적용 범위를 결과로 남깁니다.</w:t>
      </w:r>
    </w:p>
    <w:p>
      <w:pPr>
        <w:pStyle w:val="Heading1"/>
        <w:pageBreakBefore/>
      </w:pPr>
      <w:r>
        <w:t>7 주요 원문과 재현 자료</w:t>
      </w:r>
    </w:p>
    <w:p>
      <w:r>
        <w:rPr>
          <w:b w:val="0"/>
        </w:rPr>
        <w:t>번호는 동봉한 상세 보고서의 참고문헌과 같습니다. 각 원문의 결정 규칙과 실제 검토 범위는 근거 등록부에 연결했습니다. 목록 확보를 전체 내용 검토나 실험 재현으로 표시하지 않았습니다.</w:t>
      </w:r>
    </w:p>
    <w:p>
      <w:pPr>
        <w:spacing w:after="120"/>
      </w:pPr>
      <w:r>
        <w:rPr>
          <w:b w:val="0"/>
          <w:sz w:val="18"/>
        </w:rPr>
        <w:t>[1] Yang 등 2025  Urban Mobile Data Prediction With Geospatial Clustering and Dual Residual Learning. DOI 10.1109/TNSM.2025.3599168. UPC·RCTL 원 연구와 GECOS 공개 구현.</w:t>
      </w:r>
    </w:p>
    <w:p>
      <w:pPr>
        <w:spacing w:after="120"/>
      </w:pPr>
      <w:r>
        <w:rPr>
          <w:b w:val="0"/>
          <w:sz w:val="18"/>
        </w:rPr>
        <w:t>[2] Qu 등 2026  TabICLv2 A Better Faster Scalable and Open Tabular Foundation Model. arXiv:2602.11139v2. 구조·회귀 분위수·고정 가중치 추론.</w:t>
      </w:r>
    </w:p>
    <w:p>
      <w:pPr>
        <w:spacing w:after="120"/>
      </w:pPr>
      <w:r>
        <w:rPr>
          <w:b w:val="0"/>
          <w:sz w:val="18"/>
        </w:rPr>
        <w:t>[3] Localized TabICLv2 2608.16429v1, TL-ANDI 2607.04809v1, CRUMB 2606.11473v1. 기존 context·관계 비교 범위 확인.</w:t>
      </w:r>
    </w:p>
    <w:p>
      <w:pPr>
        <w:spacing w:after="120"/>
      </w:pPr>
      <w:r>
        <w:rPr>
          <w:b w:val="0"/>
          <w:sz w:val="18"/>
        </w:rPr>
        <w:t>[4] Zhang·Wang·Zhu 2019  Quantile-regression-based clustering for panel data. DOI 10.1016/j.jeconom.2019.04.005.</w:t>
      </w:r>
    </w:p>
    <w:p>
      <w:pPr>
        <w:spacing w:after="120"/>
      </w:pPr>
      <w:r>
        <w:rPr>
          <w:b w:val="0"/>
          <w:sz w:val="18"/>
        </w:rPr>
        <w:t>[5] Yu·Gu·Volgushev 2024  Spectral clustering with variance information for group structure estimation in panel data. arXiv:2201.01793v2.</w:t>
      </w:r>
    </w:p>
    <w:p>
      <w:pPr>
        <w:spacing w:after="120"/>
      </w:pPr>
      <w:r>
        <w:rPr>
          <w:b w:val="0"/>
          <w:sz w:val="18"/>
        </w:rPr>
        <w:t>[6] Yang·Chen·Li·Li 2024  Functional-Coefficient Quantile Regression for Panel Data with Latent Group Structure. arXiv:2303.13218v1, JBES 42(3), 1026–1040.</w:t>
      </w:r>
    </w:p>
    <w:p>
      <w:pPr>
        <w:spacing w:after="120"/>
      </w:pPr>
      <w:r>
        <w:rPr>
          <w:b w:val="0"/>
          <w:sz w:val="18"/>
        </w:rPr>
        <w:t>[7] HCP 2025 및 Sadeghkhani 2026. 실제 pooled validation 위험으로 병합하는 선행. DOI 10.1007/s41060-026-01197-4.</w:t>
      </w:r>
    </w:p>
    <w:p>
      <w:pPr>
        <w:spacing w:after="120"/>
      </w:pPr>
      <w:r>
        <w:rPr>
          <w:b w:val="0"/>
          <w:sz w:val="18"/>
        </w:rPr>
        <w:t>[8] Architectural Bias vs. Feature Engineering. SMBD 2025. DOI 10.1145/3768740.3768798. TabPFN-ST-AR의 도로 교통 입력.</w:t>
      </w:r>
    </w:p>
    <w:p>
      <w:pPr>
        <w:spacing w:after="120"/>
      </w:pPr>
      <w:r>
        <w:rPr>
          <w:b w:val="0"/>
          <w:sz w:val="18"/>
        </w:rPr>
        <w:t>[9] From Tables to Time Extending TabPFN-v2 to Time Series Forecasting. arXiv:2501.02945v4. 입력 구성·추세 외삽.</w:t>
      </w:r>
    </w:p>
    <w:p>
      <w:pPr>
        <w:spacing w:after="120"/>
      </w:pPr>
      <w:r>
        <w:rPr>
          <w:b w:val="0"/>
          <w:sz w:val="18"/>
        </w:rPr>
        <w:t>[10–13] ISP Traffic Forecasting 2511.17529v2; MobiGPT 2509.18166v1; CoT Mobile Traffic Prediction 2605.09260v1; Multivariate Tabular PFN 2604.08400v1.</w:t>
      </w:r>
    </w:p>
    <w:p>
      <w:pPr>
        <w:spacing w:after="120"/>
      </w:pPr>
      <w:r>
        <w:rPr>
          <w:b w:val="0"/>
          <w:sz w:val="18"/>
        </w:rPr>
        <w:t>[14–15] Traffic Matrix Clustering 2604.26081v1; TIDES 2512.22178v1. clustering과 후속 예측의 기존 결합.</w:t>
      </w:r>
    </w:p>
    <w:p>
      <w:pPr>
        <w:spacing w:after="120"/>
      </w:pPr>
      <w:r>
        <w:rPr>
          <w:b w:val="0"/>
          <w:sz w:val="18"/>
        </w:rPr>
        <w:t>[16] Belloni·Chernozhukov·Kato 1312.7186v4; Kallus·Oprescu AISTATS 2023. 분위수 score의 기존 보정 원리.</w:t>
      </w:r>
    </w:p>
    <w:p>
      <w:pPr>
        <w:pStyle w:val="Heading2"/>
      </w:pPr>
      <w:r>
        <w:t>실제 구현과 근거 파일</w:t>
      </w:r>
    </w:p>
    <w:p>
      <w:r>
        <w:rPr>
          <w:b w:val="0"/>
        </w:rPr>
        <w:t>TabICL 2.2.0의 공식 commit 0dbff3ec8fc68c123c87af77b0ea8b25cd2d23f3 및 tabicl-regressor-v2-20260212.ckpt를 사용했습니다. 알고리즘은 635 계획과 코드, 소속은 638의 봉인 기록, RCTL 결과는 639, 같은 예측의 대조는 641에 보존했습니다. 642 근거 등록부에는 출처·설정·결과·정산 hash를 연결했습니다.</w:t>
      </w:r>
    </w:p>
    <w:p>
      <w:r>
        <w:rPr>
          <w:b w:val="0"/>
        </w:rPr>
        <w:t>동봉 보고서 4절은 구현 세부, 5절은 선행 결정 비교, 6절은 주장별 근거, 7절은 누적 비용, 8절은 반론과 미실행 항목을 제공합니다. 지금 완료된 것은 연구 방향 선정과 작은 확인입니다. 새 도시·원 UPC 전체 규모·동일 시간 예산의 일반적인 우위는 본 실험의 질문입니다.</w:t>
      </w:r>
    </w:p>
    <w:sectPr w:rsidR="00FC693F" w:rsidRPr="0006063C" w:rsidSect="00034616">
      <w:footerReference w:type="default" r:id="rId9"/>
      <w:pgSz w:w="11906" w:h="16838"/>
      <w:pgMar w:top="1020" w:right="1134" w:bottom="1020" w:left="1134" w:header="397"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TabICLv2 연구 방향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0" w:lineRule="exact"/>
      <w:widowControl/>
      <w:snapToGrid w:val="0"/>
    </w:pPr>
    <w:rPr>
      <w:rFonts w:ascii="맑은 고딕" w:hAnsi="맑은 고딕" w:eastAsia="맑은 고딕"/>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snapToGrid w:val="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snapToGrid w:val="0"/>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snapToGrid w:val="0"/>
    </w:pPr>
    <w:rPr>
      <w:rFonts w:asciiTheme="majorHAnsi" w:eastAsiaTheme="majorEastAsia" w:hAnsiTheme="majorHAnsi" w:cstheme="majorBidi" w:ascii="맑은 고딕" w:hAnsi="맑은 고딕" w:eastAsia="맑은 고딕"/>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snapToGrid w:val="0"/>
    </w:pPr>
    <w:rPr>
      <w:rFonts w:asciiTheme="majorHAnsi" w:eastAsiaTheme="majorEastAsia" w:hAnsiTheme="majorHAnsi" w:cstheme="majorBidi" w:ascii="맑은 고딕" w:hAnsi="맑은 고딕" w:eastAsia="맑은 고딕"/>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snapToGrid w:val="0"/>
    </w:pPr>
    <w:rPr>
      <w:rFonts w:asciiTheme="majorHAnsi" w:eastAsiaTheme="majorEastAsia" w:hAnsiTheme="majorHAnsi" w:cstheme="majorBidi" w:ascii="맑은 고딕" w:hAnsi="맑은 고딕" w:eastAsia="맑은 고딕"/>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snapToGrid w:val="0"/>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snapToGrid w:val="0"/>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snapToGrid w:val="0"/>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snapToGrid w:val="0"/>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snapToGrid w:val="0"/>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snapToGrid w:val="0"/>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snapToGrid w:val="0"/>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0"/>
      <w:contextualSpacing/>
      <w:keepNext/>
      <w:snapToGrid w:val="0"/>
    </w:pPr>
    <w:rPr>
      <w:rFonts w:asciiTheme="majorHAnsi" w:eastAsiaTheme="majorEastAsia" w:hAnsiTheme="majorHAnsi" w:cstheme="majorBidi" w:ascii="맑은 고딕" w:hAnsi="맑은 고딕" w:eastAsia="맑은 고딕"/>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snapToGrid w:val="0"/>
    </w:pPr>
    <w:rPr>
      <w:rFonts w:asciiTheme="majorHAnsi" w:eastAsiaTheme="majorEastAsia" w:hAnsiTheme="majorHAnsi" w:cstheme="majorBidi" w:ascii="맑은 고딕" w:hAnsi="맑은 고딕" w:eastAsia="맑은 고딕"/>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snapToGrid w:val="0"/>
    </w:pPr>
  </w:style>
  <w:style w:type="paragraph" w:styleId="BodyText">
    <w:name w:val="Body Text"/>
    <w:basedOn w:val="Normal"/>
    <w:link w:val="BodyTextChar"/>
    <w:uiPriority w:val="99"/>
    <w:unhideWhenUsed/>
    <w:rsid w:val="00AA1D8D"/>
    <w:pPr>
      <w:spacing w:after="120"/>
      <w:snapToGrid w:val="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snapToGrid w:val="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snapToGrid w:val="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snapToGrid w:val="0"/>
    </w:pPr>
  </w:style>
  <w:style w:type="paragraph" w:styleId="List2">
    <w:name w:val="List 2"/>
    <w:basedOn w:val="Normal"/>
    <w:uiPriority w:val="99"/>
    <w:unhideWhenUsed/>
    <w:rsid w:val="00326F90"/>
    <w:pPr>
      <w:ind w:left="720" w:hanging="360"/>
      <w:contextualSpacing/>
      <w:snapToGrid w:val="0"/>
    </w:pPr>
  </w:style>
  <w:style w:type="paragraph" w:styleId="List3">
    <w:name w:val="List 3"/>
    <w:basedOn w:val="Normal"/>
    <w:uiPriority w:val="99"/>
    <w:unhideWhenUsed/>
    <w:rsid w:val="00326F90"/>
    <w:pPr>
      <w:ind w:left="1080" w:hanging="360"/>
      <w:contextualSpacing/>
      <w:snapToGrid w:val="0"/>
    </w:pPr>
  </w:style>
  <w:style w:type="paragraph" w:styleId="ListBullet">
    <w:name w:val="List Bullet"/>
    <w:basedOn w:val="Normal"/>
    <w:uiPriority w:val="99"/>
    <w:unhideWhenUsed/>
    <w:rsid w:val="00326F90"/>
    <w:pPr>
      <w:numPr>
        <w:numId w:val="1"/>
      </w:numPr>
      <w:contextualSpacing/>
      <w:snapToGrid w:val="0"/>
    </w:pPr>
  </w:style>
  <w:style w:type="paragraph" w:styleId="ListBullet2">
    <w:name w:val="List Bullet 2"/>
    <w:basedOn w:val="Normal"/>
    <w:uiPriority w:val="99"/>
    <w:unhideWhenUsed/>
    <w:rsid w:val="00326F90"/>
    <w:pPr>
      <w:numPr>
        <w:numId w:val="2"/>
      </w:numPr>
      <w:contextualSpacing/>
      <w:snapToGrid w:val="0"/>
    </w:pPr>
  </w:style>
  <w:style w:type="paragraph" w:styleId="ListBullet3">
    <w:name w:val="List Bullet 3"/>
    <w:basedOn w:val="Normal"/>
    <w:uiPriority w:val="99"/>
    <w:unhideWhenUsed/>
    <w:rsid w:val="00326F90"/>
    <w:pPr>
      <w:numPr>
        <w:numId w:val="3"/>
      </w:numPr>
      <w:contextualSpacing/>
      <w:snapToGrid w:val="0"/>
    </w:pPr>
  </w:style>
  <w:style w:type="paragraph" w:styleId="ListNumber">
    <w:name w:val="List Number"/>
    <w:basedOn w:val="Normal"/>
    <w:uiPriority w:val="99"/>
    <w:unhideWhenUsed/>
    <w:rsid w:val="00326F90"/>
    <w:pPr>
      <w:numPr>
        <w:numId w:val="5"/>
      </w:numPr>
      <w:contextualSpacing/>
      <w:snapToGrid w:val="0"/>
    </w:pPr>
  </w:style>
  <w:style w:type="paragraph" w:styleId="ListNumber2">
    <w:name w:val="List Number 2"/>
    <w:basedOn w:val="Normal"/>
    <w:uiPriority w:val="99"/>
    <w:unhideWhenUsed/>
    <w:rsid w:val="0029639D"/>
    <w:pPr>
      <w:numPr>
        <w:numId w:val="6"/>
      </w:numPr>
      <w:contextualSpacing/>
      <w:snapToGrid w:val="0"/>
    </w:pPr>
  </w:style>
  <w:style w:type="paragraph" w:styleId="ListNumber3">
    <w:name w:val="List Number 3"/>
    <w:basedOn w:val="Normal"/>
    <w:uiPriority w:val="99"/>
    <w:unhideWhenUsed/>
    <w:rsid w:val="0029639D"/>
    <w:pPr>
      <w:numPr>
        <w:numId w:val="7"/>
      </w:numPr>
      <w:contextualSpacing/>
      <w:snapToGrid w:val="0"/>
    </w:pPr>
  </w:style>
  <w:style w:type="paragraph" w:styleId="ListContinue">
    <w:name w:val="List Continue"/>
    <w:basedOn w:val="Normal"/>
    <w:uiPriority w:val="99"/>
    <w:unhideWhenUsed/>
    <w:rsid w:val="0029639D"/>
    <w:pPr>
      <w:spacing w:after="120"/>
      <w:ind w:left="360"/>
      <w:contextualSpacing/>
      <w:snapToGrid w:val="0"/>
    </w:pPr>
  </w:style>
  <w:style w:type="paragraph" w:styleId="ListContinue2">
    <w:name w:val="List Continue 2"/>
    <w:basedOn w:val="Normal"/>
    <w:uiPriority w:val="99"/>
    <w:unhideWhenUsed/>
    <w:rsid w:val="0029639D"/>
    <w:pPr>
      <w:spacing w:after="120"/>
      <w:ind w:left="720"/>
      <w:contextualSpacing/>
      <w:snapToGrid w:val="0"/>
    </w:pPr>
  </w:style>
  <w:style w:type="paragraph" w:styleId="ListContinue3">
    <w:name w:val="List Continue 3"/>
    <w:basedOn w:val="Normal"/>
    <w:uiPriority w:val="99"/>
    <w:unhideWhenUsed/>
    <w:rsid w:val="0029639D"/>
    <w:pPr>
      <w:spacing w:after="120"/>
      <w:ind w:left="1080"/>
      <w:contextualSpacing/>
      <w:snapToGrid w:val="0"/>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napToGrid w:val="0"/>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napToGrid w:val="0"/>
    </w:pPr>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snapToGrid w:val="0"/>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snapToGrid w:val="0"/>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snapToGrid w:val="0"/>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TabICLv2로 UPC의 cell 소속을 수정하는 연구 방향</dc:title>
  <dc:subject>관측 정답을 이용한 관계 점수와 독립적인 RCTL 연결</dc:subject>
  <dc:creator>연구 검토</dc:creator>
  <cp:keywords/>
  <dc:description>generated by python-docx</dc:description>
  <cp:lastModifiedBy/>
  <cp:revision>1</cp:revision>
  <dcterms:created xsi:type="dcterms:W3CDTF">2013-12-23T23:15:00Z</dcterms:created>
  <dcterms:modified xsi:type="dcterms:W3CDTF">2013-12-23T23:15:00Z</dcterms:modified>
  <cp:category/>
</cp:coreProperties>
</file>