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00" w:lineRule="auto"/>
        <w:rPr>
          <w:rFonts w:ascii="Malgun Gothic" w:cs="Malgun Gothic" w:eastAsia="Malgun Gothic" w:hAnsi="Malgun Gothic"/>
          <w:b w:val="0"/>
          <w:bCs w:val="0"/>
        </w:rPr>
      </w:pPr>
      <w:r>
        <w:rPr>
          <w:b w:val="0"/>
          <w:bCs w:val="0"/>
          <w:rtl w:val="0"/>
        </w:rPr>
        <w:t xml:space="preserve"> </w:t>
      </w:r>
      <w:r>
        <w:rPr>
          <w:b w:val="0"/>
          <w:bCs w:val="0"/>
        </w:rPr>
        <mc:AlternateContent>
          <mc:Choice Requires="wpg">
            <w:drawing>
              <wp:anchor allowOverlap="1" behindDoc="1" distB="0" distT="0" distL="0" distR="0" hidden="0" layoutInCell="1" locked="0" relativeHeight="0" simplePos="0">
                <wp:simplePos x="0" y="0"/>
                <wp:positionH relativeFrom="page">
                  <wp:posOffset>-363370</wp:posOffset>
                </wp:positionH>
                <wp:positionV relativeFrom="page">
                  <wp:posOffset>-57849</wp:posOffset>
                </wp:positionV>
                <wp:extent cx="8453438" cy="7249802"/>
                <wp:effectExtent b="0" l="0" r="0" t="0"/>
                <wp:wrapNone/>
                <wp:docPr id="14" name=""/>
                <a:graphic>
                  <a:graphicData uri="http://schemas.microsoft.com/office/word/2010/wordprocessingGroup">
                    <wpg:wgp>
                      <wpg:cNvGrpSpPr/>
                      <wpg:grpSpPr>
                        <a:xfrm>
                          <a:off x="1119275" y="155075"/>
                          <a:ext cx="8453438" cy="7249802"/>
                          <a:chOff x="1119275" y="155075"/>
                          <a:chExt cx="8453450" cy="7249850"/>
                        </a:xfrm>
                      </wpg:grpSpPr>
                      <wpg:grpSp>
                        <wpg:cNvGrpSpPr/>
                        <wpg:grpSpPr>
                          <a:xfrm>
                            <a:off x="1119281" y="155099"/>
                            <a:ext cx="8453438" cy="7249802"/>
                            <a:chOff x="1119275" y="155075"/>
                            <a:chExt cx="8453450" cy="7249850"/>
                          </a:xfrm>
                        </wpg:grpSpPr>
                        <wps:wsp>
                          <wps:cNvSpPr/>
                          <wps:cNvPr id="3" name="Shape 3"/>
                          <wps:spPr>
                            <a:xfrm>
                              <a:off x="1119275" y="155075"/>
                              <a:ext cx="8453450" cy="72498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119281" y="155099"/>
                              <a:ext cx="8453438" cy="7249802"/>
                              <a:chOff x="1119275" y="155075"/>
                              <a:chExt cx="8453450" cy="7249850"/>
                            </a:xfrm>
                          </wpg:grpSpPr>
                          <wps:wsp>
                            <wps:cNvSpPr/>
                            <wps:cNvPr id="5" name="Shape 5"/>
                            <wps:spPr>
                              <a:xfrm>
                                <a:off x="1119275" y="155075"/>
                                <a:ext cx="8453450" cy="72498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119281" y="155099"/>
                                <a:ext cx="8453438" cy="7249802"/>
                                <a:chOff x="1119275" y="155075"/>
                                <a:chExt cx="8453450" cy="7249850"/>
                              </a:xfrm>
                            </wpg:grpSpPr>
                            <wps:wsp>
                              <wps:cNvSpPr/>
                              <wps:cNvPr id="7" name="Shape 7"/>
                              <wps:spPr>
                                <a:xfrm>
                                  <a:off x="1119275" y="155075"/>
                                  <a:ext cx="8453450" cy="72498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119281" y="155099"/>
                                  <a:ext cx="8453438" cy="7249802"/>
                                  <a:chOff x="2249325" y="1227825"/>
                                  <a:chExt cx="5784900" cy="4965750"/>
                                </a:xfrm>
                              </wpg:grpSpPr>
                              <wps:wsp>
                                <wps:cNvSpPr/>
                                <wps:cNvPr id="9" name="Shape 9"/>
                                <wps:spPr>
                                  <a:xfrm>
                                    <a:off x="2249325" y="1227825"/>
                                    <a:ext cx="5784900" cy="49657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10" name="Shape 10"/>
                                  <pic:cNvPicPr preferRelativeResize="0"/>
                                </pic:nvPicPr>
                                <pic:blipFill rotWithShape="1">
                                  <a:blip r:embed="rId7">
                                    <a:alphaModFix/>
                                  </a:blip>
                                  <a:srcRect b="0" l="0" r="0" t="0"/>
                                  <a:stretch/>
                                </pic:blipFill>
                                <pic:spPr>
                                  <a:xfrm flipH="1" rot="10800000">
                                    <a:off x="2274750" y="1253250"/>
                                    <a:ext cx="5734050" cy="4914900"/>
                                  </a:xfrm>
                                  <a:prstGeom prst="rect">
                                    <a:avLst/>
                                  </a:prstGeom>
                                  <a:noFill/>
                                  <a:ln cap="flat" cmpd="sng" w="25400">
                                    <a:solidFill>
                                      <a:srgbClr val="F8FAFD"/>
                                    </a:solidFill>
                                    <a:prstDash val="solid"/>
                                    <a:miter lim="0"/>
                                    <a:headEnd len="sm" w="sm" type="none"/>
                                    <a:tailEnd len="sm" w="sm" type="none"/>
                                  </a:ln>
                                </pic:spPr>
                              </pic:pic>
                            </wpg:grpSp>
                          </wpg:grpSp>
                        </wpg:grpSp>
                      </wpg:grpSp>
                    </wpg:wgp>
                  </a:graphicData>
                </a:graphic>
              </wp:anchor>
            </w:drawing>
          </mc:Choice>
          <mc:Fallback>
            <w:drawing>
              <wp:anchor allowOverlap="1" behindDoc="1" distB="0" distT="0" distL="0" distR="0" hidden="0" layoutInCell="1" locked="0" relativeHeight="0" simplePos="0">
                <wp:simplePos x="0" y="0"/>
                <wp:positionH relativeFrom="page">
                  <wp:posOffset>-363370</wp:posOffset>
                </wp:positionH>
                <wp:positionV relativeFrom="page">
                  <wp:posOffset>-57849</wp:posOffset>
                </wp:positionV>
                <wp:extent cx="8453438" cy="7249802"/>
                <wp:effectExtent b="0" l="0" r="0" t="0"/>
                <wp:wrapNone/>
                <wp:docPr id="14"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8453438" cy="7249802"/>
                        </a:xfrm>
                        <a:prstGeom prst="rect"/>
                        <a:ln/>
                      </pic:spPr>
                    </pic:pic>
                  </a:graphicData>
                </a:graphic>
              </wp:anchor>
            </w:drawing>
          </mc:Fallback>
        </mc:AlternateContent>
      </w:r>
      <w:r>
        <w:rPr>
          <w:rtl w:val="0"/>
        </w:rPr>
      </w:r>
    </w:p>
    <w:tbl>
      <w:tblPr>
        <w:tblStyle w:val="Table1"/>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9925"/>
        <w:tblGridChange w:id="0">
          <w:tblGrid>
            <w:gridCol w:w="9925"/>
          </w:tblGrid>
        </w:tblGridChange>
      </w:tblGrid>
      <w:tr>
        <w:trPr>
          <w:cantSplit w:val="0"/>
          <w:trHeight w:val="1297" w:hRule="atLeast"/>
          <w:tblHeader w:val="0"/>
        </w:trPr>
        <w:tc>
          <w:tcPr>
            <w:tcBorders>
              <w:top w:color="0b57d0" w:space="0" w:sz="18" w:val="single"/>
              <w:left w:color="000000" w:space="0" w:sz="0" w:val="nil"/>
              <w:bottom w:color="000000" w:space="0" w:sz="0" w:val="nil"/>
              <w:right w:color="33bcb1" w:space="0" w:sz="18" w:val="single"/>
            </w:tcBorders>
            <w:tcMar>
              <w:top w:w="100.0" w:type="dxa"/>
              <w:left w:w="100.0" w:type="dxa"/>
              <w:bottom w:w="100.0" w:type="dxa"/>
              <w:right w:w="100.0" w:type="dxa"/>
            </w:tcMar>
          </w:tcPr>
          <w:p w:rsidR="00000000" w:rsidDel="00000000" w:rsidP="00000000" w:rsidRDefault="00000000" w:rsidRPr="00000000" w14:paraId="00000002">
            <w:pPr>
              <w:spacing w:after="60" w:line="264" w:lineRule="auto"/>
              <w:rPr>
                <w:rFonts w:ascii="Malgun Gothic" w:cs="Malgun Gothic" w:eastAsia="Malgun Gothic" w:hAnsi="Malgun Gothic"/>
                <w:b w:val="0"/>
                <w:bCs w:val="0"/>
              </w:rPr>
            </w:pPr>
            <w:r>
              <w:rPr>
                <w:rFonts w:ascii="Malgun Gothic" w:cs="Malgun Gothic" w:eastAsia="Malgun Gothic" w:hAnsi="Malgun Gothic"/>
                <w:b w:val="0"/>
                <w:bCs w:val="0"/>
                <w:sz w:val="40"/>
                <w:szCs w:val="40"/>
                <w:rtl w:val="0"/>
              </w:rPr>
              <w:t xml:space="preserve">SK 네트웍스 Family AI 33기 : 4팀</w:t>
              <w:br w:type="textWrapping"/>
            </w:r>
            <w:r>
              <w:rPr>
                <w:rFonts w:ascii="Malgun Gothic" w:cs="Malgun Gothic" w:eastAsia="Malgun Gothic" w:hAnsi="Malgun Gothic"/>
                <w:sz w:val="40"/>
                <w:szCs w:val="40"/>
                <w:rtl w:val="0"/>
              </w:rPr>
              <w:t xml:space="preserve">머니쿠션 프로젝트 기획서</w:t>
            </w:r>
            <w:r>
              <w:rPr>
                <w:rtl w:val="0"/>
              </w:rPr>
            </w:r>
          </w:p>
        </w:tc>
      </w:tr>
    </w:tbl>
    <w:p w:rsidR="00000000" w:rsidDel="00000000" w:rsidP="00000000" w:rsidRDefault="00000000" w:rsidRPr="00000000" w14:paraId="00000003">
      <w:pPr>
        <w:rPr>
          <w:rFonts w:ascii="Malgun Gothic" w:cs="Malgun Gothic" w:eastAsia="Malgun Gothic" w:hAnsi="Malgun Gothic"/>
        </w:rPr>
      </w:pPr>
      <w:r>
        <w:rPr>
          <w:rtl w:val="0"/>
        </w:rPr>
      </w:r>
    </w:p>
    <w:p w:rsidR="00000000" w:rsidDel="00000000" w:rsidP="00000000" w:rsidRDefault="00000000" w:rsidRPr="00000000" w14:paraId="00000004">
      <w:pPr>
        <w:rPr>
          <w:rFonts w:ascii="Malgun Gothic" w:cs="Malgun Gothic" w:eastAsia="Malgun Gothic" w:hAnsi="Malgun Gothic"/>
        </w:rPr>
      </w:pPr>
      <w:r>
        <w:rPr>
          <w:rtl w:val="0"/>
        </w:rPr>
      </w:r>
    </w:p>
    <w:tbl>
      <w:tblPr>
        <w:tblStyle w:val="Table2"/>
        <w:tblpPr w:leftFromText="180" w:rightFromText="180" w:topFromText="180" w:bottomFromText="180" w:vertAnchor="page" w:horzAnchor="margin" w:tblpXSpec="center" w:tblpYSpec="bottom"/>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6750"/>
        <w:tblGridChange w:id="0">
          <w:tblGrid>
            <w:gridCol w:w="2250"/>
            <w:gridCol w:w="6750"/>
          </w:tblGrid>
        </w:tblGridChange>
      </w:tblGrid>
      <w:tr>
        <w:trPr>
          <w:cantSplit w:val="0"/>
          <w:tblHeader w:val="1"/>
        </w:trPr>
        <w:tc>
          <w:tcPr>
            <w:tcBorders>
              <w:top w:color="0b57d0" w:space="0" w:sz="18" w:val="single"/>
              <w:left w:color="000000" w:space="0" w:sz="0" w:val="nil"/>
              <w:bottom w:color="0b57d0" w:space="0" w:sz="4" w:val="single"/>
              <w:right w:color="0b57d0" w:space="0" w:sz="4" w:val="single"/>
            </w:tcBorders>
            <w:tcMar>
              <w:top w:w="340.0" w:type="dxa"/>
              <w:left w:w="340.0" w:type="dxa"/>
              <w:bottom w:w="340.0" w:type="dxa"/>
              <w:right w:w="340.0" w:type="dxa"/>
            </w:tcMar>
          </w:tcPr>
          <w:p w:rsidR="00000000" w:rsidDel="00000000" w:rsidP="00000000" w:rsidRDefault="00000000" w:rsidRPr="00000000" w14:paraId="00000005">
            <w:pPr>
              <w:widowControl w:val="0"/>
              <w:spacing w:after="60" w:line="264" w:lineRule="auto"/>
              <w:jc w:val="center"/>
              <w:rPr>
                <w:rFonts w:ascii="Malgun Gothic" w:cs="Malgun Gothic" w:eastAsia="Malgun Gothic" w:hAnsi="Malgun Gothic"/>
                <w:sz w:val="24"/>
                <w:szCs w:val="24"/>
              </w:rPr>
            </w:pPr>
            <w:r>
              <w:rPr>
                <w:rFonts w:ascii="Malgun Gothic" w:cs="Malgun Gothic" w:eastAsia="Malgun Gothic" w:hAnsi="Malgun Gothic"/>
                <w:sz w:val="24"/>
                <w:szCs w:val="24"/>
                <w:rtl w:val="0"/>
              </w:rPr>
              <w:t xml:space="preserve">산출물 단계</w:t>
            </w:r>
          </w:p>
        </w:tc>
        <w:tc>
          <w:tcPr>
            <w:tcBorders>
              <w:top w:color="0b57d0" w:space="0" w:sz="18" w:val="single"/>
              <w:left w:color="0b57d0" w:space="0" w:sz="4" w:val="single"/>
              <w:bottom w:color="0b57d0" w:space="0" w:sz="4" w:val="single"/>
              <w:right w:color="000000" w:space="0" w:sz="0" w:val="nil"/>
            </w:tcBorders>
            <w:tcMar>
              <w:top w:w="340.0" w:type="dxa"/>
              <w:left w:w="340.0" w:type="dxa"/>
              <w:bottom w:w="340.0" w:type="dxa"/>
              <w:right w:w="340.0" w:type="dxa"/>
            </w:tcMar>
            <w:vAlign w:val="center"/>
          </w:tcPr>
          <w:p w:rsidR="00000000" w:rsidDel="00000000" w:rsidP="00000000" w:rsidRDefault="00000000" w:rsidRPr="00000000" w14:paraId="00000006">
            <w:pPr>
              <w:widowControl w:val="0"/>
              <w:spacing w:after="60" w:line="264" w:lineRule="auto"/>
              <w:rPr>
                <w:rFonts w:ascii="Malgun Gothic" w:cs="Malgun Gothic" w:eastAsia="Malgun Gothic" w:hAnsi="Malgun Gothic"/>
                <w:sz w:val="24"/>
                <w:szCs w:val="24"/>
              </w:rPr>
            </w:pPr>
            <w:r>
              <w:rPr>
                <w:rFonts w:ascii="Malgun Gothic" w:cs="Malgun Gothic" w:eastAsia="Malgun Gothic" w:hAnsi="Malgun Gothic"/>
                <w:sz w:val="24"/>
                <w:szCs w:val="24"/>
                <w:rtl w:val="0"/>
              </w:rPr>
              <w:t xml:space="preserve">기획 · v5 개정본</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0" w:type="dxa"/>
              <w:left w:w="340.0" w:type="dxa"/>
              <w:bottom w:w="340.0" w:type="dxa"/>
              <w:right w:w="340.0" w:type="dxa"/>
            </w:tcMar>
          </w:tcPr>
          <w:p w:rsidR="00000000" w:rsidDel="00000000" w:rsidP="00000000" w:rsidRDefault="00000000" w:rsidRPr="00000000" w14:paraId="00000007">
            <w:pPr>
              <w:widowControl w:val="0"/>
              <w:spacing w:after="60" w:line="264" w:lineRule="auto"/>
              <w:jc w:val="center"/>
              <w:rPr>
                <w:rFonts w:ascii="Malgun Gothic" w:cs="Malgun Gothic" w:eastAsia="Malgun Gothic" w:hAnsi="Malgun Gothic"/>
                <w:sz w:val="24"/>
                <w:szCs w:val="24"/>
              </w:rPr>
            </w:pPr>
            <w:r>
              <w:rPr>
                <w:rFonts w:ascii="Malgun Gothic" w:cs="Malgun Gothic" w:eastAsia="Malgun Gothic" w:hAnsi="Malgun Gothic"/>
                <w:sz w:val="24"/>
                <w:szCs w:val="24"/>
                <w:rtl w:val="0"/>
              </w:rPr>
              <w:t xml:space="preserve">제출 일자</w:t>
            </w:r>
          </w:p>
        </w:tc>
        <w:tc>
          <w:tcPr>
            <w:tcBorders>
              <w:top w:color="0b57d0" w:space="0" w:sz="4" w:val="single"/>
              <w:left w:color="0b57d0" w:space="0" w:sz="4" w:val="single"/>
              <w:bottom w:color="0b57d0" w:space="0" w:sz="4" w:val="single"/>
              <w:right w:color="000000" w:space="0" w:sz="0" w:val="nil"/>
            </w:tcBorders>
            <w:tcMar>
              <w:top w:w="340.0" w:type="dxa"/>
              <w:left w:w="340.0" w:type="dxa"/>
              <w:bottom w:w="340.0" w:type="dxa"/>
              <w:right w:w="340.0" w:type="dxa"/>
            </w:tcMar>
            <w:vAlign w:val="center"/>
          </w:tcPr>
          <w:p w:rsidR="00000000" w:rsidDel="00000000" w:rsidP="00000000" w:rsidRDefault="00000000" w:rsidRPr="00000000" w14:paraId="00000008">
            <w:pPr>
              <w:widowControl w:val="0"/>
              <w:spacing w:after="60" w:line="264" w:lineRule="auto"/>
              <w:rPr>
                <w:rFonts w:ascii="Malgun Gothic" w:cs="Malgun Gothic" w:eastAsia="Malgun Gothic" w:hAnsi="Malgun Gothic"/>
                <w:sz w:val="24"/>
                <w:szCs w:val="24"/>
              </w:rPr>
            </w:pPr>
            <w:r>
              <w:rPr>
                <w:rFonts w:ascii="Malgun Gothic" w:cs="Malgun Gothic" w:eastAsia="Malgun Gothic" w:hAnsi="Malgun Gothic"/>
                <w:sz w:val="24"/>
                <w:szCs w:val="24"/>
                <w:rtl w:val="0"/>
              </w:rPr>
              <w:t xml:space="preserve">최초 제출 2026. 10. 8. / 개정 2026. 10. 15.</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0" w:type="dxa"/>
              <w:left w:w="340.0" w:type="dxa"/>
              <w:bottom w:w="340.0" w:type="dxa"/>
              <w:right w:w="340.0" w:type="dxa"/>
            </w:tcMar>
          </w:tcPr>
          <w:p w:rsidR="00000000" w:rsidDel="00000000" w:rsidP="00000000" w:rsidRDefault="00000000" w:rsidRPr="00000000" w14:paraId="00000009">
            <w:pPr>
              <w:widowControl w:val="0"/>
              <w:spacing w:after="60" w:line="264" w:lineRule="auto"/>
              <w:jc w:val="center"/>
              <w:rPr>
                <w:rFonts w:ascii="Malgun Gothic" w:cs="Malgun Gothic" w:eastAsia="Malgun Gothic" w:hAnsi="Malgun Gothic"/>
                <w:sz w:val="24"/>
                <w:szCs w:val="24"/>
              </w:rPr>
            </w:pPr>
            <w:r>
              <w:rPr>
                <w:rFonts w:ascii="Malgun Gothic" w:cs="Malgun Gothic" w:eastAsia="Malgun Gothic" w:hAnsi="Malgun Gothic"/>
                <w:sz w:val="24"/>
                <w:szCs w:val="24"/>
                <w:rtl w:val="0"/>
              </w:rPr>
              <w:t xml:space="preserve">깃허브 경로</w:t>
            </w:r>
          </w:p>
        </w:tc>
        <w:tc>
          <w:tcPr>
            <w:tcBorders>
              <w:top w:color="0b57d0" w:space="0" w:sz="4" w:val="single"/>
              <w:left w:color="0b57d0" w:space="0" w:sz="4" w:val="single"/>
              <w:bottom w:color="0b57d0" w:space="0" w:sz="4" w:val="single"/>
              <w:right w:color="000000" w:space="0" w:sz="0" w:val="nil"/>
            </w:tcBorders>
            <w:tcMar>
              <w:top w:w="340.0" w:type="dxa"/>
              <w:left w:w="340.0" w:type="dxa"/>
              <w:bottom w:w="340.0" w:type="dxa"/>
              <w:right w:w="340.0" w:type="dxa"/>
            </w:tcMar>
            <w:vAlign w:val="center"/>
          </w:tcPr>
          <w:p w:rsidR="00000000" w:rsidDel="00000000" w:rsidP="00000000" w:rsidRDefault="00000000" w:rsidRPr="00000000" w14:paraId="0000000A">
            <w:pPr>
              <w:widowControl w:val="0"/>
              <w:spacing w:after="60" w:line="264" w:lineRule="auto"/>
              <w:rPr>
                <w:rFonts w:ascii="Malgun Gothic" w:cs="Malgun Gothic" w:eastAsia="Malgun Gothic" w:hAnsi="Malgun Gothic"/>
                <w:sz w:val="24"/>
                <w:szCs w:val="24"/>
              </w:rPr>
            </w:pPr>
            <w:r>
              <w:rPr>
                <w:rFonts w:ascii="Malgun Gothic" w:cs="Malgun Gothic" w:eastAsia="Malgun Gothic" w:hAnsi="Malgun Gothic"/>
                <w:sz w:val="24"/>
                <w:szCs w:val="24"/>
                <w:rtl w:val="0"/>
              </w:rPr>
              <w:t xml:space="preserve">https://github.com/20260528-skn-family-ai-33/SKN33-Final-4Team</w:t>
            </w:r>
          </w:p>
        </w:tc>
      </w:tr>
      <w:tr>
        <w:trPr>
          <w:cantSplit w:val="0"/>
          <w:tblHeader w:val="0"/>
        </w:trPr>
        <w:tc>
          <w:tcPr>
            <w:tcBorders>
              <w:top w:color="0b57d0" w:space="0" w:sz="4" w:val="single"/>
              <w:left w:color="000000" w:space="0" w:sz="0" w:val="nil"/>
              <w:bottom w:color="0b57d0" w:space="0" w:sz="18" w:val="single"/>
              <w:right w:color="0b57d0" w:space="0" w:sz="4" w:val="single"/>
            </w:tcBorders>
            <w:tcMar>
              <w:top w:w="340.0" w:type="dxa"/>
              <w:left w:w="340.0" w:type="dxa"/>
              <w:bottom w:w="340.0" w:type="dxa"/>
              <w:right w:w="340.0" w:type="dxa"/>
            </w:tcMar>
          </w:tcPr>
          <w:p w:rsidR="00000000" w:rsidDel="00000000" w:rsidP="00000000" w:rsidRDefault="00000000" w:rsidRPr="00000000" w14:paraId="0000000B">
            <w:pPr>
              <w:widowControl w:val="0"/>
              <w:spacing w:after="60" w:line="264" w:lineRule="auto"/>
              <w:jc w:val="center"/>
              <w:rPr>
                <w:rFonts w:ascii="Malgun Gothic" w:cs="Malgun Gothic" w:eastAsia="Malgun Gothic" w:hAnsi="Malgun Gothic"/>
                <w:sz w:val="24"/>
                <w:szCs w:val="24"/>
              </w:rPr>
            </w:pPr>
            <w:r>
              <w:rPr>
                <w:rFonts w:ascii="Malgun Gothic" w:cs="Malgun Gothic" w:eastAsia="Malgun Gothic" w:hAnsi="Malgun Gothic"/>
                <w:sz w:val="24"/>
                <w:szCs w:val="24"/>
                <w:rtl w:val="0"/>
              </w:rPr>
              <w:t xml:space="preserve">작성 팀원</w:t>
            </w:r>
          </w:p>
        </w:tc>
        <w:tc>
          <w:tcPr>
            <w:tcBorders>
              <w:top w:color="0b57d0" w:space="0" w:sz="4" w:val="single"/>
              <w:left w:color="0b57d0" w:space="0" w:sz="4" w:val="single"/>
              <w:bottom w:color="0b57d0" w:space="0" w:sz="18" w:val="single"/>
              <w:right w:color="000000" w:space="0" w:sz="0" w:val="nil"/>
            </w:tcBorders>
            <w:tcMar>
              <w:top w:w="340.0" w:type="dxa"/>
              <w:left w:w="340.0" w:type="dxa"/>
              <w:bottom w:w="340.0" w:type="dxa"/>
              <w:right w:w="340.0" w:type="dxa"/>
            </w:tcMar>
            <w:vAlign w:val="center"/>
          </w:tcPr>
          <w:p w:rsidR="00000000" w:rsidDel="00000000" w:rsidP="00000000" w:rsidRDefault="00000000" w:rsidRPr="00000000" w14:paraId="0000000C">
            <w:pPr>
              <w:widowControl w:val="0"/>
              <w:spacing w:after="60" w:line="264" w:lineRule="auto"/>
              <w:rPr>
                <w:rFonts w:ascii="Malgun Gothic" w:cs="Malgun Gothic" w:eastAsia="Malgun Gothic" w:hAnsi="Malgun Gothic"/>
                <w:sz w:val="24"/>
                <w:szCs w:val="24"/>
              </w:rPr>
            </w:pPr>
            <w:r>
              <w:rPr>
                <w:rFonts w:ascii="Malgun Gothic" w:cs="Malgun Gothic" w:eastAsia="Malgun Gothic" w:hAnsi="Malgun Gothic"/>
                <w:sz w:val="24"/>
                <w:szCs w:val="24"/>
                <w:rtl w:val="0"/>
              </w:rPr>
              <w:t xml:space="preserve">권세진, 김나은, 김혜리</w:t>
            </w:r>
          </w:p>
        </w:tc>
      </w:tr>
    </w:tbl>
    <w:p w:rsidR="00000000" w:rsidDel="00000000" w:rsidP="00000000" w:rsidRDefault="00000000" w:rsidRPr="00000000" w14:paraId="0000000D">
      <w:pPr>
        <w:rPr>
          <w:rFonts w:ascii="Malgun Gothic" w:cs="Malgun Gothic" w:eastAsia="Malgun Gothic" w:hAnsi="Malgun Gothic"/>
        </w:rPr>
      </w:pPr>
      <w:r>
        <w:rPr>
          <w:rtl w:val="0"/>
        </w:rPr>
      </w:r>
    </w:p>
    <w:p w:rsidR="00000000" w:rsidDel="00000000" w:rsidP="00000000" w:rsidRDefault="00000000" w:rsidRPr="00000000" w14:paraId="0000000E">
      <w:pPr>
        <w:rPr>
          <w:rFonts w:ascii="Malgun Gothic" w:cs="Malgun Gothic" w:eastAsia="Malgun Gothic" w:hAnsi="Malgun Gothic"/>
        </w:rPr>
      </w:pPr>
      <w:r>
        <w:br w:type="page"/>
      </w:r>
      <w:r>
        <w:rPr>
          <w:rtl w:val="0"/>
        </w:rPr>
      </w:r>
    </w:p>
    <w:p w:rsidR="00000000" w:rsidDel="00000000" w:rsidP="00000000" w:rsidRDefault="00000000" w:rsidRPr="00000000" w14:paraId="0000000F">
      <w:pPr>
        <w:rPr>
          <w:rFonts w:ascii="Malgun Gothic" w:cs="Malgun Gothic" w:eastAsia="Malgun Gothic" w:hAnsi="Malgun Gothic"/>
          <w:b w:val="0"/>
          <w:bCs w:val="0"/>
        </w:rPr>
      </w:pPr>
      <w:r>
        <w:rPr>
          <w:rtl w:val="0"/>
        </w:rPr>
      </w:r>
    </w:p>
    <w:tbl>
      <w:tblPr>
        <w:tblStyle w:val="Table3"/>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9925"/>
        <w:tblGridChange w:id="0">
          <w:tblGrid>
            <w:gridCol w:w="9925"/>
          </w:tblGrid>
        </w:tblGridChange>
      </w:tblGrid>
      <w:tr>
        <w:trPr>
          <w:cantSplit w:val="0"/>
          <w:trHeight w:val="427" w:hRule="atLeast"/>
          <w:tblHeader w:val="0"/>
        </w:trPr>
        <w:tc>
          <w:tcPr>
            <w:tcBorders>
              <w:top w:color="0b57d0" w:space="0" w:sz="18" w:val="single"/>
              <w:left w:color="000000" w:space="0" w:sz="0" w:val="nil"/>
              <w:bottom w:color="000000" w:space="0" w:sz="0" w:val="nil"/>
              <w:right w:color="33bcb1" w:space="0" w:sz="18" w:val="single"/>
            </w:tcBorders>
            <w:tcMar>
              <w:top w:w="100.0" w:type="dxa"/>
              <w:left w:w="100.0" w:type="dxa"/>
              <w:bottom w:w="100.0" w:type="dxa"/>
              <w:right w:w="100.0" w:type="dxa"/>
            </w:tcMar>
          </w:tcPr>
          <w:p w:rsidR="00000000" w:rsidDel="00000000" w:rsidP="00000000" w:rsidRDefault="00000000" w:rsidRPr="00000000" w14:paraId="00000010">
            <w:pPr>
              <w:spacing w:after="60" w:line="264" w:lineRule="auto"/>
              <w:rPr>
                <w:rFonts w:ascii="Malgun Gothic" w:cs="Malgun Gothic" w:eastAsia="Malgun Gothic" w:hAnsi="Malgun Gothic"/>
                <w:b w:val="0"/>
                <w:bCs w:val="0"/>
                <w:sz w:val="16"/>
                <w:szCs w:val="16"/>
              </w:rPr>
            </w:pPr>
            <w:r>
              <w:rPr>
                <w:rFonts w:ascii="Malgun Gothic" w:cs="Malgun Gothic" w:eastAsia="Malgun Gothic" w:hAnsi="Malgun Gothic"/>
                <w:sz w:val="40"/>
                <w:szCs w:val="40"/>
                <w:rtl w:val="0"/>
              </w:rPr>
              <w:t xml:space="preserve">프로젝트 기획</w:t>
            </w:r>
            <w:r>
              <w:rPr>
                <w:rtl w:val="0"/>
              </w:rPr>
            </w:r>
          </w:p>
        </w:tc>
      </w:tr>
    </w:tbl>
    <w:p w:rsidR="00000000" w:rsidDel="00000000" w:rsidP="00000000" w:rsidRDefault="00000000" w:rsidRPr="00000000" w14:paraId="00000011">
      <w:pPr>
        <w:widowControl w:val="0"/>
        <w:spacing w:line="240" w:lineRule="auto"/>
        <w:jc w:val="both"/>
        <w:rPr>
          <w:rFonts w:ascii="Gulim" w:cs="Gulim" w:eastAsia="Gulim" w:hAnsi="Gulim"/>
        </w:rPr>
      </w:pPr>
      <w:r>
        <w:rPr>
          <w:rtl w:val="0"/>
        </w:rPr>
      </w:r>
    </w:p>
    <w:p w:rsidR="00000000" w:rsidDel="00000000" w:rsidP="00000000" w:rsidRDefault="00000000" w:rsidRPr="00000000" w14:paraId="00000012">
      <w:pPr>
        <w:widowControl w:val="0"/>
        <w:numPr>
          <w:ilvl w:val="0"/>
          <w:numId w:val="1"/>
        </w:numPr>
        <w:spacing w:after="200" w:lineRule="auto"/>
        <w:ind w:left="720" w:hanging="360"/>
        <w:jc w:val="both"/>
        <w:rPr>
          <w:highlight w:val="white"/>
        </w:rPr>
      </w:pPr>
      <w:sdt>
        <w:sdtPr>
          <w:id w:val="1133757616"/>
          <w:tag w:val="goog_rdk_0"/>
        </w:sdtPr>
        <w:sdtContent>
          <w:r>
            <w:rPr>
              <w:rFonts w:ascii="Arial Unicode MS" w:cs="Arial Unicode MS" w:eastAsia="Arial Unicode MS" w:hAnsi="Arial Unicode MS"/>
              <w:highlight w:val="white"/>
              <w:rtl w:val="0"/>
            </w:rPr>
            <w:t xml:space="preserve">프로젝트 주제</w:t>
          </w:r>
        </w:sdtContent>
      </w:sdt>
      <w:r>
        <w:rPr>
          <w:rtl w:val="0"/>
        </w:rPr>
      </w:r>
    </w:p>
    <w:p w:rsidR="00000000" w:rsidDel="00000000" w:rsidP="00000000" w:rsidRDefault="00000000" w:rsidRPr="00000000" w14:paraId="00000013">
      <w:pPr>
        <w:widowControl w:val="0"/>
        <w:numPr>
          <w:ilvl w:val="0"/>
          <w:numId w:val="1"/>
        </w:numPr>
        <w:spacing w:after="200" w:lineRule="auto"/>
        <w:ind w:left="720" w:hanging="360"/>
        <w:jc w:val="both"/>
        <w:rPr>
          <w:highlight w:val="white"/>
        </w:rPr>
      </w:pPr>
      <w:sdt>
        <w:sdtPr>
          <w:id w:val="1009302251"/>
          <w:tag w:val="goog_rdk_1"/>
        </w:sdtPr>
        <w:sdtContent>
          <w:r>
            <w:rPr>
              <w:rFonts w:ascii="Arial Unicode MS" w:cs="Arial Unicode MS" w:eastAsia="Arial Unicode MS" w:hAnsi="Arial Unicode MS"/>
              <w:highlight w:val="white"/>
              <w:rtl w:val="0"/>
            </w:rPr>
            <w:t xml:space="preserve">문제 정의</w:t>
          </w:r>
        </w:sdtContent>
      </w:sdt>
      <w:r>
        <w:rPr>
          <w:rtl w:val="0"/>
        </w:rPr>
      </w:r>
    </w:p>
    <w:p w:rsidR="00000000" w:rsidDel="00000000" w:rsidP="00000000" w:rsidRDefault="00000000" w:rsidRPr="00000000" w14:paraId="00000014">
      <w:pPr>
        <w:widowControl w:val="0"/>
        <w:numPr>
          <w:ilvl w:val="0"/>
          <w:numId w:val="1"/>
        </w:numPr>
        <w:spacing w:after="200" w:lineRule="auto"/>
        <w:ind w:left="720" w:hanging="360"/>
        <w:jc w:val="both"/>
        <w:rPr>
          <w:highlight w:val="white"/>
        </w:rPr>
      </w:pPr>
      <w:sdt>
        <w:sdtPr>
          <w:id w:val="-1965894769"/>
          <w:tag w:val="goog_rdk_2"/>
        </w:sdtPr>
        <w:sdtContent>
          <w:r>
            <w:rPr>
              <w:rFonts w:ascii="Arial Unicode MS" w:cs="Arial Unicode MS" w:eastAsia="Arial Unicode MS" w:hAnsi="Arial Unicode MS"/>
              <w:highlight w:val="white"/>
              <w:rtl w:val="0"/>
            </w:rPr>
            <w:t xml:space="preserve">시장조사 및 BM 분석</w:t>
          </w:r>
        </w:sdtContent>
      </w:sdt>
      <w:r>
        <w:rPr>
          <w:rtl w:val="0"/>
        </w:rPr>
      </w:r>
    </w:p>
    <w:p w:rsidR="00000000" w:rsidDel="00000000" w:rsidP="00000000" w:rsidRDefault="00000000" w:rsidRPr="00000000" w14:paraId="00000015">
      <w:pPr>
        <w:widowControl w:val="0"/>
        <w:numPr>
          <w:ilvl w:val="0"/>
          <w:numId w:val="1"/>
        </w:numPr>
        <w:spacing w:after="200" w:lineRule="auto"/>
        <w:ind w:left="720" w:hanging="360"/>
        <w:jc w:val="both"/>
        <w:rPr>
          <w:highlight w:val="white"/>
        </w:rPr>
      </w:pPr>
      <w:sdt>
        <w:sdtPr>
          <w:id w:val="-781908380"/>
          <w:tag w:val="goog_rdk_3"/>
        </w:sdtPr>
        <w:sdtContent>
          <w:r>
            <w:rPr>
              <w:rFonts w:ascii="Arial Unicode MS" w:cs="Arial Unicode MS" w:eastAsia="Arial Unicode MS" w:hAnsi="Arial Unicode MS"/>
              <w:highlight w:val="white"/>
              <w:rtl w:val="0"/>
            </w:rPr>
            <w:t xml:space="preserve">시스템 구성 기획</w:t>
          </w:r>
        </w:sdtContent>
      </w:sdt>
      <w:r>
        <w:rPr>
          <w:rtl w:val="0"/>
        </w:rPr>
      </w:r>
    </w:p>
    <w:p w:rsidR="00000000" w:rsidDel="00000000" w:rsidP="00000000" w:rsidRDefault="00000000" w:rsidRPr="00000000" w14:paraId="00000016">
      <w:pPr>
        <w:widowControl w:val="0"/>
        <w:numPr>
          <w:ilvl w:val="0"/>
          <w:numId w:val="1"/>
        </w:numPr>
        <w:spacing w:after="200" w:lineRule="auto"/>
        <w:ind w:left="720" w:hanging="360"/>
        <w:jc w:val="both"/>
        <w:rPr>
          <w:highlight w:val="white"/>
        </w:rPr>
      </w:pPr>
      <w:sdt>
        <w:sdtPr>
          <w:id w:val="-946109373"/>
          <w:tag w:val="goog_rdk_4"/>
        </w:sdtPr>
        <w:sdtContent>
          <w:r>
            <w:rPr>
              <w:rFonts w:ascii="Arial Unicode MS" w:cs="Arial Unicode MS" w:eastAsia="Arial Unicode MS" w:hAnsi="Arial Unicode MS"/>
              <w:highlight w:val="white"/>
              <w:rtl w:val="0"/>
            </w:rPr>
            <w:t xml:space="preserve">모델링 계획</w:t>
          </w:r>
        </w:sdtContent>
      </w:sdt>
      <w:r>
        <w:rPr>
          <w:rtl w:val="0"/>
        </w:rPr>
      </w:r>
    </w:p>
    <w:p w:rsidR="00000000" w:rsidDel="00000000" w:rsidP="00000000" w:rsidRDefault="00000000" w:rsidRPr="00000000" w14:paraId="00000017">
      <w:pPr>
        <w:widowControl w:val="0"/>
        <w:numPr>
          <w:ilvl w:val="0"/>
          <w:numId w:val="1"/>
        </w:numPr>
        <w:spacing w:after="200" w:lineRule="auto"/>
        <w:ind w:left="720" w:hanging="360"/>
        <w:jc w:val="both"/>
        <w:rPr>
          <w:highlight w:val="white"/>
        </w:rPr>
      </w:pPr>
      <w:sdt>
        <w:sdtPr>
          <w:id w:val="1246277874"/>
          <w:tag w:val="goog_rdk_5"/>
        </w:sdtPr>
        <w:sdtContent>
          <w:r>
            <w:rPr>
              <w:rFonts w:ascii="Arial Unicode MS" w:cs="Arial Unicode MS" w:eastAsia="Arial Unicode MS" w:hAnsi="Arial Unicode MS"/>
              <w:highlight w:val="white"/>
              <w:rtl w:val="0"/>
            </w:rPr>
            <w:t xml:space="preserve">데이터 수집 전략</w:t>
          </w:r>
        </w:sdtContent>
      </w:sdt>
      <w:r>
        <w:rPr>
          <w:rtl w:val="0"/>
        </w:rPr>
      </w:r>
    </w:p>
    <w:p w:rsidR="00000000" w:rsidDel="00000000" w:rsidP="00000000" w:rsidRDefault="00000000" w:rsidRPr="00000000" w14:paraId="00000018">
      <w:pPr>
        <w:widowControl w:val="0"/>
        <w:numPr>
          <w:ilvl w:val="0"/>
          <w:numId w:val="1"/>
        </w:numPr>
        <w:spacing w:after="200" w:lineRule="auto"/>
        <w:ind w:left="720" w:hanging="360"/>
        <w:jc w:val="both"/>
        <w:rPr>
          <w:highlight w:val="white"/>
        </w:rPr>
      </w:pPr>
      <w:sdt>
        <w:sdtPr>
          <w:id w:val="966825205"/>
          <w:tag w:val="goog_rdk_6"/>
        </w:sdtPr>
        <w:sdtContent>
          <w:r>
            <w:rPr>
              <w:rFonts w:ascii="Arial Unicode MS" w:cs="Arial Unicode MS" w:eastAsia="Arial Unicode MS" w:hAnsi="Arial Unicode MS"/>
              <w:highlight w:val="white"/>
              <w:rtl w:val="0"/>
            </w:rPr>
            <w:t xml:space="preserve">역할분담(R&amp;R)</w:t>
          </w:r>
        </w:sdtContent>
      </w:sdt>
      <w:r>
        <w:rPr>
          <w:rtl w:val="0"/>
        </w:rPr>
      </w:r>
    </w:p>
    <w:p w:rsidR="00000000" w:rsidDel="00000000" w:rsidP="00000000" w:rsidRDefault="00000000" w:rsidRPr="00000000" w14:paraId="00000019">
      <w:pPr>
        <w:widowControl w:val="0"/>
        <w:spacing w:after="200" w:lineRule="auto"/>
        <w:jc w:val="both"/>
        <w:rPr>
          <w:highlight w:val="white"/>
        </w:rPr>
      </w:pPr>
      <w:r>
        <w:rPr>
          <w:rtl w:val="0"/>
        </w:rPr>
      </w:r>
    </w:p>
    <w:p w:rsidR="00000000" w:rsidDel="00000000" w:rsidP="00000000" w:rsidRDefault="00000000" w:rsidRPr="00000000" w14:paraId="0000001A">
      <w:pPr>
        <w:widowControl w:val="0"/>
        <w:spacing w:after="200" w:lineRule="auto"/>
        <w:jc w:val="both"/>
        <w:rPr>
          <w:highlight w:val="white"/>
        </w:rPr>
      </w:pPr>
      <w:r>
        <w:rPr>
          <w:rtl w:val="0"/>
        </w:rPr>
      </w:r>
    </w:p>
    <w:p w:rsidR="00000000" w:rsidDel="00000000" w:rsidP="00000000" w:rsidRDefault="00000000" w:rsidRPr="00000000" w14:paraId="0000001B">
      <w:pPr>
        <w:widowControl w:val="0"/>
        <w:spacing w:after="200" w:lineRule="auto"/>
        <w:jc w:val="both"/>
        <w:rPr>
          <w:highlight w:val="white"/>
        </w:rPr>
      </w:pPr>
      <w:r>
        <w:rPr>
          <w:rtl w:val="0"/>
        </w:rPr>
      </w:r>
    </w:p>
    <w:p w:rsidR="00000000" w:rsidDel="00000000" w:rsidP="00000000" w:rsidRDefault="00000000" w:rsidRPr="00000000" w14:paraId="0000001C">
      <w:pPr>
        <w:widowControl w:val="0"/>
        <w:spacing w:after="200" w:lineRule="auto"/>
        <w:jc w:val="both"/>
        <w:rPr>
          <w:highlight w:val="white"/>
        </w:rPr>
      </w:pPr>
      <w:r>
        <w:rPr>
          <w:rtl w:val="0"/>
        </w:rPr>
      </w:r>
    </w:p>
    <w:p w:rsidR="00000000" w:rsidDel="00000000" w:rsidP="00000000" w:rsidRDefault="00000000" w:rsidRPr="00000000" w14:paraId="0000001D">
      <w:pPr>
        <w:widowControl w:val="0"/>
        <w:spacing w:after="200" w:lineRule="auto"/>
        <w:jc w:val="both"/>
        <w:rPr>
          <w:highlight w:val="white"/>
        </w:rPr>
      </w:pPr>
      <w:r>
        <w:rPr>
          <w:rtl w:val="0"/>
        </w:rPr>
      </w:r>
    </w:p>
    <w:p w:rsidR="00000000" w:rsidDel="00000000" w:rsidP="00000000" w:rsidRDefault="00000000" w:rsidRPr="00000000" w14:paraId="0000001E">
      <w:pPr>
        <w:widowControl w:val="0"/>
        <w:spacing w:after="200" w:lineRule="auto"/>
        <w:jc w:val="both"/>
        <w:rPr>
          <w:highlight w:val="white"/>
        </w:rPr>
      </w:pPr>
      <w:r>
        <w:rPr>
          <w:rtl w:val="0"/>
        </w:rPr>
      </w:r>
    </w:p>
    <w:p w:rsidR="00000000" w:rsidDel="00000000" w:rsidP="00000000" w:rsidRDefault="00000000" w:rsidRPr="00000000" w14:paraId="0000001F">
      <w:pPr>
        <w:widowControl w:val="0"/>
        <w:spacing w:after="200" w:lineRule="auto"/>
        <w:jc w:val="both"/>
        <w:rPr>
          <w:highlight w:val="white"/>
        </w:rPr>
      </w:pPr>
      <w:r>
        <w:rPr>
          <w:rtl w:val="0"/>
        </w:rPr>
      </w:r>
    </w:p>
    <w:p w:rsidR="00000000" w:rsidDel="00000000" w:rsidP="00000000" w:rsidRDefault="00000000" w:rsidRPr="00000000" w14:paraId="00000020">
      <w:pPr>
        <w:widowControl w:val="0"/>
        <w:spacing w:line="20" w:lineRule="auto"/>
        <w:jc w:val="both"/>
        <w:rPr>
          <w:highlight w:val="white"/>
        </w:rPr>
      </w:pPr>
      <w:r>
        <w:rPr>
          <w:rtl w:val="0"/>
        </w:rPr>
      </w:r>
    </w:p>
    <w:p w:rsidR="00000000" w:rsidDel="00000000" w:rsidP="00000000" w:rsidRDefault="00000000" w:rsidRPr="00000000" w14:paraId="00000021">
      <w:pPr>
        <w:widowControl w:val="0"/>
        <w:spacing w:line="20" w:lineRule="auto"/>
        <w:jc w:val="both"/>
        <w:rPr>
          <w:highlight w:val="white"/>
        </w:rPr>
      </w:pPr>
      <w:r>
        <w:rPr>
          <w:rtl w:val="0"/>
        </w:rPr>
      </w:r>
    </w:p>
    <w:p w:rsidR="00000000" w:rsidDel="00000000" w:rsidP="00000000" w:rsidRDefault="00000000" w:rsidRPr="00000000" w14:paraId="00000022">
      <w:pPr>
        <w:widowControl w:val="0"/>
        <w:spacing w:line="20" w:lineRule="auto"/>
        <w:jc w:val="both"/>
        <w:rPr>
          <w:highlight w:val="white"/>
        </w:rPr>
      </w:pPr>
      <w:r>
        <w:rPr>
          <w:rtl w:val="0"/>
        </w:rPr>
      </w:r>
    </w:p>
    <w:p w:rsidR="00000000" w:rsidDel="00000000" w:rsidP="00000000" w:rsidRDefault="00000000" w:rsidRPr="00000000" w14:paraId="00000023">
      <w:pPr>
        <w:widowControl w:val="0"/>
        <w:spacing w:line="20" w:lineRule="auto"/>
        <w:jc w:val="both"/>
        <w:rPr>
          <w:highlight w:val="white"/>
        </w:rPr>
      </w:pPr>
      <w:r>
        <w:rPr>
          <w:rtl w:val="0"/>
        </w:rPr>
      </w:r>
    </w:p>
    <w:p w:rsidR="00000000" w:rsidDel="00000000" w:rsidP="00000000" w:rsidRDefault="00000000" w:rsidRPr="00000000" w14:paraId="00000024">
      <w:pPr>
        <w:widowControl w:val="0"/>
        <w:spacing w:line="20" w:lineRule="auto"/>
        <w:jc w:val="both"/>
        <w:rPr>
          <w:highlight w:val="white"/>
        </w:rPr>
      </w:pPr>
      <w:r>
        <w:rPr>
          <w:rtl w:val="0"/>
        </w:rPr>
      </w:r>
    </w:p>
    <w:p w:rsidR="00000000" w:rsidDel="00000000" w:rsidP="00000000" w:rsidRDefault="00000000" w:rsidRPr="00000000" w14:paraId="00000025">
      <w:pPr>
        <w:widowControl w:val="0"/>
        <w:spacing w:line="20" w:lineRule="auto"/>
        <w:jc w:val="both"/>
        <w:rPr>
          <w:highlight w:val="white"/>
        </w:rPr>
      </w:pPr>
      <w:r>
        <w:rPr>
          <w:rtl w:val="0"/>
        </w:rPr>
      </w:r>
    </w:p>
    <w:p w:rsidR="00000000" w:rsidDel="00000000" w:rsidP="00000000" w:rsidRDefault="00000000" w:rsidRPr="00000000" w14:paraId="00000026">
      <w:pPr>
        <w:widowControl w:val="0"/>
        <w:spacing w:line="20" w:lineRule="auto"/>
        <w:jc w:val="both"/>
        <w:rPr>
          <w:highlight w:val="white"/>
        </w:rPr>
      </w:pPr>
      <w:r>
        <w:rPr>
          <w:rtl w:val="0"/>
        </w:rPr>
      </w:r>
    </w:p>
    <w:p w:rsidR="00000000" w:rsidDel="00000000" w:rsidP="00000000" w:rsidRDefault="00000000" w:rsidRPr="00000000" w14:paraId="00000027">
      <w:pPr>
        <w:widowControl w:val="0"/>
        <w:spacing w:line="20" w:lineRule="auto"/>
        <w:jc w:val="both"/>
        <w:rPr>
          <w:highlight w:val="white"/>
        </w:rPr>
      </w:pPr>
      <w:r>
        <w:rPr>
          <w:rtl w:val="0"/>
        </w:rPr>
      </w:r>
    </w:p>
    <w:p w:rsidR="00000000" w:rsidDel="00000000" w:rsidP="00000000" w:rsidRDefault="00000000" w:rsidRPr="00000000" w14:paraId="00000028">
      <w:pPr>
        <w:widowControl w:val="0"/>
        <w:spacing w:line="20" w:lineRule="auto"/>
        <w:jc w:val="both"/>
        <w:rPr>
          <w:highlight w:val="white"/>
        </w:rPr>
      </w:pPr>
      <w:r>
        <w:rPr>
          <w:rtl w:val="0"/>
        </w:rPr>
      </w:r>
    </w:p>
    <w:p w:rsidR="00000000" w:rsidDel="00000000" w:rsidP="00000000" w:rsidRDefault="00000000" w:rsidRPr="00000000" w14:paraId="00000029">
      <w:pPr>
        <w:widowControl w:val="0"/>
        <w:spacing w:line="20" w:lineRule="auto"/>
        <w:jc w:val="both"/>
        <w:rPr>
          <w:highlight w:val="white"/>
        </w:rPr>
      </w:pPr>
      <w:r>
        <w:rPr>
          <w:rtl w:val="0"/>
        </w:rPr>
      </w:r>
    </w:p>
    <w:p w:rsidR="00000000" w:rsidDel="00000000" w:rsidP="00000000" w:rsidRDefault="00000000" w:rsidRPr="00000000" w14:paraId="0000002A">
      <w:pPr>
        <w:widowControl w:val="0"/>
        <w:spacing w:line="20" w:lineRule="auto"/>
        <w:jc w:val="both"/>
        <w:rPr>
          <w:highlight w:val="white"/>
        </w:rPr>
      </w:pPr>
      <w:r>
        <w:rPr>
          <w:rtl w:val="0"/>
        </w:rPr>
      </w:r>
    </w:p>
    <w:p w:rsidR="00000000" w:rsidDel="00000000" w:rsidP="00000000" w:rsidRDefault="00000000" w:rsidRPr="00000000" w14:paraId="0000002B">
      <w:pPr>
        <w:pageBreakBefore w:val="1"/>
        <w:spacing w:line="20" w:lineRule="auto"/>
        <w:rPr/>
      </w:pPr>
      <w:r>
        <w:rPr>
          <w:rtl w:val="0"/>
        </w:rPr>
      </w:r>
    </w:p>
    <w:tbl>
      <w:tblPr>
        <w:tblStyle w:val="Table4"/>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9925"/>
        <w:tblGridChange w:id="0">
          <w:tblGrid>
            <w:gridCol w:w="9925"/>
          </w:tblGrid>
        </w:tblGridChange>
      </w:tblGrid>
      <w:tr>
        <w:trPr>
          <w:cantSplit w:val="0"/>
          <w:trHeight w:val="427" w:hRule="atLeast"/>
          <w:tblHeader w:val="0"/>
        </w:trPr>
        <w:tc>
          <w:tcPr>
            <w:tcBorders>
              <w:top w:color="0b57d0" w:space="0" w:sz="18" w:val="single"/>
              <w:left w:color="000000" w:space="0" w:sz="0" w:val="nil"/>
              <w:bottom w:color="000000" w:space="0" w:sz="0" w:val="nil"/>
              <w:right w:color="33bcb1" w:space="0" w:sz="18" w:val="single"/>
            </w:tcBorders>
            <w:tcMar>
              <w:top w:w="100.0" w:type="dxa"/>
              <w:left w:w="100.0" w:type="dxa"/>
              <w:bottom w:w="100.0" w:type="dxa"/>
              <w:right w:w="100.0" w:type="dxa"/>
            </w:tcMar>
          </w:tcPr>
          <w:p w:rsidR="00000000" w:rsidDel="00000000" w:rsidP="00000000" w:rsidRDefault="00000000" w:rsidRPr="00000000" w14:paraId="0000002C">
            <w:pPr>
              <w:keepNext w:val="1"/>
              <w:spacing w:after="60" w:line="264" w:lineRule="auto"/>
              <w:rPr>
                <w:rFonts w:ascii="Malgun Gothic" w:cs="Malgun Gothic" w:eastAsia="Malgun Gothic" w:hAnsi="Malgun Gothic"/>
                <w:b w:val="0"/>
                <w:bCs w:val="0"/>
                <w:sz w:val="16"/>
                <w:szCs w:val="16"/>
              </w:rPr>
            </w:pPr>
            <w:r>
              <w:rPr>
                <w:rFonts w:ascii="Malgun Gothic" w:cs="Malgun Gothic" w:eastAsia="Malgun Gothic" w:hAnsi="Malgun Gothic"/>
                <w:sz w:val="32"/>
                <w:szCs w:val="32"/>
                <w:rtl w:val="0"/>
              </w:rPr>
              <w:t xml:space="preserve">1. 프로젝트 주제</w:t>
            </w:r>
            <w:r>
              <w:rPr>
                <w:rtl w:val="0"/>
              </w:rPr>
            </w:r>
          </w:p>
        </w:tc>
      </w:tr>
    </w:tbl>
    <w:p w:rsidR="00000000" w:rsidDel="00000000" w:rsidP="00000000" w:rsidRDefault="00000000" w:rsidRPr="00000000" w14:paraId="0000002D">
      <w:pPr>
        <w:keepNext w:val="1"/>
        <w:widowControl w:val="0"/>
        <w:spacing w:line="2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2E">
      <w:pPr>
        <w:widowControl w:val="0"/>
        <w:spacing w:after="100" w:lineRule="auto"/>
        <w:rPr>
          <w:rFonts w:ascii="Malgun Gothic" w:cs="Malgun Gothic" w:eastAsia="Malgun Gothic" w:hAnsi="Malgun Gothic"/>
          <w:b w:val="0"/>
          <w:bCs w:val="0"/>
        </w:rPr>
      </w:pPr>
      <w:r>
        <w:rPr>
          <w:rFonts w:ascii="Malgun Gothic" w:cs="Malgun Gothic" w:eastAsia="Malgun Gothic" w:hAnsi="Malgun Gothic"/>
          <w:rtl w:val="0"/>
        </w:rPr>
        <w:t xml:space="preserve">머니쿠션 — 사회초년생 청년을 위한 멀티에이전트 기반 AI 금융 웰니스 서비스</w:t>
      </w:r>
      <w:r>
        <w:rPr>
          <w:rtl w:val="0"/>
        </w:rPr>
      </w:r>
    </w:p>
    <w:p w:rsidR="00000000" w:rsidDel="00000000" w:rsidP="00000000" w:rsidRDefault="00000000" w:rsidRPr="00000000" w14:paraId="0000002F">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머니쿠션은 첫 월급을 받은 사회초년생이 ① 이번 월급을 어떻게 나눌지(</w:t>
      </w:r>
      <w:r>
        <w:rPr>
          <w:rFonts w:ascii="Malgun Gothic" w:cs="Malgun Gothic" w:eastAsia="Malgun Gothic" w:hAnsi="Malgun Gothic"/>
          <w:sz w:val="20"/>
          <w:szCs w:val="20"/>
          <w:rtl w:val="0"/>
        </w:rPr>
        <w:t xml:space="preserve">배분</w:t>
      </w:r>
      <w:r>
        <w:rPr>
          <w:rFonts w:ascii="Malgun Gothic" w:cs="Malgun Gothic" w:eastAsia="Malgun Gothic" w:hAnsi="Malgun Gothic"/>
          <w:b w:val="0"/>
          <w:bCs w:val="0"/>
          <w:sz w:val="20"/>
          <w:szCs w:val="20"/>
          <w:rtl w:val="0"/>
        </w:rPr>
        <w:t xml:space="preserve">), ② 다음 월급날까지 얼마를 써도 되는지(</w:t>
      </w:r>
      <w:r>
        <w:rPr>
          <w:rFonts w:ascii="Malgun Gothic" w:cs="Malgun Gothic" w:eastAsia="Malgun Gothic" w:hAnsi="Malgun Gothic"/>
          <w:sz w:val="20"/>
          <w:szCs w:val="20"/>
          <w:rtl w:val="0"/>
        </w:rPr>
        <w:t xml:space="preserve">판단</w:t>
      </w:r>
      <w:r>
        <w:rPr>
          <w:rFonts w:ascii="Malgun Gothic" w:cs="Malgun Gothic" w:eastAsia="Malgun Gothic" w:hAnsi="Malgun Gothic"/>
          <w:b w:val="0"/>
          <w:bCs w:val="0"/>
          <w:sz w:val="20"/>
          <w:szCs w:val="20"/>
          <w:rtl w:val="0"/>
        </w:rPr>
        <w:t xml:space="preserve">), ③ 예산을 어디서 어떻게 바꿀지(</w:t>
      </w:r>
      <w:r>
        <w:rPr>
          <w:rFonts w:ascii="Malgun Gothic" w:cs="Malgun Gothic" w:eastAsia="Malgun Gothic" w:hAnsi="Malgun Gothic"/>
          <w:sz w:val="20"/>
          <w:szCs w:val="20"/>
          <w:rtl w:val="0"/>
        </w:rPr>
        <w:t xml:space="preserve">조정</w:t>
      </w:r>
      <w:r>
        <w:rPr>
          <w:rFonts w:ascii="Malgun Gothic" w:cs="Malgun Gothic" w:eastAsia="Malgun Gothic" w:hAnsi="Malgun Gothic"/>
          <w:b w:val="0"/>
          <w:bCs w:val="0"/>
          <w:sz w:val="20"/>
          <w:szCs w:val="20"/>
          <w:rtl w:val="0"/>
        </w:rPr>
        <w:t xml:space="preserve">)를 함께 판단해 주는 AI 금융 코치 서비스다. 월세·카드대금처럼 꼭 나갈 돈을 먼저 확보한 뒤, 남은 돈을 저축·머니 쿠션·카테고리별 생활비 예산·여윳돈으로 나누어 보여준다. 규칙 라우터가 상황에 맞는 4개의 AI 에이전트(거래 분류·예산 설계·예산 조정·큰 지출 상담)를 연결해 분류·예산 초안·조정안을 제안한다. 금액은 계산 엔진이 검수하며, 예산 변경은 사용자가 승인한 경우에만 적용한다.</w:t>
      </w:r>
    </w:p>
    <w:p w:rsidR="00000000" w:rsidDel="00000000" w:rsidP="00000000" w:rsidRDefault="00000000" w:rsidRPr="00000000" w14:paraId="00000030">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서비스 개요</w:t>
      </w:r>
    </w:p>
    <w:tbl>
      <w:tblPr>
        <w:tblStyle w:val="Table5"/>
        <w:tblW w:w="9925.0" w:type="dxa"/>
        <w:jc w:val="left"/>
        <w:tblLayout w:type="fixed"/>
        <w:tblLook w:val="0600"/>
      </w:tblPr>
      <w:tblGrid>
        <w:gridCol w:w="2400"/>
        <w:gridCol w:w="7525"/>
        <w:tblGridChange w:id="0">
          <w:tblGrid>
            <w:gridCol w:w="2400"/>
            <w:gridCol w:w="7525"/>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31">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항목</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32">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내용</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33">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서비스명</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34">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머니쿠션 (Money Cushion)</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35">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대상 사용자</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36">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첫 소득과 독립적인 금융생활을 시작한 대한민국 사회초년생 청년 (매월 급여를 받는 사용자)</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37">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이용 조건</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38">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금융 거래 API(CODEF)로 본인 은행 계좌를 1개 이상 연결해야 이용 가능</w:t>
            </w:r>
          </w:p>
          <w:p w:rsidR="00000000" w:rsidDel="00000000" w:rsidP="00000000" w:rsidRDefault="00000000" w:rsidRPr="00000000" w14:paraId="00000039">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 (카드 · 대출 조회는 선택, 조회 전용 · 송금 · 결제 기능 없음)</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3A">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사용자의 핵심 질문</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3B">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“이번 월급, 어떻게 나눌까?”</w:t>
            </w:r>
          </w:p>
          <w:p w:rsidR="00000000" w:rsidDel="00000000" w:rsidP="00000000" w:rsidRDefault="00000000" w:rsidRPr="00000000" w14:paraId="0000003C">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“다음 월급날까지 얼마 더 써도 될까?”</w:t>
            </w:r>
          </w:p>
          <w:p w:rsidR="00000000" w:rsidDel="00000000" w:rsidP="00000000" w:rsidRDefault="00000000" w:rsidRPr="00000000" w14:paraId="0000003D">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“예산을 조금 고치고 싶은데, 어디를 어떻게 고치지?”</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3E">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핵심 가치</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3F">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[1차(MVP)] 카테고리별 추천 예산 → 거래 자동 분류 → 더 써도 되는 돈 → 챗봇 소비 분석 · 예산 조정 → [2차] 돌발·초과 감지 → 알림 → 예산 조정 → [3차] 큰 지출 상담(복지 · 대출 비교)</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40">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제공 형태</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41">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React 기반 모바일 웹 / React Native 앱은 후속 개발</w:t>
            </w:r>
          </w:p>
        </w:tc>
      </w:tr>
      <w:tr>
        <w:trPr>
          <w:cantSplit w:val="1"/>
          <w:tblHeader w:val="0"/>
        </w:trPr>
        <w:tc>
          <w:tcPr>
            <w:tcBorders>
              <w:top w:color="0b57d0" w:space="0" w:sz="4" w:val="single"/>
              <w:left w:color="000000" w:space="0" w:sz="0" w:val="nil"/>
              <w:bottom w:color="0b57d0" w:space="0" w:sz="18" w:val="single"/>
              <w:right w:color="0b57d0" w:space="0" w:sz="4" w:val="single"/>
            </w:tcBorders>
            <w:vAlign w:val="center"/>
          </w:tcPr>
          <w:p w:rsidR="00000000" w:rsidDel="00000000" w:rsidP="00000000" w:rsidRDefault="00000000" w:rsidRPr="00000000" w14:paraId="00000042">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수행 기간 · 인원</w:t>
            </w:r>
          </w:p>
        </w:tc>
        <w:tc>
          <w:tcPr>
            <w:tcBorders>
              <w:top w:color="0b57d0" w:space="0" w:sz="4" w:val="single"/>
              <w:left w:color="0b57d0" w:space="0" w:sz="4" w:val="single"/>
              <w:bottom w:color="0b57d0" w:space="0" w:sz="18" w:val="single"/>
              <w:right w:color="000000" w:space="0" w:sz="0" w:val="nil"/>
            </w:tcBorders>
            <w:vAlign w:val="center"/>
          </w:tcPr>
          <w:p w:rsidR="00000000" w:rsidDel="00000000" w:rsidP="00000000" w:rsidRDefault="00000000" w:rsidRPr="00000000" w14:paraId="00000043">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2026. 9. 28. ~ 2026. 11. 20. (8주) · 3명</w:t>
            </w:r>
          </w:p>
        </w:tc>
      </w:tr>
    </w:tbl>
    <w:p w:rsidR="00000000" w:rsidDel="00000000" w:rsidP="00000000" w:rsidRDefault="00000000" w:rsidRPr="00000000" w14:paraId="00000044">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45">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핵심 개념</w:t>
      </w:r>
    </w:p>
    <w:tbl>
      <w:tblPr>
        <w:tblStyle w:val="Table6"/>
        <w:tblW w:w="9925.0" w:type="dxa"/>
        <w:jc w:val="left"/>
        <w:tblLayout w:type="fixed"/>
        <w:tblLook w:val="0600"/>
      </w:tblPr>
      <w:tblGrid>
        <w:gridCol w:w="2400"/>
        <w:gridCol w:w="7525"/>
        <w:tblGridChange w:id="0">
          <w:tblGrid>
            <w:gridCol w:w="2400"/>
            <w:gridCol w:w="7525"/>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46">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용어</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47">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서비스에서의 의미</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48">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안전 소비액</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49">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다음 급여일까지 남은 생활비와 여윳돈을 합한, 추가로 쓸 수 있는 금액(화면 표기: 더 써도 되는 돈). 부족하면 0원으로 숨기지 않고 부족액으로 표시</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4A">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일일 권장액</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4B">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남은 생활비를 다음 급여일까지 남은 날짜로 나눈 하루 사용 기준(화면 표기: 하루 생활비)</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4C">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머니 쿠션</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4D">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돌발 지출 외에는 손대지 않는 최소 안전선</w:t>
            </w:r>
          </w:p>
          <w:p w:rsidR="00000000" w:rsidDel="00000000" w:rsidP="00000000" w:rsidRDefault="00000000" w:rsidRPr="00000000" w14:paraId="0000004E">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목표는 월급의 3배이며, 입출금 잔액이 목표 이상이면 설정 여부를 사용자가 선택하고, 미만이면 매달 일부를 먼저 배정해 확보액/목표를 표시</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4F">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여윳돈</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50">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아직 어느 예산에도 배정되지 않은 돈</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53">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보호 조건</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54">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저축 · 쿠션 하한(지킬 돈)처럼 어떤 조정안에서도 깨지지 않아야 하는 조건</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55">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자물쇠</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56">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사용자가 고정한 카테고리. 예산 조정 에이전트는 자물쇠 카테고리의 금액을 바꾸지 않음. 주거/통신 · 교통 외 카테고리의 자물쇠 설정을 한 주기에 3회 이상 바꾸면 알림 문구 표시</w:t>
            </w:r>
          </w:p>
        </w:tc>
      </w:tr>
      <w:tr>
        <w:trPr>
          <w:cantSplit w:val="1"/>
          <w:tblHeader w:val="0"/>
        </w:trPr>
        <w:tc>
          <w:tcPr>
            <w:tcBorders>
              <w:top w:color="0b57d0" w:space="0" w:sz="4" w:val="single"/>
              <w:left w:color="000000" w:space="0" w:sz="0" w:val="nil"/>
              <w:bottom w:color="0b57d0" w:space="0" w:sz="18" w:val="single"/>
              <w:right w:color="0b57d0" w:space="0" w:sz="4" w:val="single"/>
            </w:tcBorders>
            <w:vAlign w:val="center"/>
          </w:tcPr>
          <w:p w:rsidR="00000000" w:rsidDel="00000000" w:rsidP="00000000" w:rsidRDefault="00000000" w:rsidRPr="00000000" w14:paraId="00000057">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사용자 승인</w:t>
            </w:r>
          </w:p>
        </w:tc>
        <w:tc>
          <w:tcPr>
            <w:tcBorders>
              <w:top w:color="0b57d0" w:space="0" w:sz="4" w:val="single"/>
              <w:left w:color="0b57d0" w:space="0" w:sz="4" w:val="single"/>
              <w:bottom w:color="0b57d0" w:space="0" w:sz="18" w:val="single"/>
              <w:right w:color="000000" w:space="0" w:sz="0" w:val="nil"/>
            </w:tcBorders>
            <w:vAlign w:val="center"/>
          </w:tcPr>
          <w:p w:rsidR="00000000" w:rsidDel="00000000" w:rsidP="00000000" w:rsidRDefault="00000000" w:rsidRPr="00000000" w14:paraId="00000058">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AI는 제안만 하고, 계산 엔진 검수를 통과한 변경안을 사용자가 확인 · 승인한 뒤 새 예산 버전으로 저장</w:t>
            </w:r>
          </w:p>
        </w:tc>
      </w:tr>
    </w:tbl>
    <w:p w:rsidR="00000000" w:rsidDel="00000000" w:rsidP="00000000" w:rsidRDefault="00000000" w:rsidRPr="00000000" w14:paraId="00000059">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5A">
      <w:pPr>
        <w:pageBreakBefore w:val="1"/>
        <w:widowControl w:val="0"/>
        <w:spacing w:line="240" w:lineRule="auto"/>
        <w:jc w:val="both"/>
        <w:rPr>
          <w:rFonts w:ascii="Malgun Gothic" w:cs="Malgun Gothic" w:eastAsia="Malgun Gothic" w:hAnsi="Malgun Gothic"/>
          <w:b w:val="0"/>
          <w:bCs w:val="0"/>
          <w:sz w:val="4"/>
          <w:szCs w:val="4"/>
        </w:rPr>
      </w:pPr>
      <w:r>
        <w:rPr>
          <w:rtl w:val="0"/>
        </w:rPr>
      </w:r>
    </w:p>
    <w:tbl>
      <w:tblPr>
        <w:tblStyle w:val="Table7"/>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9925"/>
        <w:tblGridChange w:id="0">
          <w:tblGrid>
            <w:gridCol w:w="9925"/>
          </w:tblGrid>
        </w:tblGridChange>
      </w:tblGrid>
      <w:tr>
        <w:trPr>
          <w:cantSplit w:val="0"/>
          <w:trHeight w:val="427" w:hRule="atLeast"/>
          <w:tblHeader w:val="0"/>
        </w:trPr>
        <w:tc>
          <w:tcPr>
            <w:tcBorders>
              <w:top w:color="0b57d0" w:space="0" w:sz="18" w:val="single"/>
              <w:left w:color="000000" w:space="0" w:sz="0" w:val="nil"/>
              <w:bottom w:color="000000" w:space="0" w:sz="0" w:val="nil"/>
              <w:right w:color="33bcb1" w:space="0" w:sz="18" w:val="single"/>
            </w:tcBorders>
            <w:tcMar>
              <w:top w:w="100.0" w:type="dxa"/>
              <w:left w:w="100.0" w:type="dxa"/>
              <w:bottom w:w="100.0" w:type="dxa"/>
              <w:right w:w="100.0" w:type="dxa"/>
            </w:tcMar>
          </w:tcPr>
          <w:p w:rsidR="00000000" w:rsidDel="00000000" w:rsidP="00000000" w:rsidRDefault="00000000" w:rsidRPr="00000000" w14:paraId="0000005B">
            <w:pPr>
              <w:keepNext w:val="1"/>
              <w:spacing w:after="60" w:line="264" w:lineRule="auto"/>
              <w:rPr>
                <w:rFonts w:ascii="Malgun Gothic" w:cs="Malgun Gothic" w:eastAsia="Malgun Gothic" w:hAnsi="Malgun Gothic"/>
                <w:b w:val="0"/>
                <w:bCs w:val="0"/>
                <w:sz w:val="16"/>
                <w:szCs w:val="16"/>
              </w:rPr>
            </w:pPr>
            <w:r>
              <w:rPr>
                <w:rFonts w:ascii="Malgun Gothic" w:cs="Malgun Gothic" w:eastAsia="Malgun Gothic" w:hAnsi="Malgun Gothic"/>
                <w:sz w:val="32"/>
                <w:szCs w:val="32"/>
                <w:rtl w:val="0"/>
              </w:rPr>
              <w:t xml:space="preserve">2. 문제 정의</w:t>
            </w:r>
            <w:r>
              <w:rPr>
                <w:rtl w:val="0"/>
              </w:rPr>
            </w:r>
          </w:p>
        </w:tc>
      </w:tr>
    </w:tbl>
    <w:p w:rsidR="00000000" w:rsidDel="00000000" w:rsidP="00000000" w:rsidRDefault="00000000" w:rsidRPr="00000000" w14:paraId="0000005C">
      <w:pPr>
        <w:keepNext w:val="1"/>
        <w:widowControl w:val="0"/>
        <w:spacing w:after="6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5D">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배경: 돈 관리를 처음 시작하는 사회초년생</w:t>
      </w:r>
    </w:p>
    <w:p w:rsidR="00000000" w:rsidDel="00000000" w:rsidP="00000000" w:rsidRDefault="00000000" w:rsidRPr="00000000" w14:paraId="0000005E">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사회초년생은 처음으로 월급 · 카드대금 · 월세 · 구독료 같은 정기 지출을 스스로 관리하게 되지만, 돈 관리 습관은 아직 자리 잡지 않은 시기다. 한국은행 · 금융감독원의 「2024 전국민 금융이해력 조사」에서 20대의 재무 상황 점검 점수와 재무 목표 설정 점수는 2년 전보다 크게 떨어졌다[1]. 금융 지식보다 </w:t>
      </w:r>
      <w:r>
        <w:rPr>
          <w:rFonts w:ascii="Malgun Gothic" w:cs="Malgun Gothic" w:eastAsia="Malgun Gothic" w:hAnsi="Malgun Gothic"/>
          <w:sz w:val="20"/>
          <w:szCs w:val="20"/>
          <w:rtl w:val="0"/>
        </w:rPr>
        <w:t xml:space="preserve">실제 돈 관리 행동</w:t>
      </w:r>
      <w:r>
        <w:rPr>
          <w:rFonts w:ascii="Malgun Gothic" w:cs="Malgun Gothic" w:eastAsia="Malgun Gothic" w:hAnsi="Malgun Gothic"/>
          <w:b w:val="0"/>
          <w:bCs w:val="0"/>
          <w:sz w:val="20"/>
          <w:szCs w:val="20"/>
          <w:rtl w:val="0"/>
        </w:rPr>
        <w:t xml:space="preserve">이 약하다는 점에서, 정보를 더 주는 것보다 매달의 판단을 함께 해주는 도구가 필요하다.</w:t>
      </w:r>
    </w:p>
    <w:tbl>
      <w:tblPr>
        <w:tblStyle w:val="Table8"/>
        <w:tblW w:w="9925.0" w:type="dxa"/>
        <w:jc w:val="left"/>
        <w:tblLayout w:type="fixed"/>
        <w:tblLook w:val="0600"/>
      </w:tblPr>
      <w:tblGrid>
        <w:gridCol w:w="5925"/>
        <w:gridCol w:w="2000"/>
        <w:gridCol w:w="2000"/>
        <w:tblGridChange w:id="0">
          <w:tblGrid>
            <w:gridCol w:w="5925"/>
            <w:gridCol w:w="2000"/>
            <w:gridCol w:w="2000"/>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5F">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지표 (2024 전국민 금융이해력 조사)</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060">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2022년</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61">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2024년</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62">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20대 재무 상황 점검 점수</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63">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55.8점</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64">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33.2점</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65">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20대 재무 목표 설정 점수</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66">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48.0점</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67">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36.1점</w:t>
            </w:r>
          </w:p>
        </w:tc>
      </w:tr>
      <w:tr>
        <w:trPr>
          <w:cantSplit w:val="1"/>
          <w:tblHeader w:val="0"/>
        </w:trPr>
        <w:tc>
          <w:tcPr>
            <w:tcBorders>
              <w:top w:color="0b57d0" w:space="0" w:sz="4" w:val="single"/>
              <w:left w:color="000000" w:space="0" w:sz="0" w:val="nil"/>
              <w:bottom w:color="0b57d0" w:space="0" w:sz="18" w:val="single"/>
              <w:right w:color="0b57d0" w:space="0" w:sz="4" w:val="single"/>
            </w:tcBorders>
            <w:vAlign w:val="center"/>
          </w:tcPr>
          <w:p w:rsidR="00000000" w:rsidDel="00000000" w:rsidP="00000000" w:rsidRDefault="00000000" w:rsidRPr="00000000" w14:paraId="00000068">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전체 성인 금융이해력 (OECD 평균 62.7점)</w:t>
            </w:r>
          </w:p>
        </w:tc>
        <w:tc>
          <w:tcPr>
            <w:tcBorders>
              <w:top w:color="0b57d0" w:space="0" w:sz="4" w:val="single"/>
              <w:left w:color="0b57d0" w:space="0" w:sz="4" w:val="single"/>
              <w:bottom w:color="0b57d0" w:space="0" w:sz="18" w:val="single"/>
              <w:right w:color="0b57d0" w:space="0" w:sz="4" w:val="single"/>
            </w:tcBorders>
            <w:vAlign w:val="center"/>
          </w:tcPr>
          <w:p w:rsidR="00000000" w:rsidDel="00000000" w:rsidP="00000000" w:rsidRDefault="00000000" w:rsidRPr="00000000" w14:paraId="00000069">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66.5점</w:t>
            </w:r>
          </w:p>
        </w:tc>
        <w:tc>
          <w:tcPr>
            <w:tcBorders>
              <w:top w:color="0b57d0" w:space="0" w:sz="4" w:val="single"/>
              <w:left w:color="0b57d0" w:space="0" w:sz="4" w:val="single"/>
              <w:bottom w:color="0b57d0" w:space="0" w:sz="18" w:val="single"/>
              <w:right w:color="000000" w:space="0" w:sz="0" w:val="nil"/>
            </w:tcBorders>
            <w:vAlign w:val="center"/>
          </w:tcPr>
          <w:p w:rsidR="00000000" w:rsidDel="00000000" w:rsidP="00000000" w:rsidRDefault="00000000" w:rsidRPr="00000000" w14:paraId="0000006A">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65.7점</w:t>
            </w:r>
          </w:p>
        </w:tc>
      </w:tr>
    </w:tbl>
    <w:p w:rsidR="00000000" w:rsidDel="00000000" w:rsidP="00000000" w:rsidRDefault="00000000" w:rsidRPr="00000000" w14:paraId="0000006B">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6C">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사회초년생이 겪는 문제와 해결 방향</w:t>
      </w:r>
    </w:p>
    <w:tbl>
      <w:tblPr>
        <w:tblStyle w:val="Table9"/>
        <w:tblW w:w="9925.0" w:type="dxa"/>
        <w:jc w:val="left"/>
        <w:tblLayout w:type="fixed"/>
        <w:tblLook w:val="0600"/>
      </w:tblPr>
      <w:tblGrid>
        <w:gridCol w:w="2650"/>
        <w:gridCol w:w="3375"/>
        <w:gridCol w:w="3900"/>
        <w:tblGridChange w:id="0">
          <w:tblGrid>
            <w:gridCol w:w="2650"/>
            <w:gridCol w:w="3375"/>
            <w:gridCol w:w="3900"/>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6D">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사회초년생의 문제</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06E">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자주 겪는 상황</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6F">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머니쿠션의 해결 방향</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70">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첫 월급을 어떻게 나눌지 모른다</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71">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월급이 들어오면 먼저 쓰고, 남는 돈을 저축한다</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72">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예산 방향(생활 안정형/저축 집중형)에 맞춘 추천 예산 1개를 먼저 제시. 초안에서 바로 승인하거나 챗봇으로 조정 요청 후 승인.</w:t>
            </w:r>
          </w:p>
          <w:p w:rsidR="00000000" w:rsidDel="00000000" w:rsidP="00000000" w:rsidRDefault="00000000" w:rsidRPr="00000000" w14:paraId="00000073">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지킬 카테고리는 자물쇠로 고정</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74">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통장 잔액을 쓸 수 있는 돈으로 착각한다</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75">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잔액은 넉넉해 보였는데 카드대금 · 월세 출금일에 잔액이 부족하다</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76">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고정지출 · 저축 · 쿠션을 뺀 더 써도 되는 돈(안전 소비액)과 하루 생활비를 홈에 표시</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77">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돌발 지출 한 번에 계획을 포기한다</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78">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경조사비 · 병원비를 쓰고 이번 달 예산 관리를 그만둔다</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79">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돌발 지출 감지 · 등록 → 여윳돈 · 생활비 재조정 · 머니 쿠션 중 선택 </w:t>
            </w:r>
            <w:r>
              <w:rPr>
                <w:rFonts w:ascii="Malgun Gothic" w:cs="Malgun Gothic" w:eastAsia="Malgun Gothic" w:hAnsi="Malgun Gothic"/>
                <w:sz w:val="18"/>
                <w:szCs w:val="18"/>
                <w:rtl w:val="0"/>
              </w:rPr>
              <w:t xml:space="preserve">(2차)</w:t>
            </w:r>
            <w:r>
              <w:rPr>
                <w:rFonts w:ascii="Malgun Gothic" w:cs="Malgun Gothic" w:eastAsia="Malgun Gothic" w:hAnsi="Malgun Gothic"/>
                <w:b w:val="0"/>
                <w:bCs w:val="0"/>
                <w:sz w:val="18"/>
                <w:szCs w:val="18"/>
                <w:rtl w:val="0"/>
              </w:rPr>
              <w:t xml:space="preserve">. 큰 지출은 부족 금액 계산 후 동의 시 복지 검색 · 대출 비교 </w:t>
            </w:r>
            <w:r>
              <w:rPr>
                <w:rFonts w:ascii="Malgun Gothic" w:cs="Malgun Gothic" w:eastAsia="Malgun Gothic" w:hAnsi="Malgun Gothic"/>
                <w:sz w:val="18"/>
                <w:szCs w:val="18"/>
                <w:rtl w:val="0"/>
              </w:rPr>
              <w:t xml:space="preserve">(3차)</w:t>
            </w:r>
            <w:r>
              <w:rPr>
                <w:rtl w:val="0"/>
              </w:rPr>
            </w:r>
          </w:p>
        </w:tc>
      </w:tr>
      <w:tr>
        <w:trPr>
          <w:cantSplit w:val="1"/>
          <w:tblHeader w:val="0"/>
        </w:trPr>
        <w:tc>
          <w:tcPr>
            <w:tcBorders>
              <w:top w:color="0b57d0" w:space="0" w:sz="4"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7A">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생활 조건에 맞는 예산이 어렵다</w:t>
            </w:r>
          </w:p>
        </w:tc>
        <w:tc>
          <w:tcPr>
            <w:tcBorders>
              <w:top w:color="0b57d0" w:space="0" w:sz="4"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07B">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가구 형태(1인/2인 이상) · 소득에 따라 생활비가 다르다</w:t>
            </w:r>
          </w:p>
        </w:tc>
        <w:tc>
          <w:tcPr>
            <w:tcBorders>
              <w:top w:color="0b57d0" w:space="0" w:sz="4"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7C">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연령대 · 성별 · 가구 형태 · 소득으로 ML이 카테고리 비율을 예측해 초안 생성</w:t>
            </w:r>
          </w:p>
        </w:tc>
      </w:tr>
      <w:tr>
        <w:trPr>
          <w:cantSplit w:val="1"/>
          <w:tblHeader w:val="0"/>
        </w:trPr>
        <w:tc>
          <w:tcPr>
            <w:tcBorders>
              <w:top w:color="0b57d0" w:space="0" w:sz="8" w:val="single"/>
              <w:left w:color="000000" w:space="0" w:sz="0" w:val="nil"/>
              <w:bottom w:color="0b57d0" w:space="0" w:sz="18" w:val="single"/>
              <w:right w:color="0b57d0" w:space="0" w:sz="4" w:val="single"/>
            </w:tcBorders>
            <w:vAlign w:val="center"/>
          </w:tcPr>
          <w:p w:rsidR="00000000" w:rsidDel="00000000" w:rsidP="00000000" w:rsidRDefault="00000000" w:rsidRPr="00000000" w14:paraId="0000007D">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같은 항목에서 예산이 반복 초과된다</w:t>
            </w:r>
          </w:p>
        </w:tc>
        <w:tc>
          <w:tcPr>
            <w:tcBorders>
              <w:top w:color="0b57d0" w:space="0" w:sz="8" w:val="single"/>
              <w:left w:color="0b57d0" w:space="0" w:sz="4" w:val="single"/>
              <w:bottom w:color="0b57d0" w:space="0" w:sz="18" w:val="single"/>
              <w:right w:color="0b57d0" w:space="0" w:sz="4" w:val="single"/>
            </w:tcBorders>
            <w:vAlign w:val="center"/>
          </w:tcPr>
          <w:p w:rsidR="00000000" w:rsidDel="00000000" w:rsidP="00000000" w:rsidRDefault="00000000" w:rsidRPr="00000000" w14:paraId="0000007E">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식비를 매번 늘리지만 다음 달에도 같은 초안으로 시작한다</w:t>
            </w:r>
          </w:p>
        </w:tc>
        <w:tc>
          <w:tcPr>
            <w:tcBorders>
              <w:top w:color="0b57d0" w:space="0" w:sz="8" w:val="single"/>
              <w:left w:color="0b57d0" w:space="0" w:sz="4" w:val="single"/>
              <w:bottom w:color="0b57d0" w:space="0" w:sz="18" w:val="single"/>
              <w:right w:color="000000" w:space="0" w:sz="0" w:val="nil"/>
            </w:tcBorders>
            <w:vAlign w:val="center"/>
          </w:tcPr>
          <w:p w:rsidR="00000000" w:rsidDel="00000000" w:rsidP="00000000" w:rsidRDefault="00000000" w:rsidRPr="00000000" w14:paraId="0000007F">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카테고리 초과 감지 → 예산 조정(초과 모드) → 엔진 검수 → 승인 (2차)</w:t>
            </w:r>
          </w:p>
        </w:tc>
      </w:tr>
      <w:tr>
        <w:trPr>
          <w:cantSplit w:val="1"/>
          <w:tblHeader w:val="0"/>
        </w:trPr>
        <w:tc>
          <w:tcPr>
            <w:tcBorders>
              <w:top w:color="0b57d0" w:space="0" w:sz="8" w:val="single"/>
              <w:left w:color="000000" w:space="0" w:sz="0" w:val="nil"/>
              <w:bottom w:color="0b57d0" w:space="0" w:sz="18" w:val="single"/>
              <w:right w:color="0b57d0" w:space="0" w:sz="4" w:val="single"/>
            </w:tcBorders>
            <w:vAlign w:val="center"/>
          </w:tcPr>
          <w:p w:rsidR="00000000" w:rsidDel="00000000" w:rsidP="00000000" w:rsidRDefault="00000000" w:rsidRPr="00000000" w14:paraId="00000080">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내가 어디에 얼마를 쓰는지 모르겠다</w:t>
            </w:r>
          </w:p>
        </w:tc>
        <w:tc>
          <w:tcPr>
            <w:tcBorders>
              <w:top w:color="0b57d0" w:space="0" w:sz="8" w:val="single"/>
              <w:left w:color="0b57d0" w:space="0" w:sz="4" w:val="single"/>
              <w:bottom w:color="0b57d0" w:space="0" w:sz="18" w:val="single"/>
              <w:right w:color="0b57d0" w:space="0" w:sz="4" w:val="single"/>
            </w:tcBorders>
            <w:vAlign w:val="center"/>
          </w:tcPr>
          <w:p w:rsidR="00000000" w:rsidDel="00000000" w:rsidP="00000000" w:rsidRDefault="00000000" w:rsidRPr="00000000" w14:paraId="00000081">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거래 내역은 많은데 카테고리별로 정리해 본 적이 없다</w:t>
            </w:r>
          </w:p>
        </w:tc>
        <w:tc>
          <w:tcPr>
            <w:tcBorders>
              <w:top w:color="0b57d0" w:space="0" w:sz="8" w:val="single"/>
              <w:left w:color="0b57d0" w:space="0" w:sz="4" w:val="single"/>
              <w:bottom w:color="0b57d0" w:space="0" w:sz="18" w:val="single"/>
              <w:right w:color="000000" w:space="0" w:sz="0" w:val="nil"/>
            </w:tcBorders>
            <w:vAlign w:val="center"/>
          </w:tcPr>
          <w:p w:rsidR="00000000" w:rsidDel="00000000" w:rsidP="00000000" w:rsidRDefault="00000000" w:rsidRPr="00000000" w14:paraId="00000082">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거래를 카테고리로 자동 분류하고, 챗봇에서 내 소비를 묻고 바로 예산 조정까지 요청</w:t>
            </w:r>
          </w:p>
        </w:tc>
      </w:tr>
    </w:tbl>
    <w:p w:rsidR="00000000" w:rsidDel="00000000" w:rsidP="00000000" w:rsidRDefault="00000000" w:rsidRPr="00000000" w14:paraId="00000083">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84">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기대 효과</w:t>
      </w:r>
    </w:p>
    <w:p w:rsidR="00000000" w:rsidDel="00000000" w:rsidP="00000000" w:rsidRDefault="00000000" w:rsidRPr="00000000" w14:paraId="00000085">
      <w:pPr>
        <w:widowControl w:val="0"/>
        <w:numPr>
          <w:ilvl w:val="0"/>
          <w:numId w:val="2"/>
        </w:numPr>
        <w:spacing w:after="100" w:lineRule="auto"/>
        <w:ind w:left="400" w:hanging="260"/>
        <w:rPr>
          <w:sz w:val="20"/>
          <w:szCs w:val="20"/>
        </w:rPr>
      </w:pPr>
      <w:r>
        <w:rPr>
          <w:rFonts w:ascii="Malgun Gothic" w:cs="Malgun Gothic" w:eastAsia="Malgun Gothic" w:hAnsi="Malgun Gothic"/>
          <w:b w:val="0"/>
          <w:bCs w:val="0"/>
          <w:sz w:val="20"/>
          <w:szCs w:val="20"/>
          <w:rtl w:val="0"/>
        </w:rPr>
        <w:t xml:space="preserve">추천 예산 초안으로 월급 배분의 고민을 줄여준다.</w:t>
      </w:r>
      <w:r>
        <w:rPr>
          <w:rtl w:val="0"/>
        </w:rPr>
      </w:r>
    </w:p>
    <w:p w:rsidR="00000000" w:rsidDel="00000000" w:rsidP="00000000" w:rsidRDefault="00000000" w:rsidRPr="00000000" w14:paraId="00000086">
      <w:pPr>
        <w:widowControl w:val="0"/>
        <w:numPr>
          <w:ilvl w:val="0"/>
          <w:numId w:val="2"/>
        </w:numPr>
        <w:spacing w:after="100" w:lineRule="auto"/>
        <w:ind w:left="400" w:hanging="260"/>
        <w:rPr>
          <w:sz w:val="20"/>
          <w:szCs w:val="20"/>
        </w:rPr>
      </w:pPr>
      <w:r>
        <w:rPr>
          <w:rFonts w:ascii="Malgun Gothic" w:cs="Malgun Gothic" w:eastAsia="Malgun Gothic" w:hAnsi="Malgun Gothic"/>
          <w:b w:val="0"/>
          <w:bCs w:val="0"/>
          <w:sz w:val="20"/>
          <w:szCs w:val="20"/>
          <w:rtl w:val="0"/>
        </w:rPr>
        <w:t xml:space="preserve">매달 “얼마까지 써도 되는지”를 한 화면에서 확인하며 재무 상황 점검 습관을 만든다.</w:t>
      </w:r>
      <w:r>
        <w:rPr>
          <w:rtl w:val="0"/>
        </w:rPr>
      </w:r>
    </w:p>
    <w:p w:rsidR="00000000" w:rsidDel="00000000" w:rsidP="00000000" w:rsidRDefault="00000000" w:rsidRPr="00000000" w14:paraId="00000087">
      <w:pPr>
        <w:widowControl w:val="0"/>
        <w:numPr>
          <w:ilvl w:val="0"/>
          <w:numId w:val="2"/>
        </w:numPr>
        <w:spacing w:after="100" w:lineRule="auto"/>
        <w:ind w:left="400" w:hanging="260"/>
        <w:rPr>
          <w:sz w:val="20"/>
          <w:szCs w:val="20"/>
        </w:rPr>
      </w:pPr>
      <w:r>
        <w:rPr>
          <w:rFonts w:ascii="Malgun Gothic" w:cs="Malgun Gothic" w:eastAsia="Malgun Gothic" w:hAnsi="Malgun Gothic"/>
          <w:b w:val="0"/>
          <w:bCs w:val="0"/>
          <w:sz w:val="20"/>
          <w:szCs w:val="20"/>
          <w:rtl w:val="0"/>
        </w:rPr>
        <w:t xml:space="preserve">챗봇으로 내 소비를 확인하고, 남은 생활비 안에서 예산을 내 상황에 맞게 조정한다.</w:t>
      </w:r>
    </w:p>
    <w:p w:rsidR="00000000" w:rsidDel="00000000" w:rsidP="00000000" w:rsidRDefault="00000000" w:rsidRPr="00000000" w14:paraId="00000088">
      <w:pPr>
        <w:widowControl w:val="0"/>
        <w:spacing w:after="100" w:lineRule="auto"/>
        <w:rPr>
          <w:rFonts w:ascii="Malgun Gothic" w:cs="Malgun Gothic" w:eastAsia="Malgun Gothic" w:hAnsi="Malgun Gothic"/>
          <w:b w:val="0"/>
          <w:bCs w:val="0"/>
          <w:sz w:val="20"/>
          <w:szCs w:val="20"/>
        </w:rPr>
      </w:pPr>
      <w:r>
        <w:rPr>
          <w:rtl w:val="0"/>
        </w:rPr>
      </w:r>
    </w:p>
    <w:p w:rsidR="00000000" w:rsidDel="00000000" w:rsidP="00000000" w:rsidRDefault="00000000" w:rsidRPr="00000000" w14:paraId="00000089">
      <w:pPr>
        <w:widowControl w:val="0"/>
        <w:numPr>
          <w:ilvl w:val="0"/>
          <w:numId w:val="2"/>
        </w:numPr>
        <w:spacing w:after="100" w:lineRule="auto"/>
        <w:ind w:left="400" w:hanging="260"/>
        <w:rPr>
          <w:rFonts w:ascii="Malgun Gothic" w:cs="Malgun Gothic" w:eastAsia="Malgun Gothic" w:hAnsi="Malgun Gothic"/>
          <w:b w:val="0"/>
          <w:bCs w:val="0"/>
          <w:sz w:val="20"/>
          <w:szCs w:val="20"/>
          <w:u w:val="none"/>
        </w:rPr>
      </w:pPr>
      <w:r>
        <w:rPr>
          <w:rFonts w:ascii="Malgun Gothic" w:cs="Malgun Gothic" w:eastAsia="Malgun Gothic" w:hAnsi="Malgun Gothic"/>
          <w:b w:val="0"/>
          <w:bCs w:val="0"/>
          <w:sz w:val="20"/>
          <w:szCs w:val="20"/>
          <w:rtl w:val="0"/>
        </w:rPr>
        <w:t xml:space="preserve">돌발 지출 · 카테고리 초과 뒤에도 계획을 포기하지 않고 예산을 다시 맞춘다. (2차)</w:t>
      </w:r>
    </w:p>
    <w:p w:rsidR="00000000" w:rsidDel="00000000" w:rsidP="00000000" w:rsidRDefault="00000000" w:rsidRPr="00000000" w14:paraId="0000008A">
      <w:pPr>
        <w:widowControl w:val="0"/>
        <w:numPr>
          <w:ilvl w:val="0"/>
          <w:numId w:val="2"/>
        </w:numPr>
        <w:spacing w:after="100" w:lineRule="auto"/>
        <w:ind w:left="400" w:hanging="260"/>
        <w:rPr>
          <w:rFonts w:ascii="Malgun Gothic" w:cs="Malgun Gothic" w:eastAsia="Malgun Gothic" w:hAnsi="Malgun Gothic"/>
          <w:b w:val="0"/>
          <w:bCs w:val="0"/>
          <w:sz w:val="20"/>
          <w:szCs w:val="20"/>
          <w:u w:val="none"/>
        </w:rPr>
      </w:pPr>
      <w:r>
        <w:rPr>
          <w:rFonts w:ascii="Malgun Gothic" w:cs="Malgun Gothic" w:eastAsia="Malgun Gothic" w:hAnsi="Malgun Gothic"/>
          <w:b w:val="0"/>
          <w:bCs w:val="0"/>
          <w:sz w:val="20"/>
          <w:szCs w:val="20"/>
          <w:rtl w:val="0"/>
        </w:rPr>
        <w:t xml:space="preserve">소비 분석 화면과 주간 알림으로 지난주 대비 변화를 확인한다. (2차)</w:t>
      </w:r>
    </w:p>
    <w:p w:rsidR="00000000" w:rsidDel="00000000" w:rsidP="00000000" w:rsidRDefault="00000000" w:rsidRPr="00000000" w14:paraId="0000008B">
      <w:pPr>
        <w:widowControl w:val="0"/>
        <w:numPr>
          <w:ilvl w:val="0"/>
          <w:numId w:val="2"/>
        </w:numPr>
        <w:spacing w:after="100" w:lineRule="auto"/>
        <w:ind w:left="400" w:hanging="260"/>
        <w:rPr>
          <w:rFonts w:ascii="Malgun Gothic" w:cs="Malgun Gothic" w:eastAsia="Malgun Gothic" w:hAnsi="Malgun Gothic"/>
          <w:b w:val="0"/>
          <w:bCs w:val="0"/>
          <w:sz w:val="20"/>
          <w:szCs w:val="20"/>
          <w:u w:val="none"/>
        </w:rPr>
      </w:pPr>
      <w:r>
        <w:rPr>
          <w:rFonts w:ascii="Malgun Gothic" w:cs="Malgun Gothic" w:eastAsia="Malgun Gothic" w:hAnsi="Malgun Gothic"/>
          <w:b w:val="0"/>
          <w:bCs w:val="0"/>
          <w:sz w:val="20"/>
          <w:szCs w:val="20"/>
          <w:rtl w:val="0"/>
        </w:rPr>
        <w:t xml:space="preserve">큰 지출은 지원 제도와 대출 조건을 비교해 미리 준비한다. (3차)</w:t>
      </w:r>
    </w:p>
    <w:p w:rsidR="00000000" w:rsidDel="00000000" w:rsidP="00000000" w:rsidRDefault="00000000" w:rsidRPr="00000000" w14:paraId="0000008C">
      <w:pPr>
        <w:widowControl w:val="0"/>
        <w:spacing w:after="100" w:lineRule="auto"/>
        <w:rPr>
          <w:rFonts w:ascii="Malgun Gothic" w:cs="Malgun Gothic" w:eastAsia="Malgun Gothic" w:hAnsi="Malgun Gothic"/>
          <w:b w:val="0"/>
          <w:bCs w:val="0"/>
          <w:color w:val="5f6368"/>
          <w:sz w:val="17"/>
          <w:szCs w:val="17"/>
        </w:rPr>
      </w:pPr>
      <w:r>
        <w:rPr>
          <w:rFonts w:ascii="Malgun Gothic" w:cs="Malgun Gothic" w:eastAsia="Malgun Gothic" w:hAnsi="Malgun Gothic"/>
          <w:b w:val="0"/>
          <w:bCs w:val="0"/>
          <w:color w:val="5f6368"/>
          <w:sz w:val="17"/>
          <w:szCs w:val="17"/>
          <w:rtl w:val="0"/>
        </w:rPr>
        <w:t xml:space="preserve">※ 효과는 사용자 과제 수행과 통합 시나리오 시험으로 검증하며, 측정 전 개선율은 제시하지 않는다.</w:t>
      </w:r>
    </w:p>
    <w:p w:rsidR="00000000" w:rsidDel="00000000" w:rsidP="00000000" w:rsidRDefault="00000000" w:rsidRPr="00000000" w14:paraId="0000008D">
      <w:pPr>
        <w:pageBreakBefore w:val="1"/>
        <w:widowControl w:val="0"/>
        <w:spacing w:line="240" w:lineRule="auto"/>
        <w:jc w:val="both"/>
        <w:rPr>
          <w:rFonts w:ascii="Malgun Gothic" w:cs="Malgun Gothic" w:eastAsia="Malgun Gothic" w:hAnsi="Malgun Gothic"/>
          <w:b w:val="0"/>
          <w:bCs w:val="0"/>
          <w:sz w:val="4"/>
          <w:szCs w:val="4"/>
        </w:rPr>
      </w:pPr>
      <w:r>
        <w:rPr>
          <w:rtl w:val="0"/>
        </w:rPr>
      </w:r>
    </w:p>
    <w:tbl>
      <w:tblPr>
        <w:tblStyle w:val="Table10"/>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9925"/>
        <w:tblGridChange w:id="0">
          <w:tblGrid>
            <w:gridCol w:w="9925"/>
          </w:tblGrid>
        </w:tblGridChange>
      </w:tblGrid>
      <w:tr>
        <w:trPr>
          <w:cantSplit w:val="0"/>
          <w:trHeight w:val="427" w:hRule="atLeast"/>
          <w:tblHeader w:val="0"/>
        </w:trPr>
        <w:tc>
          <w:tcPr>
            <w:tcBorders>
              <w:top w:color="0b57d0" w:space="0" w:sz="18" w:val="single"/>
              <w:left w:color="000000" w:space="0" w:sz="0" w:val="nil"/>
              <w:bottom w:color="000000" w:space="0" w:sz="0" w:val="nil"/>
              <w:right w:color="33bcb1" w:space="0" w:sz="18" w:val="single"/>
            </w:tcBorders>
            <w:tcMar>
              <w:top w:w="100.0" w:type="dxa"/>
              <w:left w:w="100.0" w:type="dxa"/>
              <w:bottom w:w="100.0" w:type="dxa"/>
              <w:right w:w="100.0" w:type="dxa"/>
            </w:tcMar>
          </w:tcPr>
          <w:p w:rsidR="00000000" w:rsidDel="00000000" w:rsidP="00000000" w:rsidRDefault="00000000" w:rsidRPr="00000000" w14:paraId="0000008E">
            <w:pPr>
              <w:keepNext w:val="1"/>
              <w:spacing w:after="60" w:line="264" w:lineRule="auto"/>
              <w:rPr>
                <w:rFonts w:ascii="Malgun Gothic" w:cs="Malgun Gothic" w:eastAsia="Malgun Gothic" w:hAnsi="Malgun Gothic"/>
                <w:b w:val="0"/>
                <w:bCs w:val="0"/>
                <w:sz w:val="16"/>
                <w:szCs w:val="16"/>
              </w:rPr>
            </w:pPr>
            <w:r>
              <w:rPr>
                <w:rFonts w:ascii="Malgun Gothic" w:cs="Malgun Gothic" w:eastAsia="Malgun Gothic" w:hAnsi="Malgun Gothic"/>
                <w:sz w:val="32"/>
                <w:szCs w:val="32"/>
                <w:rtl w:val="0"/>
              </w:rPr>
              <w:t xml:space="preserve">3. 시장조사 및 BM 분석</w:t>
            </w:r>
            <w:r>
              <w:rPr>
                <w:rtl w:val="0"/>
              </w:rPr>
            </w:r>
          </w:p>
        </w:tc>
      </w:tr>
    </w:tbl>
    <w:p w:rsidR="00000000" w:rsidDel="00000000" w:rsidP="00000000" w:rsidRDefault="00000000" w:rsidRPr="00000000" w14:paraId="0000008F">
      <w:pPr>
        <w:keepNext w:val="1"/>
        <w:widowControl w:val="0"/>
        <w:spacing w:after="6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90">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타깃 고객</w:t>
      </w:r>
    </w:p>
    <w:p w:rsidR="00000000" w:rsidDel="00000000" w:rsidP="00000000" w:rsidRDefault="00000000" w:rsidRPr="00000000" w14:paraId="00000091">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핵심 타깃은 </w:t>
      </w:r>
      <w:r>
        <w:rPr>
          <w:rFonts w:ascii="Malgun Gothic" w:cs="Malgun Gothic" w:eastAsia="Malgun Gothic" w:hAnsi="Malgun Gothic"/>
          <w:sz w:val="20"/>
          <w:szCs w:val="20"/>
          <w:rtl w:val="0"/>
        </w:rPr>
        <w:t xml:space="preserve">첫 월급을 받고 독립적인 금융생활을 시작한 사회초년생 청년</w:t>
      </w:r>
      <w:r>
        <w:rPr>
          <w:rFonts w:ascii="Malgun Gothic" w:cs="Malgun Gothic" w:eastAsia="Malgun Gothic" w:hAnsi="Malgun Gothic"/>
          <w:b w:val="0"/>
          <w:bCs w:val="0"/>
          <w:sz w:val="20"/>
          <w:szCs w:val="20"/>
          <w:rtl w:val="0"/>
        </w:rPr>
        <w:t xml:space="preserve">이다. 정기 급여는 생겼지만 카드 · 월세 · 구독 같은 지출을 처음 직접 관리하고, 비상금 · 전월세 보증금 같은 첫 목표를 세우는 단계에 있다.</w:t>
      </w:r>
    </w:p>
    <w:tbl>
      <w:tblPr>
        <w:tblStyle w:val="Table11"/>
        <w:tblW w:w="9925.0" w:type="dxa"/>
        <w:jc w:val="left"/>
        <w:tblLayout w:type="fixed"/>
        <w:tblLook w:val="0600"/>
      </w:tblPr>
      <w:tblGrid>
        <w:gridCol w:w="2400"/>
        <w:gridCol w:w="7525"/>
        <w:tblGridChange w:id="0">
          <w:tblGrid>
            <w:gridCol w:w="2400"/>
            <w:gridCol w:w="7525"/>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92">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구분</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93">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내용</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94">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가상 페르소나</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95">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입사 3개월 차 직장인(26세). 월 실수령액으로 월세 · 통신비 · 카드 할부를 내고, 남는 돈을 그때그때 쓴다.</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96">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고민</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97">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“이번 달은 왜 또 모자라지?” · “비상금은 얼마가 적당하지?” · “이사 보증금이 모자라면 어떻게 마련하지?”</w:t>
            </w:r>
          </w:p>
        </w:tc>
      </w:tr>
      <w:tr>
        <w:trPr>
          <w:cantSplit w:val="1"/>
          <w:tblHeader w:val="0"/>
        </w:trPr>
        <w:tc>
          <w:tcPr>
            <w:tcBorders>
              <w:top w:color="0b57d0" w:space="0" w:sz="4" w:val="single"/>
              <w:left w:color="000000" w:space="0" w:sz="0" w:val="nil"/>
              <w:bottom w:color="0b57d0" w:space="0" w:sz="12" w:val="single"/>
              <w:right w:color="0b57d0" w:space="0" w:sz="4" w:val="single"/>
            </w:tcBorders>
            <w:vAlign w:val="center"/>
          </w:tcPr>
          <w:p w:rsidR="00000000" w:rsidDel="00000000" w:rsidP="00000000" w:rsidRDefault="00000000" w:rsidRPr="00000000" w14:paraId="00000098">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필요한 도움</w:t>
            </w:r>
          </w:p>
        </w:tc>
        <w:tc>
          <w:tcPr>
            <w:tcBorders>
              <w:top w:color="0b57d0" w:space="0" w:sz="4" w:val="single"/>
              <w:left w:color="0b57d0" w:space="0" w:sz="4" w:val="single"/>
              <w:bottom w:color="0b57d0" w:space="0" w:sz="12" w:val="single"/>
              <w:right w:color="000000" w:space="0" w:sz="0" w:val="nil"/>
            </w:tcBorders>
            <w:vAlign w:val="center"/>
          </w:tcPr>
          <w:p w:rsidR="00000000" w:rsidDel="00000000" w:rsidP="00000000" w:rsidRDefault="00000000" w:rsidRPr="00000000" w14:paraId="00000099">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복잡한 가계부가 아니라, 월급날 한 번의 배분과 매일 확인하는 ‘쓸 수 있는 돈’, 그리고 계획이 틀어졌을 때 예산을 다시 맞추는 방법</w:t>
            </w:r>
          </w:p>
        </w:tc>
      </w:tr>
    </w:tbl>
    <w:p w:rsidR="00000000" w:rsidDel="00000000" w:rsidP="00000000" w:rsidRDefault="00000000" w:rsidRPr="00000000" w14:paraId="0000009A">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9B">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유사 서비스 비교</w:t>
      </w:r>
    </w:p>
    <w:tbl>
      <w:tblPr>
        <w:tblStyle w:val="Table12"/>
        <w:tblW w:w="9915.0" w:type="dxa"/>
        <w:jc w:val="left"/>
        <w:tblLayout w:type="fixed"/>
        <w:tblLook w:val="0600"/>
      </w:tblPr>
      <w:tblGrid>
        <w:gridCol w:w="2295"/>
        <w:gridCol w:w="4050"/>
        <w:gridCol w:w="3570"/>
        <w:tblGridChange w:id="0">
          <w:tblGrid>
            <w:gridCol w:w="2295"/>
            <w:gridCol w:w="4050"/>
            <w:gridCol w:w="3570"/>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9C">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서비스</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09D">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공식 안내 기준 주요 기능</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9E">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예산 관리 방식</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9F">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토스 [S1]</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A0">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송금 · 자산 모아보기 · 상품 가입, 카드값 · 대출금 출금 전 잔액 부족 알림</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A1">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공식 안내에 별도 설명 없음</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A2">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뱅크샐러드 [S2]</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A3">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카테고리별 소비 분석 · 월간 리포트, 유사 순자산 · 연소득 사용자 비교</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A4">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월 예산을 사용자가 직접 설정</w:t>
            </w:r>
          </w:p>
        </w:tc>
      </w:tr>
      <w:tr>
        <w:trPr>
          <w:cantSplit w:val="1"/>
          <w:tblHeader w:val="0"/>
        </w:trPr>
        <w:tc>
          <w:tcPr>
            <w:tcBorders>
              <w:top w:color="0b57d0" w:space="0" w:sz="4" w:val="single"/>
              <w:left w:color="000000" w:space="0" w:sz="0" w:val="nil"/>
              <w:bottom w:color="0b57d0" w:space="0" w:sz="12" w:val="single"/>
              <w:right w:color="0b57d0" w:space="0" w:sz="4" w:val="single"/>
            </w:tcBorders>
            <w:shd w:fill="eef3fd" w:val="clear"/>
            <w:vAlign w:val="center"/>
          </w:tcPr>
          <w:p w:rsidR="00000000" w:rsidDel="00000000" w:rsidP="00000000" w:rsidRDefault="00000000" w:rsidRPr="00000000" w14:paraId="000000A5">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머니쿠션</w:t>
            </w:r>
          </w:p>
        </w:tc>
        <w:tc>
          <w:tcPr>
            <w:tcBorders>
              <w:top w:color="0b57d0" w:space="0" w:sz="4" w:val="single"/>
              <w:left w:color="0b57d0" w:space="0" w:sz="4" w:val="single"/>
              <w:bottom w:color="0b57d0" w:space="0" w:sz="12" w:val="single"/>
              <w:right w:color="0b57d0" w:space="0" w:sz="4" w:val="single"/>
            </w:tcBorders>
            <w:shd w:fill="eef3fd" w:val="clear"/>
            <w:vAlign w:val="center"/>
          </w:tcPr>
          <w:p w:rsidR="00000000" w:rsidDel="00000000" w:rsidP="00000000" w:rsidRDefault="00000000" w:rsidRPr="00000000" w14:paraId="000000A6">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추천 예산 · 거래 자동 분류 · 챗봇 소비 분석 · 예산 조정 (확장: 돌발 · 초과 감지, 큰 지출 상담)</w:t>
            </w:r>
          </w:p>
        </w:tc>
        <w:tc>
          <w:tcPr>
            <w:tcBorders>
              <w:top w:color="0b57d0" w:space="0" w:sz="4" w:val="single"/>
              <w:left w:color="0b57d0" w:space="0" w:sz="4" w:val="single"/>
              <w:bottom w:color="0b57d0" w:space="0" w:sz="12" w:val="single"/>
              <w:right w:color="000000" w:space="0" w:sz="0" w:val="nil"/>
            </w:tcBorders>
            <w:shd w:fill="eef3fd" w:val="clear"/>
            <w:vAlign w:val="center"/>
          </w:tcPr>
          <w:p w:rsidR="00000000" w:rsidDel="00000000" w:rsidP="00000000" w:rsidRDefault="00000000" w:rsidRPr="00000000" w14:paraId="000000A7">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카테고리별 예산을 AI가 추천, 사용자 승인 후 반영</w:t>
            </w:r>
          </w:p>
        </w:tc>
      </w:tr>
    </w:tbl>
    <w:p w:rsidR="00000000" w:rsidDel="00000000" w:rsidP="00000000" w:rsidRDefault="00000000" w:rsidRPr="00000000" w14:paraId="000000A8">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A9">
      <w:pPr>
        <w:widowControl w:val="0"/>
        <w:spacing w:after="100" w:lineRule="auto"/>
        <w:rPr>
          <w:rFonts w:ascii="Malgun Gothic" w:cs="Malgun Gothic" w:eastAsia="Malgun Gothic" w:hAnsi="Malgun Gothic"/>
          <w:b w:val="0"/>
          <w:bCs w:val="0"/>
          <w:color w:val="5f6368"/>
          <w:sz w:val="17"/>
          <w:szCs w:val="17"/>
        </w:rPr>
      </w:pPr>
      <w:r>
        <w:rPr>
          <w:rFonts w:ascii="Malgun Gothic" w:cs="Malgun Gothic" w:eastAsia="Malgun Gothic" w:hAnsi="Malgun Gothic"/>
          <w:b w:val="0"/>
          <w:bCs w:val="0"/>
          <w:color w:val="5f6368"/>
          <w:sz w:val="17"/>
          <w:szCs w:val="17"/>
          <w:rtl w:val="0"/>
        </w:rPr>
        <w:t xml:space="preserve">※ 비교 범위는 각 서비스의 공식 공개 안내이며 전체 앱 기능 조사가 아니다. 경쟁 서비스에 유사 기능이 없다고 단정하지 않는다. (확인일 2026. 10. 15.)</w:t>
      </w:r>
    </w:p>
    <w:p w:rsidR="00000000" w:rsidDel="00000000" w:rsidP="00000000" w:rsidRDefault="00000000" w:rsidRPr="00000000" w14:paraId="000000AA">
      <w:pPr>
        <w:widowControl w:val="0"/>
        <w:spacing w:after="100" w:lineRule="auto"/>
        <w:rPr>
          <w:rFonts w:ascii="Malgun Gothic" w:cs="Malgun Gothic" w:eastAsia="Malgun Gothic" w:hAnsi="Malgun Gothic"/>
          <w:b w:val="0"/>
          <w:bCs w:val="0"/>
          <w:color w:val="5f6368"/>
          <w:sz w:val="17"/>
          <w:szCs w:val="17"/>
        </w:rPr>
      </w:pPr>
      <w:r>
        <w:rPr>
          <w:rFonts w:ascii="Malgun Gothic" w:cs="Malgun Gothic" w:eastAsia="Malgun Gothic" w:hAnsi="Malgun Gothic"/>
          <w:b w:val="0"/>
          <w:bCs w:val="0"/>
          <w:color w:val="5f6368"/>
          <w:sz w:val="17"/>
          <w:szCs w:val="17"/>
          <w:rtl w:val="0"/>
        </w:rPr>
        <w:t xml:space="preserve">※ 머니쿠션은 계좌를 조회만 하고 송금·결제·대출·상품 가입을 대신 실행하지 않는다. 대신 사회초년생이 스스로 판단할 수 있도록 근거와 선택지를 제시하는 가이드 역할에 집중한다.</w:t>
      </w:r>
    </w:p>
    <w:p w:rsidR="00000000" w:rsidDel="00000000" w:rsidP="00000000" w:rsidRDefault="00000000" w:rsidRPr="00000000" w14:paraId="000000AB">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머니쿠션의 차별점: 청년의 ‘첫 돈 관리’를 돕는다</w:t>
      </w:r>
    </w:p>
    <w:tbl>
      <w:tblPr>
        <w:tblStyle w:val="Table13"/>
        <w:tblW w:w="9925.0" w:type="dxa"/>
        <w:jc w:val="left"/>
        <w:tblLayout w:type="fixed"/>
        <w:tblLook w:val="0600"/>
      </w:tblPr>
      <w:tblGrid>
        <w:gridCol w:w="2900"/>
        <w:gridCol w:w="7025"/>
        <w:tblGridChange w:id="0">
          <w:tblGrid>
            <w:gridCol w:w="2900"/>
            <w:gridCol w:w="7025"/>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AC">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차별점</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AD">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내용</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AE">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① 사회초년생 전용 시작점</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AF">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연령대 · 성별 · 가구 형태(1인/2인 이상) · 소득 · 우선순위 1~3위 · 예산 방향(생활 안정형/저축 집중형)을 바탕으로 ML이 카테고리별 예산 초안을 추천한다. 데이터가 부족하면 통계 참고값 · 규칙 기반 초안을 사용한다.</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B0">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② 남은 생활비 안에서 조정</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B1">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이미 쓴 돈은 그대로 두고 남은 생활비 안에서 재배분한다. 예산 조정 에이전트가 자물쇠 · 보호 조건(저축 · 쿠션) · 우선순위를 지키는 조정안을 제안한다.</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B2">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③ 챗봇으로 분석 · 조정 상담</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B3">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자동 분류된 거래를 바탕으로 챗봇에서 내 소비를 묻고, 대화로 예산 조정을 요청할 수 있다.</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B4">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④ ‘쓸 수 있는 돈’ 중심</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B5">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고정지출 · 저축 · 쿠션을 뺀 다음 급여일까지의 더 써도 되는 돈과 하루 생활비를 먼저 보여준다.</w:t>
            </w:r>
          </w:p>
        </w:tc>
      </w:tr>
      <w:tr>
        <w:trPr>
          <w:cantSplit w:val="1"/>
          <w:tblHeader w:val="0"/>
        </w:trPr>
        <w:tc>
          <w:tcPr>
            <w:tcBorders>
              <w:top w:color="0b57d0" w:space="0" w:sz="4"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B6">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⑤ 쓰기 전에 미리 대비하는 쿠션</w:t>
            </w:r>
          </w:p>
        </w:tc>
        <w:tc>
          <w:tcPr>
            <w:tcBorders>
              <w:top w:color="0b57d0" w:space="0" w:sz="4"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B7">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입출금 계좌 잔액이 월급의 3배 이상이면 머니 쿠션 설정 여부를 묻고, 미만이면 쿠션을 먼저 배정해 ‘현재 확보 쿠션 / 월급의 3배’를 보여준다. 돌발 지출 이외에는 손대지 않는 최소 안전선으로 미리 대비한다.</w:t>
            </w:r>
          </w:p>
        </w:tc>
      </w:tr>
      <w:tr>
        <w:trPr>
          <w:cantSplit w:val="1"/>
          <w:tblHeader w:val="0"/>
        </w:trPr>
        <w:tc>
          <w:tcPr>
            <w:tcBorders>
              <w:top w:color="0b57d0" w:space="0" w:sz="8" w:val="single"/>
              <w:left w:color="000000" w:space="0" w:sz="0" w:val="nil"/>
              <w:bottom w:color="0b57d0" w:space="0" w:sz="12" w:val="single"/>
              <w:right w:color="0b57d0" w:space="0" w:sz="4" w:val="single"/>
            </w:tcBorders>
            <w:vAlign w:val="center"/>
          </w:tcPr>
          <w:p w:rsidR="00000000" w:rsidDel="00000000" w:rsidP="00000000" w:rsidRDefault="00000000" w:rsidRPr="00000000" w14:paraId="000000B8">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⑥ 계산은 AI가 아닌 엔진이</w:t>
            </w:r>
          </w:p>
        </w:tc>
        <w:tc>
          <w:tcPr>
            <w:tcBorders>
              <w:top w:color="0b57d0" w:space="0" w:sz="8" w:val="single"/>
              <w:left w:color="0b57d0" w:space="0" w:sz="4" w:val="single"/>
              <w:bottom w:color="0b57d0" w:space="0" w:sz="12" w:val="single"/>
              <w:right w:color="000000" w:space="0" w:sz="0" w:val="nil"/>
            </w:tcBorders>
            <w:vAlign w:val="center"/>
          </w:tcPr>
          <w:p w:rsidR="00000000" w:rsidDel="00000000" w:rsidP="00000000" w:rsidRDefault="00000000" w:rsidRPr="00000000" w14:paraId="000000B9">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금액은 계산 엔진이 산출 · 검수하고, LLM 조정안도 검수를 통과해야 표시한다. 사용자 승인 없이 예산을 바꾸지 않는다.</w:t>
            </w:r>
          </w:p>
        </w:tc>
      </w:tr>
    </w:tbl>
    <w:p w:rsidR="00000000" w:rsidDel="00000000" w:rsidP="00000000" w:rsidRDefault="00000000" w:rsidRPr="00000000" w14:paraId="000000BA">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BB">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BM (수익 모델) 제안</w:t>
      </w:r>
    </w:p>
    <w:tbl>
      <w:tblPr>
        <w:tblStyle w:val="Table14"/>
        <w:tblW w:w="9925.0" w:type="dxa"/>
        <w:jc w:val="left"/>
        <w:tblLayout w:type="fixed"/>
        <w:tblLook w:val="0600"/>
      </w:tblPr>
      <w:tblGrid>
        <w:gridCol w:w="2300"/>
        <w:gridCol w:w="4225"/>
        <w:gridCol w:w="3400"/>
        <w:tblGridChange w:id="0">
          <w:tblGrid>
            <w:gridCol w:w="2300"/>
            <w:gridCol w:w="4225"/>
            <w:gridCol w:w="3400"/>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BC">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수익 모델</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0BD">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내용</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BE">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운영 원칙</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BF">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프리미엄 구독</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C0">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기본 예산 · 더 써도 되는 돈 · 챗봇 소비 분석 · 예산 조정은 무료로 제공하고, 챗봇 상담 횟수 확대 · 상세 소비 분석 · 목표 코칭 (후속 기능)의 유료화를 검토한다.</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C1">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가격 · 유료 범위는 사용자 검증과 AI 호출 비용 측정 후 결정</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C2">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청년 금융상품 제휴</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C3">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sz w:val="18"/>
                <w:szCs w:val="18"/>
                <w:rtl w:val="0"/>
              </w:rPr>
              <w:t xml:space="preserve">(후속)</w:t>
            </w:r>
            <w:r>
              <w:rPr>
                <w:rFonts w:ascii="Malgun Gothic" w:cs="Malgun Gothic" w:eastAsia="Malgun Gothic" w:hAnsi="Malgun Gothic"/>
                <w:b w:val="0"/>
                <w:bCs w:val="0"/>
                <w:sz w:val="18"/>
                <w:szCs w:val="18"/>
                <w:rtl w:val="0"/>
              </w:rPr>
              <w:t xml:space="preserve"> 확장 기능인 예적금·카드 추천에서 공식 상품 정보와 가입 경로 안내</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C4">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제휴 여부가 추천 순위 · 계산 결과를 바꾸지 않음, 가입은 대신 실행하지 않음</w:t>
            </w:r>
          </w:p>
        </w:tc>
      </w:tr>
      <w:tr>
        <w:trPr>
          <w:cantSplit w:val="1"/>
          <w:tblHeader w:val="0"/>
        </w:trPr>
        <w:tc>
          <w:tcPr>
            <w:tcBorders>
              <w:top w:color="0b57d0" w:space="0" w:sz="4" w:val="single"/>
              <w:left w:color="000000" w:space="0" w:sz="0" w:val="nil"/>
              <w:bottom w:color="0b57d0" w:space="0" w:sz="12" w:val="single"/>
              <w:right w:color="0b57d0" w:space="0" w:sz="4" w:val="single"/>
            </w:tcBorders>
            <w:vAlign w:val="center"/>
          </w:tcPr>
          <w:p w:rsidR="00000000" w:rsidDel="00000000" w:rsidP="00000000" w:rsidRDefault="00000000" w:rsidRPr="00000000" w14:paraId="000000C5">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B2B · B2G 금융교육</w:t>
            </w:r>
          </w:p>
        </w:tc>
        <w:tc>
          <w:tcPr>
            <w:tcBorders>
              <w:top w:color="0b57d0" w:space="0" w:sz="4" w:val="single"/>
              <w:left w:color="0b57d0" w:space="0" w:sz="4" w:val="single"/>
              <w:bottom w:color="0b57d0" w:space="0" w:sz="12" w:val="single"/>
              <w:right w:color="0b57d0" w:space="0" w:sz="4" w:val="single"/>
            </w:tcBorders>
            <w:vAlign w:val="center"/>
          </w:tcPr>
          <w:p w:rsidR="00000000" w:rsidDel="00000000" w:rsidP="00000000" w:rsidRDefault="00000000" w:rsidRPr="00000000" w14:paraId="000000C6">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기업 신입사원 온보딩, 대학 · 지자체 청년센터의 금융교육 프로그램과 연계</w:t>
            </w:r>
          </w:p>
        </w:tc>
        <w:tc>
          <w:tcPr>
            <w:tcBorders>
              <w:top w:color="0b57d0" w:space="0" w:sz="4" w:val="single"/>
              <w:left w:color="0b57d0" w:space="0" w:sz="4" w:val="single"/>
              <w:bottom w:color="0b57d0" w:space="0" w:sz="12" w:val="single"/>
              <w:right w:color="000000" w:space="0" w:sz="0" w:val="nil"/>
            </w:tcBorders>
            <w:vAlign w:val="center"/>
          </w:tcPr>
          <w:p w:rsidR="00000000" w:rsidDel="00000000" w:rsidP="00000000" w:rsidRDefault="00000000" w:rsidRPr="00000000" w14:paraId="000000C7">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개인 데이터는 본인 동의 범위에서만 사용, 기관에는 집계 결과만 제공</w:t>
            </w:r>
          </w:p>
        </w:tc>
      </w:tr>
    </w:tbl>
    <w:p w:rsidR="00000000" w:rsidDel="00000000" w:rsidP="00000000" w:rsidRDefault="00000000" w:rsidRPr="00000000" w14:paraId="000000C8">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C9">
      <w:pPr>
        <w:widowControl w:val="0"/>
        <w:spacing w:after="100" w:lineRule="auto"/>
        <w:rPr>
          <w:rFonts w:ascii="Malgun Gothic" w:cs="Malgun Gothic" w:eastAsia="Malgun Gothic" w:hAnsi="Malgun Gothic"/>
          <w:b w:val="0"/>
          <w:bCs w:val="0"/>
          <w:color w:val="5f6368"/>
          <w:sz w:val="17"/>
          <w:szCs w:val="17"/>
        </w:rPr>
      </w:pPr>
      <w:r>
        <w:rPr>
          <w:rFonts w:ascii="Malgun Gothic" w:cs="Malgun Gothic" w:eastAsia="Malgun Gothic" w:hAnsi="Malgun Gothic"/>
          <w:b w:val="0"/>
          <w:bCs w:val="0"/>
          <w:color w:val="5f6368"/>
          <w:sz w:val="17"/>
          <w:szCs w:val="17"/>
          <w:rtl w:val="0"/>
        </w:rPr>
        <w:t xml:space="preserve">※ 프로젝트 단계에서는 핵심 흐름의 유용성과 운영 비용 검증을 우선하며, BM은 상용화를 위한 가설이다.</w:t>
      </w:r>
    </w:p>
    <w:p w:rsidR="00000000" w:rsidDel="00000000" w:rsidP="00000000" w:rsidRDefault="00000000" w:rsidRPr="00000000" w14:paraId="000000CA">
      <w:pPr>
        <w:pageBreakBefore w:val="1"/>
        <w:widowControl w:val="0"/>
        <w:spacing w:line="240" w:lineRule="auto"/>
        <w:jc w:val="both"/>
        <w:rPr>
          <w:rFonts w:ascii="Malgun Gothic" w:cs="Malgun Gothic" w:eastAsia="Malgun Gothic" w:hAnsi="Malgun Gothic"/>
          <w:b w:val="0"/>
          <w:bCs w:val="0"/>
          <w:sz w:val="4"/>
          <w:szCs w:val="4"/>
        </w:rPr>
      </w:pPr>
      <w:r>
        <w:rPr>
          <w:rtl w:val="0"/>
        </w:rPr>
      </w:r>
    </w:p>
    <w:tbl>
      <w:tblPr>
        <w:tblStyle w:val="Table15"/>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9925"/>
        <w:tblGridChange w:id="0">
          <w:tblGrid>
            <w:gridCol w:w="9925"/>
          </w:tblGrid>
        </w:tblGridChange>
      </w:tblGrid>
      <w:tr>
        <w:trPr>
          <w:cantSplit w:val="0"/>
          <w:trHeight w:val="427" w:hRule="atLeast"/>
          <w:tblHeader w:val="0"/>
        </w:trPr>
        <w:tc>
          <w:tcPr>
            <w:tcBorders>
              <w:top w:color="0b57d0" w:space="0" w:sz="18" w:val="single"/>
              <w:left w:color="000000" w:space="0" w:sz="0" w:val="nil"/>
              <w:bottom w:color="000000" w:space="0" w:sz="0" w:val="nil"/>
              <w:right w:color="33bcb1" w:space="0" w:sz="18" w:val="single"/>
            </w:tcBorders>
            <w:tcMar>
              <w:top w:w="100.0" w:type="dxa"/>
              <w:left w:w="100.0" w:type="dxa"/>
              <w:bottom w:w="100.0" w:type="dxa"/>
              <w:right w:w="100.0" w:type="dxa"/>
            </w:tcMar>
          </w:tcPr>
          <w:p w:rsidR="00000000" w:rsidDel="00000000" w:rsidP="00000000" w:rsidRDefault="00000000" w:rsidRPr="00000000" w14:paraId="000000CB">
            <w:pPr>
              <w:keepNext w:val="1"/>
              <w:spacing w:after="60" w:line="264" w:lineRule="auto"/>
              <w:rPr>
                <w:rFonts w:ascii="Malgun Gothic" w:cs="Malgun Gothic" w:eastAsia="Malgun Gothic" w:hAnsi="Malgun Gothic"/>
                <w:b w:val="0"/>
                <w:bCs w:val="0"/>
                <w:sz w:val="16"/>
                <w:szCs w:val="16"/>
              </w:rPr>
            </w:pPr>
            <w:r>
              <w:rPr>
                <w:rFonts w:ascii="Malgun Gothic" w:cs="Malgun Gothic" w:eastAsia="Malgun Gothic" w:hAnsi="Malgun Gothic"/>
                <w:sz w:val="32"/>
                <w:szCs w:val="32"/>
                <w:rtl w:val="0"/>
              </w:rPr>
              <w:t xml:space="preserve">4. 시스템 구성 기획</w:t>
            </w:r>
            <w:r>
              <w:rPr>
                <w:rtl w:val="0"/>
              </w:rPr>
            </w:r>
          </w:p>
        </w:tc>
      </w:tr>
    </w:tbl>
    <w:p w:rsidR="00000000" w:rsidDel="00000000" w:rsidP="00000000" w:rsidRDefault="00000000" w:rsidRPr="00000000" w14:paraId="000000CC">
      <w:pPr>
        <w:keepNext w:val="1"/>
        <w:widowControl w:val="0"/>
        <w:spacing w:after="6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CD">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시스템 구성도</w:t>
      </w:r>
    </w:p>
    <w:p w:rsidR="00000000" w:rsidDel="00000000" w:rsidP="00000000" w:rsidRDefault="00000000" w:rsidRPr="00000000" w14:paraId="000000CE">
      <w:pPr>
        <w:keepNext w:val="1"/>
        <w:spacing w:after="40" w:before="60" w:line="240" w:lineRule="auto"/>
        <w:jc w:val="center"/>
        <w:rPr/>
      </w:pPr>
      <w:r>
        <w:rPr/>
        <w:drawing>
          <wp:inline distB="114300" distT="114300" distL="114300" distR="114300">
            <wp:extent cx="6300160" cy="2857500"/>
            <wp:effectExtent b="0" l="0" r="0" t="0"/>
            <wp:docPr id="15"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6300160" cy="2857500"/>
                    </a:xfrm>
                    <a:prstGeom prst="rect"/>
                    <a:ln/>
                  </pic:spPr>
                </pic:pic>
              </a:graphicData>
            </a:graphic>
          </wp:inline>
        </w:drawing>
      </w:r>
      <w:r>
        <w:rPr>
          <w:rtl w:val="0"/>
        </w:rPr>
      </w:r>
    </w:p>
    <w:p w:rsidR="00000000" w:rsidDel="00000000" w:rsidP="00000000" w:rsidRDefault="00000000" w:rsidRPr="00000000" w14:paraId="000000CF">
      <w:pPr>
        <w:widowControl w:val="0"/>
        <w:spacing w:after="100" w:lineRule="auto"/>
        <w:jc w:val="center"/>
        <w:rPr>
          <w:rFonts w:ascii="Malgun Gothic" w:cs="Malgun Gothic" w:eastAsia="Malgun Gothic" w:hAnsi="Malgun Gothic"/>
          <w:b w:val="0"/>
          <w:bCs w:val="0"/>
          <w:color w:val="5f6368"/>
          <w:sz w:val="17"/>
          <w:szCs w:val="17"/>
        </w:rPr>
      </w:pPr>
      <w:r>
        <w:rPr>
          <w:rFonts w:ascii="Malgun Gothic" w:cs="Malgun Gothic" w:eastAsia="Malgun Gothic" w:hAnsi="Malgun Gothic"/>
          <w:b w:val="0"/>
          <w:bCs w:val="0"/>
          <w:color w:val="5f6368"/>
          <w:sz w:val="17"/>
          <w:szCs w:val="17"/>
          <w:rtl w:val="0"/>
        </w:rPr>
        <w:t xml:space="preserve">그림 1. 머니쿠션 시스템 구성도</w:t>
      </w:r>
    </w:p>
    <w:p w:rsidR="00000000" w:rsidDel="00000000" w:rsidP="00000000" w:rsidRDefault="00000000" w:rsidRPr="00000000" w14:paraId="000000D0">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설계 원칙</w:t>
      </w:r>
    </w:p>
    <w:p w:rsidR="00000000" w:rsidDel="00000000" w:rsidP="00000000" w:rsidRDefault="00000000" w:rsidRPr="00000000" w14:paraId="000000D1">
      <w:pPr>
        <w:widowControl w:val="0"/>
        <w:numPr>
          <w:ilvl w:val="0"/>
          <w:numId w:val="2"/>
        </w:numPr>
        <w:spacing w:after="100" w:lineRule="auto"/>
        <w:ind w:left="400" w:hanging="260"/>
        <w:rPr>
          <w:sz w:val="20"/>
          <w:szCs w:val="20"/>
        </w:rPr>
      </w:pPr>
      <w:r>
        <w:rPr>
          <w:rFonts w:ascii="Malgun Gothic" w:cs="Malgun Gothic" w:eastAsia="Malgun Gothic" w:hAnsi="Malgun Gothic"/>
          <w:sz w:val="20"/>
          <w:szCs w:val="20"/>
          <w:rtl w:val="0"/>
        </w:rPr>
        <w:t xml:space="preserve">규칙 라우터와 빠른 조회</w:t>
      </w:r>
      <w:r>
        <w:rPr>
          <w:rFonts w:ascii="Malgun Gothic" w:cs="Malgun Gothic" w:eastAsia="Malgun Gothic" w:hAnsi="Malgun Gothic"/>
          <w:b w:val="0"/>
          <w:bCs w:val="0"/>
          <w:sz w:val="20"/>
          <w:szCs w:val="20"/>
          <w:rtl w:val="0"/>
        </w:rPr>
        <w:t xml:space="preserve"> : 잔액 · 더 써도 되는 돈 같은 조회는 LLM 없이 DB · 계산 엔진으로 즉시 처리한다. 라우터도 LLM을 쓰지 않고 버튼 선택과 시스템 진입점으로 담당 에이전트 · 모드를 정하며, 판단이 필요한 요청만 작업 큐를 거쳐 AI Worker에서 처리한다.</w:t>
      </w:r>
      <w:r>
        <w:rPr>
          <w:rtl w:val="0"/>
        </w:rPr>
      </w:r>
    </w:p>
    <w:p w:rsidR="00000000" w:rsidDel="00000000" w:rsidP="00000000" w:rsidRDefault="00000000" w:rsidRPr="00000000" w14:paraId="000000D2">
      <w:pPr>
        <w:widowControl w:val="0"/>
        <w:numPr>
          <w:ilvl w:val="0"/>
          <w:numId w:val="2"/>
        </w:numPr>
        <w:spacing w:after="100" w:lineRule="auto"/>
        <w:ind w:left="400" w:hanging="260"/>
        <w:rPr>
          <w:sz w:val="20"/>
          <w:szCs w:val="20"/>
        </w:rPr>
      </w:pPr>
      <w:r>
        <w:rPr>
          <w:rFonts w:ascii="Malgun Gothic" w:cs="Malgun Gothic" w:eastAsia="Malgun Gothic" w:hAnsi="Malgun Gothic"/>
          <w:sz w:val="20"/>
          <w:szCs w:val="20"/>
          <w:rtl w:val="0"/>
        </w:rPr>
        <w:t xml:space="preserve">LLM · ML · 계산 엔진</w:t>
      </w:r>
      <w:r>
        <w:rPr>
          <w:rFonts w:ascii="Malgun Gothic" w:cs="Malgun Gothic" w:eastAsia="Malgun Gothic" w:hAnsi="Malgun Gothic"/>
          <w:b w:val="0"/>
          <w:bCs w:val="0"/>
          <w:sz w:val="20"/>
          <w:szCs w:val="20"/>
          <w:rtl w:val="0"/>
        </w:rPr>
        <w:t xml:space="preserve">: LLM은 의도 해석 · 우선순위 판단 · 재분배안 작성 · 결과 설명, ML은 거래 분류 · 카테고리 비율 · (2차) 또래 기대 소비 예측, 계산 엔진은 기준 금액 · 합계 · (3차) 상환액 계산과 조건 검수를 맡는다.</w:t>
      </w:r>
      <w:r>
        <w:rPr>
          <w:rtl w:val="0"/>
        </w:rPr>
      </w:r>
    </w:p>
    <w:p w:rsidR="00000000" w:rsidDel="00000000" w:rsidP="00000000" w:rsidRDefault="00000000" w:rsidRPr="00000000" w14:paraId="000000D3">
      <w:pPr>
        <w:widowControl w:val="0"/>
        <w:numPr>
          <w:ilvl w:val="0"/>
          <w:numId w:val="2"/>
        </w:numPr>
        <w:spacing w:after="100" w:lineRule="auto"/>
        <w:ind w:left="400" w:hanging="260"/>
        <w:rPr>
          <w:sz w:val="20"/>
          <w:szCs w:val="20"/>
        </w:rPr>
      </w:pPr>
      <w:r>
        <w:rPr>
          <w:rFonts w:ascii="Malgun Gothic" w:cs="Malgun Gothic" w:eastAsia="Malgun Gothic" w:hAnsi="Malgun Gothic"/>
          <w:sz w:val="20"/>
          <w:szCs w:val="20"/>
          <w:rtl w:val="0"/>
        </w:rPr>
        <w:t xml:space="preserve">검수 후 승인 적용</w:t>
      </w:r>
      <w:r>
        <w:rPr>
          <w:rFonts w:ascii="Malgun Gothic" w:cs="Malgun Gothic" w:eastAsia="Malgun Gothic" w:hAnsi="Malgun Gothic"/>
          <w:b w:val="0"/>
          <w:bCs w:val="0"/>
          <w:sz w:val="20"/>
          <w:szCs w:val="20"/>
          <w:rtl w:val="0"/>
        </w:rPr>
        <w:t xml:space="preserve"> : 예산에 영향을 주는 변경은 엔진 검수를 통과한 안만 사용자에게 보여주고 승인 후 반영한다. 검수 실패 시 LLM 재생성은 최대 3회, 이후에도 실패하면 자동 반영 없이 사용자 확인으로 전환한다. 에이전트는 DB를 직접 변경하지 않는다.</w:t>
      </w:r>
      <w:r>
        <w:rPr>
          <w:rtl w:val="0"/>
        </w:rPr>
      </w:r>
    </w:p>
    <w:p w:rsidR="00000000" w:rsidDel="00000000" w:rsidP="00000000" w:rsidRDefault="00000000" w:rsidRPr="00000000" w14:paraId="000000D4">
      <w:pPr>
        <w:widowControl w:val="0"/>
        <w:numPr>
          <w:ilvl w:val="0"/>
          <w:numId w:val="2"/>
        </w:numPr>
        <w:spacing w:after="100" w:lineRule="auto"/>
        <w:ind w:left="400" w:hanging="260"/>
        <w:rPr>
          <w:sz w:val="20"/>
          <w:szCs w:val="20"/>
        </w:rPr>
      </w:pPr>
      <w:r>
        <w:rPr>
          <w:rFonts w:ascii="Malgun Gothic" w:cs="Malgun Gothic" w:eastAsia="Malgun Gothic" w:hAnsi="Malgun Gothic"/>
          <w:sz w:val="20"/>
          <w:szCs w:val="20"/>
          <w:rtl w:val="0"/>
        </w:rPr>
        <w:t xml:space="preserve">계좌 연결 기반</w:t>
      </w:r>
      <w:r>
        <w:rPr>
          <w:rFonts w:ascii="Malgun Gothic" w:cs="Malgun Gothic" w:eastAsia="Malgun Gothic" w:hAnsi="Malgun Gothic"/>
          <w:b w:val="0"/>
          <w:bCs w:val="0"/>
          <w:sz w:val="20"/>
          <w:szCs w:val="20"/>
          <w:rtl w:val="0"/>
        </w:rPr>
        <w:t xml:space="preserve"> : CODEF 계좌 연결은 필수, 카드 · 대출 조회는 선택이다. 대출은 자동 조회 · 사용자 보완 · 추정을 구분하며, CODEF 조회 항목과 금융기관 범위는 연동 테스트 후 확정한다. OCR은 입력 보조 검증 과제로 두며 인증이나 계좌 연결을 대체하지 않는다.</w:t>
      </w:r>
      <w:r>
        <w:rPr>
          <w:rtl w:val="0"/>
        </w:rPr>
      </w:r>
    </w:p>
    <w:p w:rsidR="00000000" w:rsidDel="00000000" w:rsidP="00000000" w:rsidRDefault="00000000" w:rsidRPr="00000000" w14:paraId="000000D5">
      <w:pPr>
        <w:widowControl w:val="0"/>
        <w:numPr>
          <w:ilvl w:val="0"/>
          <w:numId w:val="2"/>
        </w:numPr>
        <w:spacing w:after="100" w:lineRule="auto"/>
        <w:ind w:left="400" w:hanging="260"/>
        <w:rPr>
          <w:sz w:val="20"/>
          <w:szCs w:val="20"/>
        </w:rPr>
      </w:pPr>
      <w:r>
        <w:rPr>
          <w:rFonts w:ascii="Malgun Gothic" w:cs="Malgun Gothic" w:eastAsia="Malgun Gothic" w:hAnsi="Malgun Gothic"/>
          <w:sz w:val="20"/>
          <w:szCs w:val="20"/>
          <w:rtl w:val="0"/>
        </w:rPr>
        <w:t xml:space="preserve">버튼 기반 통합 챗봇</w:t>
      </w:r>
      <w:r>
        <w:rPr>
          <w:rFonts w:ascii="Malgun Gothic" w:cs="Malgun Gothic" w:eastAsia="Malgun Gothic" w:hAnsi="Malgun Gothic"/>
          <w:b w:val="0"/>
          <w:bCs w:val="0"/>
          <w:sz w:val="20"/>
          <w:szCs w:val="20"/>
          <w:rtl w:val="0"/>
        </w:rPr>
        <w:t xml:space="preserve"> : 첫 화면에 자유 입력란 없이 선택지 3개(예산 조정 · 큰 지출 상담 · 소비 분석)를 제공하고, 에이전트 전환도 버튼 · 메뉴로 한다. 자유 문장으로 전환하는 기능은 후속 LLM 라우터 범위로 둔다. 1차(MVP)에서는 소비 분석(내 소비 집계 기반)과 예산 조정을 제공하고, 큰 지출 상담(3차)은 ‘준비 중’으로 비활성화 표시한다.</w:t>
      </w:r>
      <w:r>
        <w:rPr>
          <w:rtl w:val="0"/>
        </w:rPr>
      </w:r>
    </w:p>
    <w:p w:rsidR="00000000" w:rsidDel="00000000" w:rsidP="00000000" w:rsidRDefault="00000000" w:rsidRPr="00000000" w14:paraId="000000D6">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주요 기능</w:t>
      </w:r>
    </w:p>
    <w:tbl>
      <w:tblPr>
        <w:tblStyle w:val="Table16"/>
        <w:tblW w:w="10110.0" w:type="dxa"/>
        <w:jc w:val="left"/>
        <w:tblLayout w:type="fixed"/>
        <w:tblLook w:val="0600"/>
      </w:tblPr>
      <w:tblGrid>
        <w:gridCol w:w="1905"/>
        <w:gridCol w:w="6435"/>
        <w:gridCol w:w="1770"/>
        <w:tblGridChange w:id="0">
          <w:tblGrid>
            <w:gridCol w:w="1905"/>
            <w:gridCol w:w="6435"/>
            <w:gridCol w:w="1770"/>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D7">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기능 영역</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0D8">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주요 내용</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D9">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구분</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D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회원 · 계좌 연결</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D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회원가입 · 로그인(자동 로그인), CODEF 계좌 연결(필수 · 읽기 전용), 카드 결제예정 · 대출 조회(선택). 대출은 자동 조회 · 사용자 보완 · 추정을 구분하고 조회 범위는 연동 테스트 후 확정</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DC">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1차(MVP)</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DD">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초기 설정 · 예산 설계</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DE">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생년월일(연령대) · 성별 · 가구 형태(1인/2인 이상) · 우선순위 1~3위, 월급 · 고정지출(3회 이상 반복 탐지), 예산 방향 2개 · 지킬 돈 입력. </w:t>
            </w:r>
          </w:p>
          <w:p w:rsidR="00000000" w:rsidDel="00000000" w:rsidP="00000000" w:rsidRDefault="00000000" w:rsidRPr="00000000" w14:paraId="000000DF">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추천 예산 1개 제시 → 자물쇠 설정 → 챗봇으로 초안 수정 → 사용자 승인 후 확정</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E0">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1차(MVP)</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E1">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거래 관리 · 분류</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E2">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ML 1차 분류 · 확신도 → 낮으면 검색 · 지도 API 정보로 LLM 추가 판단 → 불명확하면 ‘확인 필요’ · 후보 카테고리로 사용자 확인. 확정 결과 저장, 기존 중복 방지 유지</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E3">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1차(MVP)</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E4">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예산 조정</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E5">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1차 모드 2개(초안 조정 · 평소 조정). 남은 생활비 안에서 자물쇠 · 보호 조건을 지키는 조정안 제안. 엔진 검수 통과안만 표시, 사용자 승인 후 적용 · 버전 저장.</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E6">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1차(MVP)</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E7">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통합 챗봇</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E8">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하단 탭. 첫 화면 자유 입력란 없이 선택지 3개(소비 분석 · 예산 조정 · 큰 지출 상담), 1차에서는 큰 지출 상담만 ‘준비 중’ 비활성. 소비 분석을 내 소비 집계 기반으로 제공. 규칙 라우터가 에이전트 · 모드 연결, 홈 버튼에서도 같은 창, 전환은 버튼 · 메뉴</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E9">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1차(MVP)</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E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홈 · 더 써도 되는 돈</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E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남은 생활비와 여윳돈을 합한 금액(안전 소비액)과 하루 생활비, 월급날 D-day를 계산 엔진 결과로 표시. 부족하면 0원으로 숨기지 않고 부족액 표시</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EC">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1차(MVP)</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E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머니 쿠션</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E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쿠션 목표(기본 월급의 3배) · 보호 하한 · 확보 현황 관리. 잔액이 월급의 3배 이상이면 설정 여부 선택, 미만이면 배정 후 확보 현황 표시. 앱 안의 배정액이며 실제 돈은 옮기지 않음</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EC">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1차(MVP)</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ED">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소액 돌발 지출</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EE">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감지 알림 또는 직접 등록 → 여윳돈 / 남은 생활비 다시 짜기(소액 돌발 모드) / 머니 쿠션(보호 하한 유지) 중 선택 → 변경 최종 확인. 못 쓰는 방법은 이유와 함께 비활성</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EF">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2차</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F0">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카테고리 예산 초과</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F1">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카테고리 초과 감지 → 예산 조정(초과 모드) → 엔진 검수 → 승인 후 적용</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F2">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2차</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F3">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소비 분석 화면 · 이력</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F4">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서버 계산(기간 · 카테고리 집계, 전월 대비 증감, 예산 대비 사용률, 초과 카테고리) + ML 회귀 또래 비교 + 템플릿 문장 · 차트. LLM 사용 후속. 예산 변경 이력은 마이에서 확인</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F5">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2차</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F6">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알림</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F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초과 위험 · 큰 지출 감지 · 확인 필요 거래 · 지난주 대비 소비</w:t>
            </w:r>
          </w:p>
          <w:p w:rsidR="00000000" w:rsidDel="00000000" w:rsidP="00000000" w:rsidRDefault="00000000" w:rsidRPr="00000000" w14:paraId="000000F8">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알림 화면에서 처리 화면으로 바로 이동 (일정 알림은 후순위)</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F9">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2차</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F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큰 지출 상담</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F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홈 버튼 · 통합 챗봇 진입. 목적 · 금액 · 시점 · 현재 사용 가능 금액 · 월 추가 마련 금액 · 월 상환금 한도 입력 → 예상 부족 금액 계산 → (동의 시) 복지 검색 → (부족 금액이 남고 동의 시) 대출 비교</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FC">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3차</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FD">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목표</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FE">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비상금 · 보증금 등 선택 목표</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FF">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후순위</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00">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청년 정책 추천</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01">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정책 자격 비교, 내 예산으로 감당 가능한 납입액 제시. 큰 지출 상담의 복지 검색과 범위 조정</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02">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후순위</w:t>
            </w:r>
          </w:p>
        </w:tc>
      </w:tr>
      <w:tr>
        <w:trPr>
          <w:cantSplit w:val="1"/>
          <w:trHeight w:val="931" w:hRule="atLeast"/>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03">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예적금·카드 추천</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04">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공식 정보 수집·검증 후 예적금·카드 추천. 사용자가 선택할 때 추천 화면으로 이동하며 가입은 실행하지 않음</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05">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후순위</w:t>
            </w:r>
          </w:p>
        </w:tc>
      </w:tr>
      <w:tr>
        <w:trPr>
          <w:cantSplit w:val="1"/>
          <w:trHeight w:val="931" w:hRule="atLeast"/>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06">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일정 · 예정 지출</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0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달력에서 일정 직접 추가 · 수정 · 삭제. 금액 있는 일정은 ‘다가오는 14일’ 합계에 반영. Google Calendar 연동</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08">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후순위</w:t>
            </w:r>
          </w:p>
        </w:tc>
      </w:tr>
      <w:tr>
        <w:trPr>
          <w:cantSplit w:val="1"/>
          <w:tblHeader w:val="0"/>
        </w:trPr>
        <w:tc>
          <w:tcPr>
            <w:tcBorders>
              <w:top w:color="0b57d0" w:space="0" w:sz="4" w:val="single"/>
              <w:left w:color="000000" w:space="0" w:sz="0" w:val="nil"/>
              <w:bottom w:color="0b57d0" w:space="0" w:sz="18" w:val="single"/>
              <w:right w:color="0b57d0" w:space="0" w:sz="4" w:val="single"/>
            </w:tcBorders>
            <w:vAlign w:val="center"/>
          </w:tcPr>
          <w:p w:rsidR="00000000" w:rsidDel="00000000" w:rsidP="00000000" w:rsidRDefault="00000000" w:rsidRPr="00000000" w14:paraId="00000109">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 카드 OCR</w:t>
            </w:r>
          </w:p>
        </w:tc>
        <w:tc>
          <w:tcPr>
            <w:tcBorders>
              <w:top w:color="0b57d0" w:space="0" w:sz="4" w:val="single"/>
              <w:left w:color="0b57d0" w:space="0" w:sz="4" w:val="single"/>
              <w:bottom w:color="0b57d0" w:space="0" w:sz="18" w:val="single"/>
              <w:right w:color="0b57d0" w:space="0" w:sz="4" w:val="single"/>
            </w:tcBorders>
            <w:vAlign w:val="center"/>
          </w:tcPr>
          <w:p w:rsidR="00000000" w:rsidDel="00000000" w:rsidP="00000000" w:rsidRDefault="00000000" w:rsidRPr="00000000" w14:paraId="0000010A">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촬영·인식 → 카드사 후보 → 사용자 확인. CODEF 입력 절감 효과·지원 범위 검증 후 채택</w:t>
            </w:r>
          </w:p>
        </w:tc>
        <w:tc>
          <w:tcPr>
            <w:tcBorders>
              <w:top w:color="0b57d0" w:space="0" w:sz="4" w:val="single"/>
              <w:left w:color="0b57d0" w:space="0" w:sz="4" w:val="single"/>
              <w:bottom w:color="0b57d0" w:space="0" w:sz="18" w:val="single"/>
              <w:right w:color="000000" w:space="0" w:sz="0" w:val="nil"/>
            </w:tcBorders>
            <w:vAlign w:val="center"/>
          </w:tcPr>
          <w:p w:rsidR="00000000" w:rsidDel="00000000" w:rsidP="00000000" w:rsidRDefault="00000000" w:rsidRPr="00000000" w14:paraId="0000010B">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검증 과제</w:t>
            </w:r>
          </w:p>
        </w:tc>
      </w:tr>
    </w:tbl>
    <w:p w:rsidR="00000000" w:rsidDel="00000000" w:rsidP="00000000" w:rsidRDefault="00000000" w:rsidRPr="00000000" w14:paraId="0000010C">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10D">
      <w:pPr>
        <w:widowControl w:val="0"/>
        <w:spacing w:after="100" w:lineRule="auto"/>
        <w:rPr>
          <w:rFonts w:ascii="Malgun Gothic" w:cs="Malgun Gothic" w:eastAsia="Malgun Gothic" w:hAnsi="Malgun Gothic"/>
          <w:b w:val="0"/>
          <w:bCs w:val="0"/>
          <w:color w:val="5f6368"/>
          <w:sz w:val="17"/>
          <w:szCs w:val="17"/>
        </w:rPr>
      </w:pPr>
      <w:r>
        <w:rPr>
          <w:rFonts w:ascii="Malgun Gothic" w:cs="Malgun Gothic" w:eastAsia="Malgun Gothic" w:hAnsi="Malgun Gothic"/>
          <w:b w:val="0"/>
          <w:bCs w:val="0"/>
          <w:color w:val="5f6368"/>
          <w:sz w:val="17"/>
          <w:szCs w:val="17"/>
          <w:rtl w:val="0"/>
        </w:rPr>
        <w:t xml:space="preserve">※ 요구사항 ID와 구분은 요구사항정의서(총 144개)의 우선순위(1차(MVP) · 2차 · 3차 · 후순위 · 검증 과제)를 따른다. 송금 · 결제 · 상품 가입은 실행하지 않는다.</w:t>
      </w:r>
    </w:p>
    <w:p w:rsidR="00000000" w:rsidDel="00000000" w:rsidP="00000000" w:rsidRDefault="00000000" w:rsidRPr="00000000" w14:paraId="0000010E">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기술 스택 (안)</w:t>
      </w:r>
    </w:p>
    <w:tbl>
      <w:tblPr>
        <w:tblStyle w:val="Table17"/>
        <w:tblW w:w="9925.0" w:type="dxa"/>
        <w:jc w:val="left"/>
        <w:tblLayout w:type="fixed"/>
        <w:tblLook w:val="0600"/>
      </w:tblPr>
      <w:tblGrid>
        <w:gridCol w:w="1900"/>
        <w:gridCol w:w="4525"/>
        <w:gridCol w:w="3500"/>
        <w:tblGridChange w:id="0">
          <w:tblGrid>
            <w:gridCol w:w="1900"/>
            <w:gridCol w:w="4525"/>
            <w:gridCol w:w="3500"/>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10F">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영역</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110">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기술</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111">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비고</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12">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모바일 웹</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13">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React</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14">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온보딩 · 홈 · 거래 · 예산 조정 · 통합 챗봇 · 소비 분석 화면(2차) · 마이 / Native 앱은 후속</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15">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백엔드 API</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16">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Python · FastAPI, Amazon Cognito (JWT)</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17">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일반 조회 · 승인 적용 담당</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18">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AI · 에이전트</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19">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규칙 라우터 + LLM 에이전트 4개(AI Worker)</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1A">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1차: 거래 분류 · 예산 설계 · 예산 조정 / 3차: 큰 지출 상담(하위 2개: 복지 검색 · 대출 비교). 구조화된 입출력 · 도구 허용 목록 기반 호출, 작업당 LLM 10회 · 재생성 3회 이하</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1B">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ML</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1C">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거래 분류 ML / 카테고리 비율 예측 ML / 또래 비교 회귀 (2차) / Jev는 분류 비교 후보</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1D">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분류 · 비율 · (2차) 또래 기대 소비 산출. 최종 금액은 계산 엔진 검증</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1E">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데이터</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1F">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PostgreSQL (RDS), S3</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20">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PostgreSQL: 원장·예산·승인·이력 / S3: 모델·필요 파일</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21">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인프라</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22">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AWS EC2 · Docker Compose, SQS, CloudWatch</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23">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Reverse Proxy · FastAPI · AI Worker 3개 컨테이너</w:t>
            </w:r>
          </w:p>
        </w:tc>
      </w:tr>
      <w:tr>
        <w:trPr>
          <w:cantSplit w:val="1"/>
          <w:tblHeader w:val="0"/>
        </w:trPr>
        <w:tc>
          <w:tcPr>
            <w:tcBorders>
              <w:top w:color="0b57d0" w:space="0" w:sz="4" w:val="single"/>
              <w:left w:color="000000" w:space="0" w:sz="0" w:val="nil"/>
              <w:bottom w:color="0b57d0" w:space="0" w:sz="18" w:val="single"/>
              <w:right w:color="0b57d0" w:space="0" w:sz="4" w:val="single"/>
            </w:tcBorders>
            <w:vAlign w:val="center"/>
          </w:tcPr>
          <w:p w:rsidR="00000000" w:rsidDel="00000000" w:rsidP="00000000" w:rsidRDefault="00000000" w:rsidRPr="00000000" w14:paraId="00000124">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외부 연동</w:t>
            </w:r>
          </w:p>
        </w:tc>
        <w:tc>
          <w:tcPr>
            <w:tcBorders>
              <w:top w:color="0b57d0" w:space="0" w:sz="4" w:val="single"/>
              <w:left w:color="0b57d0" w:space="0" w:sz="4" w:val="single"/>
              <w:bottom w:color="0b57d0" w:space="0" w:sz="18" w:val="single"/>
              <w:right w:color="0b57d0" w:space="0" w:sz="4" w:val="single"/>
            </w:tcBorders>
            <w:vAlign w:val="center"/>
          </w:tcPr>
          <w:p w:rsidR="00000000" w:rsidDel="00000000" w:rsidP="00000000" w:rsidRDefault="00000000" w:rsidRPr="00000000" w14:paraId="00000125">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CODEF(계좌 · 카드 · 대출) · 상가정보 API · 검색/지도 · MDIS/KOSIS · 복지서비스 API 3종(3차) · 공식/제휴 대출 상품(3차)· Google Calendar(후순위)</w:t>
            </w:r>
          </w:p>
        </w:tc>
        <w:tc>
          <w:tcPr>
            <w:tcBorders>
              <w:top w:color="0b57d0" w:space="0" w:sz="4" w:val="single"/>
              <w:left w:color="0b57d0" w:space="0" w:sz="4" w:val="single"/>
              <w:bottom w:color="0b57d0" w:space="0" w:sz="18" w:val="single"/>
              <w:right w:color="000000" w:space="0" w:sz="0" w:val="nil"/>
            </w:tcBorders>
            <w:vAlign w:val="center"/>
          </w:tcPr>
          <w:p w:rsidR="00000000" w:rsidDel="00000000" w:rsidP="00000000" w:rsidRDefault="00000000" w:rsidRPr="00000000" w14:paraId="00000126">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계좌 필수 · 카드 · 대출 선택, 캘린더는 후순위. OCR · BIN 식별은 검증 과제</w:t>
            </w:r>
          </w:p>
        </w:tc>
      </w:tr>
    </w:tbl>
    <w:p w:rsidR="00000000" w:rsidDel="00000000" w:rsidP="00000000" w:rsidRDefault="00000000" w:rsidRPr="00000000" w14:paraId="00000127">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128">
      <w:pPr>
        <w:widowControl w:val="0"/>
        <w:spacing w:after="100" w:lineRule="auto"/>
        <w:rPr>
          <w:rFonts w:ascii="Malgun Gothic" w:cs="Malgun Gothic" w:eastAsia="Malgun Gothic" w:hAnsi="Malgun Gothic"/>
          <w:b w:val="0"/>
          <w:bCs w:val="0"/>
          <w:color w:val="5f6368"/>
          <w:sz w:val="17"/>
          <w:szCs w:val="17"/>
        </w:rPr>
      </w:pPr>
      <w:r>
        <w:rPr>
          <w:rFonts w:ascii="Malgun Gothic" w:cs="Malgun Gothic" w:eastAsia="Malgun Gothic" w:hAnsi="Malgun Gothic"/>
          <w:b w:val="0"/>
          <w:bCs w:val="0"/>
          <w:color w:val="5f6368"/>
          <w:sz w:val="17"/>
          <w:szCs w:val="17"/>
          <w:rtl w:val="0"/>
        </w:rPr>
        <w:t xml:space="preserve">※ 1차 제공 형태는 React 모바일 웹이다. React Native는 후속 앱 개발 단계로 분리하며 화면·기기 기능 대응 작업이 별도로 필요하다. 나머지 기술은 팀 숙련도와 최소 구현 검증 결과로 확정한다.</w:t>
      </w:r>
    </w:p>
    <w:p w:rsidR="00000000" w:rsidDel="00000000" w:rsidP="00000000" w:rsidRDefault="00000000" w:rsidRPr="00000000" w14:paraId="00000129">
      <w:pPr>
        <w:keepNext w:val="1"/>
        <w:widowControl w:val="0"/>
        <w:spacing w:after="100" w:before="240" w:lineRule="auto"/>
        <w:rPr>
          <w:rFonts w:ascii="Malgun Gothic" w:cs="Malgun Gothic" w:eastAsia="Malgun Gothic" w:hAnsi="Malgun Gothic"/>
          <w:color w:val="0b57d0"/>
          <w:sz w:val="23"/>
          <w:szCs w:val="23"/>
        </w:rPr>
      </w:pPr>
      <w:r>
        <w:rPr>
          <w:rtl w:val="0"/>
        </w:rPr>
      </w:r>
    </w:p>
    <w:p w:rsidR="00000000" w:rsidDel="00000000" w:rsidP="00000000" w:rsidRDefault="00000000" w:rsidRPr="00000000" w14:paraId="0000012A">
      <w:pPr>
        <w:keepNext w:val="1"/>
        <w:widowControl w:val="0"/>
        <w:spacing w:after="100" w:before="240" w:lineRule="auto"/>
        <w:rPr>
          <w:rFonts w:ascii="Malgun Gothic" w:cs="Malgun Gothic" w:eastAsia="Malgun Gothic" w:hAnsi="Malgun Gothic"/>
          <w:b w:val="0"/>
          <w:bCs w:val="0"/>
          <w:sz w:val="20"/>
          <w:szCs w:val="20"/>
        </w:rPr>
      </w:pPr>
      <w:r>
        <w:rPr>
          <w:rFonts w:ascii="Malgun Gothic" w:cs="Malgun Gothic" w:eastAsia="Malgun Gothic" w:hAnsi="Malgun Gothic"/>
          <w:color w:val="0b57d0"/>
          <w:sz w:val="23"/>
          <w:szCs w:val="23"/>
          <w:rtl w:val="0"/>
        </w:rPr>
        <w:t xml:space="preserve">구현 범위와 우선순위</w:t>
      </w:r>
      <w:r>
        <w:rPr>
          <w:rtl w:val="0"/>
        </w:rPr>
      </w:r>
    </w:p>
    <w:p w:rsidR="00000000" w:rsidDel="00000000" w:rsidP="00000000" w:rsidRDefault="00000000" w:rsidRPr="00000000" w14:paraId="0000012B">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1차(MVP)는 회원·계좌 연결(카드 · 대출 선택), 예산 설계(추천 예산 1개 · 초안 수정·자물쇠), 거래 분류, 홈 · 더 써도 되는 돈, 예산 조정(초안 조정 · 평소 조정), 통합 챗봇(소비 분석 · 예산 조정), 머니 쿠션이다. 1차 통합 점검 후 2차(소액 돌발 지출 · 카테고리 초과 감지 → 예산 조정, 소비 분석 화면 · 예산 변경 이력, 알림)와 3차(큰 지출 상담: 동의 기반 복지 검색·대출 비교)를 차례로 붙인다. 카드 OCR은 검증 후 채택 여부를 정한다. 일정·예정 지출(Google Calendar), 목표, 청년 정책 추천, 예적금·카드 추천은 후순위로, 소비 분석 화면의 LLM 문장 생성과 React Native 앱은 후속 기능으로 둔다. 예산 변경은 사용자 승인 후 적용하며, 복지·대출은 비교 정보만 제공한다. 송금·결제·금융 신청·가입·대출 실행은 하지 않는다. </w:t>
      </w:r>
    </w:p>
    <w:p w:rsidR="00000000" w:rsidDel="00000000" w:rsidP="00000000" w:rsidRDefault="00000000" w:rsidRPr="00000000" w14:paraId="0000012C">
      <w:pPr>
        <w:pageBreakBefore w:val="1"/>
        <w:widowControl w:val="0"/>
        <w:spacing w:line="240" w:lineRule="auto"/>
        <w:jc w:val="both"/>
        <w:rPr>
          <w:rFonts w:ascii="Malgun Gothic" w:cs="Malgun Gothic" w:eastAsia="Malgun Gothic" w:hAnsi="Malgun Gothic"/>
          <w:b w:val="0"/>
          <w:bCs w:val="0"/>
          <w:sz w:val="4"/>
          <w:szCs w:val="4"/>
        </w:rPr>
      </w:pPr>
      <w:r>
        <w:rPr>
          <w:rtl w:val="0"/>
        </w:rPr>
      </w:r>
    </w:p>
    <w:tbl>
      <w:tblPr>
        <w:tblStyle w:val="Table18"/>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9925"/>
        <w:tblGridChange w:id="0">
          <w:tblGrid>
            <w:gridCol w:w="9925"/>
          </w:tblGrid>
        </w:tblGridChange>
      </w:tblGrid>
      <w:tr>
        <w:trPr>
          <w:cantSplit w:val="0"/>
          <w:trHeight w:val="427" w:hRule="atLeast"/>
          <w:tblHeader w:val="0"/>
        </w:trPr>
        <w:tc>
          <w:tcPr>
            <w:tcBorders>
              <w:top w:color="0b57d0" w:space="0" w:sz="18" w:val="single"/>
              <w:left w:color="000000" w:space="0" w:sz="0" w:val="nil"/>
              <w:bottom w:color="000000" w:space="0" w:sz="0" w:val="nil"/>
              <w:right w:color="33bcb1" w:space="0" w:sz="18" w:val="single"/>
            </w:tcBorders>
            <w:tcMar>
              <w:top w:w="100.0" w:type="dxa"/>
              <w:left w:w="100.0" w:type="dxa"/>
              <w:bottom w:w="100.0" w:type="dxa"/>
              <w:right w:w="100.0" w:type="dxa"/>
            </w:tcMar>
          </w:tcPr>
          <w:p w:rsidR="00000000" w:rsidDel="00000000" w:rsidP="00000000" w:rsidRDefault="00000000" w:rsidRPr="00000000" w14:paraId="0000012D">
            <w:pPr>
              <w:keepNext w:val="1"/>
              <w:spacing w:after="60" w:line="264" w:lineRule="auto"/>
              <w:rPr>
                <w:rFonts w:ascii="Malgun Gothic" w:cs="Malgun Gothic" w:eastAsia="Malgun Gothic" w:hAnsi="Malgun Gothic"/>
                <w:b w:val="0"/>
                <w:bCs w:val="0"/>
                <w:sz w:val="16"/>
                <w:szCs w:val="16"/>
              </w:rPr>
            </w:pPr>
            <w:r>
              <w:rPr>
                <w:rFonts w:ascii="Malgun Gothic" w:cs="Malgun Gothic" w:eastAsia="Malgun Gothic" w:hAnsi="Malgun Gothic"/>
                <w:sz w:val="32"/>
                <w:szCs w:val="32"/>
                <w:rtl w:val="0"/>
              </w:rPr>
              <w:t xml:space="preserve">5. 모델링 계획</w:t>
            </w:r>
            <w:r>
              <w:rPr>
                <w:rtl w:val="0"/>
              </w:rPr>
            </w:r>
          </w:p>
        </w:tc>
      </w:tr>
    </w:tbl>
    <w:p w:rsidR="00000000" w:rsidDel="00000000" w:rsidP="00000000" w:rsidRDefault="00000000" w:rsidRPr="00000000" w14:paraId="0000012E">
      <w:pPr>
        <w:keepNext w:val="1"/>
        <w:widowControl w:val="0"/>
        <w:spacing w:after="6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12F">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AI 역할 분리</w:t>
      </w:r>
    </w:p>
    <w:p w:rsidR="00000000" w:rsidDel="00000000" w:rsidP="00000000" w:rsidRDefault="00000000" w:rsidRPr="00000000" w14:paraId="00000130">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라우터는 규칙으로 동작하고, LLM은 의도 해석 · 우선순위 판단 · 재분배안 작성 · 결과 설명을 담당한다. ML은 거래 분류 · 카테고리 비율을 예측하고(또래 기대 소비 예측은 2차), 계산 엔진이 기준 금액 · 합계 · 안전 소비액을 계산하며 조건을 검수한다. 예산 변경은 엔진 검수 통과 후 사용자 승인으로만 반영하고, 확정 전 복지 지원금과 대출은 확보 자금으로 보지 않는다.</w:t>
      </w:r>
    </w:p>
    <w:tbl>
      <w:tblPr>
        <w:tblStyle w:val="Table19"/>
        <w:tblW w:w="9930.0" w:type="dxa"/>
        <w:jc w:val="left"/>
        <w:tblLayout w:type="fixed"/>
        <w:tblLook w:val="0600"/>
      </w:tblPr>
      <w:tblGrid>
        <w:gridCol w:w="1830"/>
        <w:gridCol w:w="5100"/>
        <w:gridCol w:w="3000"/>
        <w:tblGridChange w:id="0">
          <w:tblGrid>
            <w:gridCol w:w="1830"/>
            <w:gridCol w:w="5100"/>
            <w:gridCol w:w="3000"/>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131">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구분</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132">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담당하는 일</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133">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하지 않는 일</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34">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라우터 (규칙)</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35">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버튼 · 메뉴 선택과 시스템 진입점으로 담당 에이전트 · 조정 모드 지정</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36">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자유 입력 문장 해석 (후속 LLM 라우터)</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37">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LLM 에이전트</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38">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의도 해석 · 예산 우선순위 보정, 재분배안 작성, 낮은 확신도 거래 추가 판단, (3차) 복지 관련성 · 대출 조건 설명, 결과 통합</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39">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금액 확정, 금리 · 한도 · 승인 · 수급 자격 추측, DB 직접 변경, </w:t>
            </w:r>
          </w:p>
          <w:p w:rsidR="00000000" w:rsidDel="00000000" w:rsidP="00000000" w:rsidRDefault="00000000" w:rsidRPr="00000000" w14:paraId="0000013A">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소비 분석 화면 문장 생성(후속 검토)</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3B">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계산 엔진</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3C">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비율 → 금액 변환 · 합계, 모드별 기준 · 조정 가능 금액, 공통 검수, 안전 소비액, (3차) 부족 금액 · 월 상환금 · 총이자</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3D">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비정형 사용자 의도 판단</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3E">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ML 모델</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3F">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거래 분류 · 확신도, 카테고리 비율 예측, (2차) 또래 기대 소비 회귀</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40">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최종 금액 · 예산 결정</w:t>
            </w:r>
          </w:p>
        </w:tc>
      </w:tr>
      <w:tr>
        <w:trPr>
          <w:cantSplit w:val="1"/>
          <w:tblHeader w:val="0"/>
        </w:trPr>
        <w:tc>
          <w:tcPr>
            <w:tcBorders>
              <w:top w:color="0b57d0" w:space="0" w:sz="4" w:val="single"/>
              <w:left w:color="000000" w:space="0" w:sz="0" w:val="nil"/>
              <w:bottom w:color="0b57d0" w:space="0" w:sz="12" w:val="single"/>
              <w:right w:color="0b57d0" w:space="0" w:sz="4" w:val="single"/>
            </w:tcBorders>
            <w:vAlign w:val="center"/>
          </w:tcPr>
          <w:p w:rsidR="00000000" w:rsidDel="00000000" w:rsidP="00000000" w:rsidRDefault="00000000" w:rsidRPr="00000000" w14:paraId="00000141">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사용자</w:t>
            </w:r>
          </w:p>
        </w:tc>
        <w:tc>
          <w:tcPr>
            <w:tcBorders>
              <w:top w:color="0b57d0" w:space="0" w:sz="4" w:val="single"/>
              <w:left w:color="0b57d0" w:space="0" w:sz="4" w:val="single"/>
              <w:bottom w:color="0b57d0" w:space="0" w:sz="12" w:val="single"/>
              <w:right w:color="0b57d0" w:space="0" w:sz="4" w:val="single"/>
            </w:tcBorders>
            <w:vAlign w:val="center"/>
          </w:tcPr>
          <w:p w:rsidR="00000000" w:rsidDel="00000000" w:rsidP="00000000" w:rsidRDefault="00000000" w:rsidRPr="00000000" w14:paraId="00000142">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자물쇠 설정, 불명확 거래 카테고리 선택, 예산 초안 수정 · 조정안 승인, (3차) 복지 · 대출 조회 동의</w:t>
            </w:r>
          </w:p>
        </w:tc>
        <w:tc>
          <w:tcPr>
            <w:tcBorders>
              <w:top w:color="0b57d0" w:space="0" w:sz="4" w:val="single"/>
              <w:left w:color="0b57d0" w:space="0" w:sz="4" w:val="single"/>
              <w:bottom w:color="0b57d0" w:space="0" w:sz="12" w:val="single"/>
              <w:right w:color="000000" w:space="0" w:sz="0" w:val="nil"/>
            </w:tcBorders>
            <w:vAlign w:val="center"/>
          </w:tcPr>
          <w:p w:rsidR="00000000" w:rsidDel="00000000" w:rsidP="00000000" w:rsidRDefault="00000000" w:rsidRPr="00000000" w14:paraId="00000143">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w:t>
            </w:r>
          </w:p>
        </w:tc>
      </w:tr>
    </w:tbl>
    <w:p w:rsidR="00000000" w:rsidDel="00000000" w:rsidP="00000000" w:rsidRDefault="00000000" w:rsidRPr="00000000" w14:paraId="00000144">
      <w:pPr>
        <w:widowControl w:val="0"/>
        <w:spacing w:after="100" w:lineRule="auto"/>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145">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멀티에이전트 구성</w:t>
      </w:r>
    </w:p>
    <w:tbl>
      <w:tblPr>
        <w:tblStyle w:val="Table20"/>
        <w:tblW w:w="9925.0" w:type="dxa"/>
        <w:jc w:val="left"/>
        <w:tblLayout w:type="fixed"/>
        <w:tblLook w:val="0600"/>
      </w:tblPr>
      <w:tblGrid>
        <w:gridCol w:w="2150"/>
        <w:gridCol w:w="3375"/>
        <w:gridCol w:w="2400"/>
        <w:gridCol w:w="2000"/>
        <w:tblGridChange w:id="0">
          <w:tblGrid>
            <w:gridCol w:w="2150"/>
            <w:gridCol w:w="3375"/>
            <w:gridCol w:w="2400"/>
            <w:gridCol w:w="2000"/>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146">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에이전트</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147">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역할</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148">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주요 출력</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149">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금지 사항</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4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라우터 (규칙)</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4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버튼 · 메뉴 선택과 진입점(새 거래 · 온보딩 완료 · 월말 / 2차: 초과 감지 · 돌발 다시 짜기)으로 담당 에이전트와 조정 모드 지정</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4C">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호출 대상 · 모드</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4D">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LLM 사용, 자유 문장 해석</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4E">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① 거래 분류</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4F">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ML 1차 분류 · 확신도* → 낮으면 검색 · 지도 API 정보로 LLM 추가 판단 → 불명확하면 확인 질문 · 후보 생성</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50">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최종 카테고리</w:t>
            </w:r>
          </w:p>
          <w:p w:rsidR="00000000" w:rsidDel="00000000" w:rsidP="00000000" w:rsidRDefault="00000000" w:rsidRPr="00000000" w14:paraId="00000151">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또는 ‘확인 필요’</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52">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불명확 거래 임의 확정</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53">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② 예산 설계</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54">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방향별 큰 비율(규칙) → ML 카테고리 비율 → LLM이 예산 방향 · 우선순위로 예산 보정 → 엔진 금액 · 합계 검증. 최초 초안까지만 담당</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55">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최초 예산 초안</w:t>
            </w:r>
          </w:p>
          <w:p w:rsidR="00000000" w:rsidDel="00000000" w:rsidP="00000000" w:rsidRDefault="00000000" w:rsidRPr="00000000" w14:paraId="00000156">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판단 근거</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5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허용 범위 밖 보정, 초안 이후 변경 처리</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58">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③ 예산 조정</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59">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모드 4개(1차 : 초안 조정 · 평소 조정 / 2차 : 소액 돌발 · 카테고리 초과). 엔진이 기준 · 카테고리별 조정 가능 금액 계산 → LLM 재분배안 → 엔진 검수 → 사용자 승인</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5A">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조정 원인 · 카테고리 · 전후 금액 · 증감 · 이유 · 확인 사항</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5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검수 실패안 표시, 무승인 반영, 재생성 3회 초과(초과 시 자동 반영 없이 사용자 확인)</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5C">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④ 큰 지출 상담 (3차)</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5D">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지출 정보 입력 → 엔진 부족 금액 계산 → 복지 검색 · 대출 비교 필요 여부와 동의 확인 → 결과 통합. 예산 조정과 독립</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5E">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부족 금액 · 지원 시나리오 · 대출 비교 통합 결과</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5F">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동의 없는 하위 호출, 미확정 지원금 확보 처리</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60">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④-1 복지 검색 (3차)</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61">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공식 API · 동기화 DB 조회 → 규칙으로 지역 · 연령 · 소득 필터링 → LLM이 지출 목적과 관련성 판단 · 설명</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62">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신청 가능성 있는 후보</w:t>
            </w:r>
          </w:p>
          <w:p w:rsidR="00000000" w:rsidDel="00000000" w:rsidP="00000000" w:rsidRDefault="00000000" w:rsidRPr="00000000" w14:paraId="00000163">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확인 필요 조건 · 공식 링크 · 기준일</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64">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최종 수급 자격 확정</w:t>
            </w:r>
          </w:p>
        </w:tc>
      </w:tr>
      <w:tr>
        <w:trPr>
          <w:cantSplit w:val="1"/>
          <w:tblHeader w:val="0"/>
        </w:trPr>
        <w:tc>
          <w:tcPr>
            <w:tcBorders>
              <w:top w:color="0b57d0" w:space="0" w:sz="4" w:val="single"/>
              <w:left w:color="000000" w:space="0" w:sz="0" w:val="nil"/>
              <w:bottom w:color="0b57d0" w:space="0" w:sz="12" w:val="single"/>
              <w:right w:color="0b57d0" w:space="0" w:sz="4" w:val="single"/>
            </w:tcBorders>
            <w:vAlign w:val="center"/>
          </w:tcPr>
          <w:p w:rsidR="00000000" w:rsidDel="00000000" w:rsidP="00000000" w:rsidRDefault="00000000" w:rsidRPr="00000000" w14:paraId="00000165">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④-2 대출 비교 (3차)</w:t>
            </w:r>
          </w:p>
        </w:tc>
        <w:tc>
          <w:tcPr>
            <w:tcBorders>
              <w:top w:color="0b57d0" w:space="0" w:sz="4" w:val="single"/>
              <w:left w:color="0b57d0" w:space="0" w:sz="4" w:val="single"/>
              <w:bottom w:color="0b57d0" w:space="0" w:sz="12" w:val="single"/>
              <w:right w:color="0b57d0" w:space="0" w:sz="4" w:val="single"/>
            </w:tcBorders>
            <w:vAlign w:val="center"/>
          </w:tcPr>
          <w:p w:rsidR="00000000" w:rsidDel="00000000" w:rsidP="00000000" w:rsidRDefault="00000000" w:rsidRPr="00000000" w14:paraId="00000166">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공식 · 제휴 상품 → 목적 · 부족 금액 · 기간 필터 → 월 상환금 한도 초과 제외 → 엔진 계산 → LLM 조건 차이 설명</w:t>
            </w:r>
          </w:p>
        </w:tc>
        <w:tc>
          <w:tcPr>
            <w:tcBorders>
              <w:top w:color="0b57d0" w:space="0" w:sz="4" w:val="single"/>
              <w:left w:color="0b57d0" w:space="0" w:sz="4" w:val="single"/>
              <w:bottom w:color="0b57d0" w:space="0" w:sz="12" w:val="single"/>
              <w:right w:color="0b57d0" w:space="0" w:sz="4" w:val="single"/>
            </w:tcBorders>
            <w:vAlign w:val="center"/>
          </w:tcPr>
          <w:p w:rsidR="00000000" w:rsidDel="00000000" w:rsidP="00000000" w:rsidRDefault="00000000" w:rsidRPr="00000000" w14:paraId="0000016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대출 비교표</w:t>
            </w:r>
          </w:p>
          <w:p w:rsidR="00000000" w:rsidDel="00000000" w:rsidP="00000000" w:rsidRDefault="00000000" w:rsidRPr="00000000" w14:paraId="00000168">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월 상환금 · 총이자 · 출처 · 갱신일</w:t>
            </w:r>
          </w:p>
        </w:tc>
        <w:tc>
          <w:tcPr>
            <w:tcBorders>
              <w:top w:color="0b57d0" w:space="0" w:sz="4" w:val="single"/>
              <w:left w:color="0b57d0" w:space="0" w:sz="4" w:val="single"/>
              <w:bottom w:color="0b57d0" w:space="0" w:sz="12" w:val="single"/>
              <w:right w:color="000000" w:space="0" w:sz="0" w:val="nil"/>
            </w:tcBorders>
            <w:vAlign w:val="center"/>
          </w:tcPr>
          <w:p w:rsidR="00000000" w:rsidDel="00000000" w:rsidP="00000000" w:rsidRDefault="00000000" w:rsidRPr="00000000" w14:paraId="00000169">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가입 권유 · 신청 대행, 금리 · 한도 · 승인 추측</w:t>
            </w:r>
          </w:p>
        </w:tc>
      </w:tr>
    </w:tbl>
    <w:p w:rsidR="00000000" w:rsidDel="00000000" w:rsidP="00000000" w:rsidRDefault="00000000" w:rsidRPr="00000000" w14:paraId="0000016A">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16B">
      <w:pPr>
        <w:widowControl w:val="0"/>
        <w:spacing w:after="100" w:lineRule="auto"/>
        <w:rPr>
          <w:rFonts w:ascii="Malgun Gothic" w:cs="Malgun Gothic" w:eastAsia="Malgun Gothic" w:hAnsi="Malgun Gothic"/>
          <w:b w:val="0"/>
          <w:bCs w:val="0"/>
          <w:color w:val="5f6368"/>
          <w:sz w:val="17"/>
          <w:szCs w:val="17"/>
        </w:rPr>
      </w:pPr>
      <w:r>
        <w:rPr>
          <w:rFonts w:ascii="Malgun Gothic" w:cs="Malgun Gothic" w:eastAsia="Malgun Gothic" w:hAnsi="Malgun Gothic"/>
          <w:b w:val="0"/>
          <w:bCs w:val="0"/>
          <w:color w:val="5f6368"/>
          <w:sz w:val="17"/>
          <w:szCs w:val="17"/>
          <w:rtl w:val="0"/>
        </w:rPr>
        <w:t xml:space="preserve">※ 확신도는 보정된 최대 예측 확률과 1·2위 확률 차이로 산출하고, 자동 확정 기준값은 검증 데이터에서 목표 정밀도를 만족하는 값으로 정한다.</w:t>
      </w:r>
    </w:p>
    <w:p w:rsidR="00000000" w:rsidDel="00000000" w:rsidP="00000000" w:rsidRDefault="00000000" w:rsidRPr="00000000" w14:paraId="0000016C">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ML 모델 계획</w:t>
      </w:r>
    </w:p>
    <w:tbl>
      <w:tblPr>
        <w:tblStyle w:val="Table21"/>
        <w:tblW w:w="9925.0" w:type="dxa"/>
        <w:jc w:val="left"/>
        <w:tblLayout w:type="fixed"/>
        <w:tblLook w:val="0600"/>
      </w:tblPr>
      <w:tblGrid>
        <w:gridCol w:w="1300"/>
        <w:gridCol w:w="3225"/>
        <w:gridCol w:w="2700"/>
        <w:gridCol w:w="2700"/>
        <w:tblGridChange w:id="0">
          <w:tblGrid>
            <w:gridCol w:w="1300"/>
            <w:gridCol w:w="3225"/>
            <w:gridCol w:w="2700"/>
            <w:gridCol w:w="2700"/>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16D">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항목</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16E">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거래 분류 모델</w:t>
            </w:r>
          </w:p>
          <w:p w:rsidR="00000000" w:rsidDel="00000000" w:rsidP="00000000" w:rsidRDefault="00000000" w:rsidRPr="00000000" w14:paraId="0000016F">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 (ML-001 · 1차)</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170">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카테고리 비율 예측 </w:t>
            </w:r>
          </w:p>
          <w:p w:rsidR="00000000" w:rsidDel="00000000" w:rsidP="00000000" w:rsidRDefault="00000000" w:rsidRPr="00000000" w14:paraId="00000171">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(ML-003 · 1차 · 예산 설계)</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172">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또래 비교 회귀</w:t>
            </w:r>
          </w:p>
          <w:p w:rsidR="00000000" w:rsidDel="00000000" w:rsidP="00000000" w:rsidRDefault="00000000" w:rsidRPr="00000000" w14:paraId="00000173">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 (ML-004 · 2차 · 소비 분석 화면)</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74">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목적</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75">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거래를 수입 · 소비 · 이체 · 저축 · 미확인과 소비 카테고리로 분류</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76">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생활비 안의 카테고리별 권장 비율 예측</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7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사용자 특성에 따른 또래 기대 소비 예측</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78">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입력</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79">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거래 적요·상호명·입출금·금액·시간, 검색 결과의 업종·주소 (확보 시)</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7A">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연령대 · 성별 · 가구 형태 · 소득 (개인 소비 이력 반영은 후속)</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7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연령대 · 가구 형태 · 소득</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7C">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모델</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7D">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규칙·사전·문자 n-gram 기준선과 한국어 인코더 모델 비교. TypeSafe Jev Choice를 별도 비교 후보로 검증 [D9]</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7E">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평균 · 규칙 기준선과 회귀 모델 비교</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7F">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평균 기준선과 회귀 모델 비교</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80">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학습 데이터</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81">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상가(상권)정보 API [D3]·업종→소비 카테고리 대응표·검증된 거래 표본. 합성 데이터는 보조</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82">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MDIS · KOSIS 가계동향조사 [D8]. 개인 소비 이력 반영은 사용 이력 축적 후 후속 검토</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83">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MDIS · KOSIS 가계동향조사 [D8]</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84">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평가 지표</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85">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macro-F1, 클래스별 정밀도 · 재현율, 이체 오분류, 미확인 비율, 신뢰도 보정</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86">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MAE · 카테고리별 오차, 사용자 수정률</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8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결정계수(R²), 잔차</w:t>
            </w:r>
          </w:p>
        </w:tc>
      </w:tr>
      <w:tr>
        <w:trPr>
          <w:cantSplit w:val="1"/>
          <w:tblHeader w:val="0"/>
        </w:trPr>
        <w:tc>
          <w:tcPr>
            <w:tcBorders>
              <w:top w:color="0b57d0" w:space="0" w:sz="4" w:val="single"/>
              <w:left w:color="000000" w:space="0" w:sz="0" w:val="nil"/>
              <w:bottom w:color="0b57d0" w:space="0" w:sz="12" w:val="single"/>
              <w:right w:color="0b57d0" w:space="0" w:sz="4" w:val="single"/>
            </w:tcBorders>
            <w:vAlign w:val="center"/>
          </w:tcPr>
          <w:p w:rsidR="00000000" w:rsidDel="00000000" w:rsidP="00000000" w:rsidRDefault="00000000" w:rsidRPr="00000000" w14:paraId="00000188">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안전장치</w:t>
            </w:r>
          </w:p>
        </w:tc>
        <w:tc>
          <w:tcPr>
            <w:tcBorders>
              <w:top w:color="0b57d0" w:space="0" w:sz="4" w:val="single"/>
              <w:left w:color="0b57d0" w:space="0" w:sz="4" w:val="single"/>
              <w:bottom w:color="0b57d0" w:space="0" w:sz="12" w:val="single"/>
              <w:right w:color="0b57d0" w:space="0" w:sz="4" w:val="single"/>
            </w:tcBorders>
            <w:vAlign w:val="center"/>
          </w:tcPr>
          <w:p w:rsidR="00000000" w:rsidDel="00000000" w:rsidP="00000000" w:rsidRDefault="00000000" w:rsidRPr="00000000" w14:paraId="00000189">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사용자 수정 우선. ML 불확실 → 검색·지도 → 사용자 확인. 신뢰도 기준은 검증 데이터로 결정, Jev는 비교 후보</w:t>
            </w:r>
          </w:p>
        </w:tc>
        <w:tc>
          <w:tcPr>
            <w:tcBorders>
              <w:top w:color="0b57d0" w:space="0" w:sz="4" w:val="single"/>
              <w:left w:color="0b57d0" w:space="0" w:sz="4" w:val="single"/>
              <w:bottom w:color="0b57d0" w:space="0" w:sz="12" w:val="single"/>
              <w:right w:color="000000" w:space="0" w:sz="0" w:val="nil"/>
            </w:tcBorders>
            <w:vAlign w:val="center"/>
          </w:tcPr>
          <w:p w:rsidR="00000000" w:rsidDel="00000000" w:rsidP="00000000" w:rsidRDefault="00000000" w:rsidRPr="00000000" w14:paraId="0000018A">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자료 미확보 시 통계 참고값 · 규칙 기반 초안. LLM 보정은 허용 범위 안, 금액은 계산 엔진</w:t>
            </w:r>
          </w:p>
        </w:tc>
        <w:tc>
          <w:tcPr>
            <w:tcBorders>
              <w:top w:color="0b57d0" w:space="0" w:sz="4" w:val="single"/>
              <w:left w:color="0b57d0" w:space="0" w:sz="4" w:val="single"/>
              <w:bottom w:color="0b57d0" w:space="0" w:sz="12" w:val="single"/>
              <w:right w:color="000000" w:space="0" w:sz="0" w:val="nil"/>
            </w:tcBorders>
            <w:vAlign w:val="center"/>
          </w:tcPr>
          <w:p w:rsidR="00000000" w:rsidDel="00000000" w:rsidP="00000000" w:rsidRDefault="00000000" w:rsidRPr="00000000" w14:paraId="0000018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참고값으로만 표시, 적정 예산의 정답으로 단정하지 않음</w:t>
            </w:r>
          </w:p>
        </w:tc>
      </w:tr>
    </w:tbl>
    <w:p w:rsidR="00000000" w:rsidDel="00000000" w:rsidP="00000000" w:rsidRDefault="00000000" w:rsidRPr="00000000" w14:paraId="0000018C">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18D">
      <w:pPr>
        <w:widowControl w:val="0"/>
        <w:spacing w:after="100" w:lineRule="auto"/>
        <w:rPr>
          <w:rFonts w:ascii="Malgun Gothic" w:cs="Malgun Gothic" w:eastAsia="Malgun Gothic" w:hAnsi="Malgun Gothic"/>
          <w:b w:val="0"/>
          <w:bCs w:val="0"/>
          <w:color w:val="5f6368"/>
          <w:sz w:val="17"/>
          <w:szCs w:val="17"/>
        </w:rPr>
      </w:pPr>
      <w:r>
        <w:rPr>
          <w:rFonts w:ascii="Malgun Gothic" w:cs="Malgun Gothic" w:eastAsia="Malgun Gothic" w:hAnsi="Malgun Gothic"/>
          <w:b w:val="0"/>
          <w:bCs w:val="0"/>
          <w:color w:val="5f6368"/>
          <w:sz w:val="17"/>
          <w:szCs w:val="17"/>
          <w:rtl w:val="0"/>
        </w:rPr>
        <w:t xml:space="preserve">※ 거래 분류는 상호 단위, 카테고리 비율 · 또래 비교는 사용자 · 시간 단위로 학습과 평가를 분리한다. 신뢰도가 낮으면 사용자 확인으로 처리하고, 신규 사용자는 통계 참고값 · 규칙 기반 예산을 사용한다. 평소와 다른 큰 지출 감지는 2차에서 규칙으로 처리하고 오탐률을 보고 ML 전환을 검토한다.</w:t>
      </w:r>
    </w:p>
    <w:p w:rsidR="00000000" w:rsidDel="00000000" w:rsidP="00000000" w:rsidRDefault="00000000" w:rsidRPr="00000000" w14:paraId="0000018E">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예산 설계와 카테고리 비율 ML</w:t>
      </w:r>
    </w:p>
    <w:p w:rsidR="00000000" w:rsidDel="00000000" w:rsidP="00000000" w:rsidRDefault="00000000" w:rsidRPr="00000000" w14:paraId="0000018F">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사용자가 고른 예산 방향(생활 안정형/저축 집중형)에 따라 생활비 · 저축의 큰 비율을 규칙으로 정하고, ML이 연령대 · 성별 · 가구 형태 · 소득으로 생활비 카테고리별 권장 비율을 예측한다. LLM은 사용자의 예산 방향 · 우선순위를 해석해 허용 범위 안에서 비율을 보정하고 근거를 설명하며, 계산 엔진이 비율을 금액으로 바꾸고 합계를 검증한다. 추천 예산 1개를 제시하고 사용자가 자물쇠를 설정해 확정하며, 초안 제시 이후의 수정 요청은 예산 조정 에이전트의 초안 조정 모드로 넘긴다. 집계 통계를 개인 단위 학습 자료로 간주하지 않는다.</w:t>
      </w:r>
    </w:p>
    <w:p w:rsidR="00000000" w:rsidDel="00000000" w:rsidP="00000000" w:rsidRDefault="00000000" w:rsidRPr="00000000" w14:paraId="00000190">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예산 조정 시나리오와 공통 검수</w:t>
      </w:r>
    </w:p>
    <w:tbl>
      <w:tblPr>
        <w:tblStyle w:val="Table22"/>
        <w:tblW w:w="9915.0" w:type="dxa"/>
        <w:jc w:val="left"/>
        <w:tblLayout w:type="fixed"/>
        <w:tblLook w:val="0600"/>
      </w:tblPr>
      <w:tblGrid>
        <w:gridCol w:w="2235"/>
        <w:gridCol w:w="3285"/>
        <w:gridCol w:w="2400"/>
        <w:gridCol w:w="1995"/>
        <w:tblGridChange w:id="0">
          <w:tblGrid>
            <w:gridCol w:w="2235"/>
            <w:gridCol w:w="3285"/>
            <w:gridCol w:w="2400"/>
            <w:gridCol w:w="1995"/>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191">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조정 시나리오</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192">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시작 조건</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193">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엔진 기준 금액</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194">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추가 검수</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95">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초안 조정 (1차)</w:t>
            </w:r>
          </w:p>
          <w:p w:rsidR="00000000" w:rsidDel="00000000" w:rsidP="00000000" w:rsidRDefault="00000000" w:rsidRPr="00000000" w14:paraId="00000196">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INITIAL_ADJUSTMENT</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9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최초 예산 확정 전 챗봇으로 수정 요청</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98">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최초 초안 · 전체 생활비</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99">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전체 생활비 합계 유지</w:t>
            </w:r>
          </w:p>
        </w:tc>
      </w:tr>
      <w:tr>
        <w:trPr>
          <w:cantSplit w:val="1"/>
          <w:tblHeader w:val="0"/>
        </w:trPr>
        <w:tc>
          <w:tcPr>
            <w:tcBorders>
              <w:top w:color="0b57d0" w:space="0" w:sz="4" w:val="single"/>
              <w:left w:color="000000" w:space="0" w:sz="0" w:val="nil"/>
              <w:bottom w:color="0b57d0" w:space="0" w:sz="12" w:val="single"/>
              <w:right w:color="0b57d0" w:space="0" w:sz="4" w:val="single"/>
            </w:tcBorders>
            <w:vAlign w:val="center"/>
          </w:tcPr>
          <w:p w:rsidR="00000000" w:rsidDel="00000000" w:rsidP="00000000" w:rsidRDefault="00000000" w:rsidRPr="00000000" w14:paraId="0000019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평소 조정 (1차)</w:t>
            </w:r>
          </w:p>
          <w:p w:rsidR="00000000" w:rsidDel="00000000" w:rsidP="00000000" w:rsidRDefault="00000000" w:rsidRPr="00000000" w14:paraId="0000019B">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NORMAL_ADJUSTMENT</w:t>
            </w:r>
          </w:p>
        </w:tc>
        <w:tc>
          <w:tcPr>
            <w:tcBorders>
              <w:top w:color="0b57d0" w:space="0" w:sz="4" w:val="single"/>
              <w:left w:color="0b57d0" w:space="0" w:sz="4" w:val="single"/>
              <w:bottom w:color="0b57d0" w:space="0" w:sz="12" w:val="single"/>
              <w:right w:color="0b57d0" w:space="0" w:sz="4" w:val="single"/>
            </w:tcBorders>
            <w:vAlign w:val="center"/>
          </w:tcPr>
          <w:p w:rsidR="00000000" w:rsidDel="00000000" w:rsidP="00000000" w:rsidRDefault="00000000" w:rsidRPr="00000000" w14:paraId="0000019C">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확정 후 통합 챗봇에게 일반 변경 요청</w:t>
            </w:r>
          </w:p>
        </w:tc>
        <w:tc>
          <w:tcPr>
            <w:tcBorders>
              <w:top w:color="0b57d0" w:space="0" w:sz="4" w:val="single"/>
              <w:left w:color="0b57d0" w:space="0" w:sz="4" w:val="single"/>
              <w:bottom w:color="0b57d0" w:space="0" w:sz="12" w:val="single"/>
              <w:right w:color="0b57d0" w:space="0" w:sz="4" w:val="single"/>
            </w:tcBorders>
            <w:vAlign w:val="center"/>
          </w:tcPr>
          <w:p w:rsidR="00000000" w:rsidDel="00000000" w:rsidP="00000000" w:rsidRDefault="00000000" w:rsidRPr="00000000" w14:paraId="0000019D">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확정 예산 · 사용 금액 · 남은 생활비</w:t>
            </w:r>
          </w:p>
        </w:tc>
        <w:tc>
          <w:tcPr>
            <w:tcBorders>
              <w:top w:color="0b57d0" w:space="0" w:sz="4" w:val="single"/>
              <w:left w:color="0b57d0" w:space="0" w:sz="4" w:val="single"/>
              <w:bottom w:color="0b57d0" w:space="0" w:sz="12" w:val="single"/>
              <w:right w:color="000000" w:space="0" w:sz="0" w:val="nil"/>
            </w:tcBorders>
            <w:vAlign w:val="center"/>
          </w:tcPr>
          <w:p w:rsidR="00000000" w:rsidDel="00000000" w:rsidP="00000000" w:rsidRDefault="00000000" w:rsidRPr="00000000" w14:paraId="0000019E">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이미 사용한 금액 아래로 인하 금지</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9F">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소액 돌발 지출 발생 시 (2차)</w:t>
            </w:r>
          </w:p>
          <w:p w:rsidR="00000000" w:rsidDel="00000000" w:rsidP="00000000" w:rsidRDefault="00000000" w:rsidRPr="00000000" w14:paraId="000001A0">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UNEXPECTED_EXPENSE</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A1">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생활비 내에서 충당 가능한 돌발 지출 발생 시 지출 입력 후 ‘다시 짜기’ 선택</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A2">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남은 생활비</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A3">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남은 생활비 범위 안에서 조정</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A4">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카테고리별 예산 초과 시 (2차)</w:t>
            </w:r>
          </w:p>
          <w:p w:rsidR="00000000" w:rsidDel="00000000" w:rsidP="00000000" w:rsidRDefault="00000000" w:rsidRPr="00000000" w14:paraId="000001A5">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CATEGORY_OVERSPEND</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A6">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카테고리 소비가 설정 예산 초과 시 조정 방법 선택 후 조정</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A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초과 금액 · 카테고리별 남은 예산</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A8">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초과 금액 전부 보충</w:t>
            </w:r>
          </w:p>
        </w:tc>
      </w:tr>
    </w:tbl>
    <w:p w:rsidR="00000000" w:rsidDel="00000000" w:rsidP="00000000" w:rsidRDefault="00000000" w:rsidRPr="00000000" w14:paraId="000001A9">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1AA">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공통 검수는 전체 예산 또는 남은 생활비 합계 유지, 자물쇠 카테고리 유지, 이미 사용한 금액 미만 인하 금지, 카테고리별 최소 · 최대 금액, 음수 방지, 증액 · 감액 일치, 금액 단위 · 반올림 오류 방지다. LLM 출력은 조정 원인 · 변경 카테고리 · 조정 전후 금액 · 증감 · 조정 이유 · 사용자 확인 사항으로 고정한다. (2차) 소액 돌발 지출의 여윳돈 · 머니 쿠션 사용은 LLM 없이 규칙으로 계산하며, 쓸 수 없는 방법은 이유와 함께 비활성화한다.</w:t>
      </w:r>
    </w:p>
    <w:p w:rsidR="00000000" w:rsidDel="00000000" w:rsidP="00000000" w:rsidRDefault="00000000" w:rsidRPr="00000000" w14:paraId="000001AB">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큰 지출 상담 (복지 검색 · 대출 비교) · 3차</w:t>
      </w:r>
    </w:p>
    <w:p w:rsidR="00000000" w:rsidDel="00000000" w:rsidP="00000000" w:rsidRDefault="00000000" w:rsidRPr="00000000" w14:paraId="000001AC">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지출 목적 · 필요 금액 · 필요 시점 · 현재 사용 가능 금액 · 월별 추가 마련 가능 금액 · 월 상환금 한도를 입력받고, 계산 엔진이 예상 부족 금액(필요 금액 − 현재 사용 가능 금액 − 월별 추가 마련 가능 금액 × 남은 개월 수)을 계산한다. 복지 검색은 동의 후 지역 · 연령대 · 가구 형태 · 소득 구간 · 고용 상태를 추가로 받아 실행하며, 선정 전 지원금은 ‘지원받을 경우의 예상 시나리오’로만 보여주고 수급이 확정된 경우에만 확보 금액으로 반영한다. 부족 금액이 남고 동의한 경우에만 대출을 비교하고, 사용 권한이 확인된 공식 · 제휴 상품 데이터만 쓴다. 금융상품 한눈에는 공식 확인 출처로 활용하되 공개 API 제공 여부 확인 전까지 직접 연동으로 확정하지 않는다. 실제 금리와 승인 여부는 금융기관 심사에 따라 달라질 수 있음을 표시하고 가입 권유 · 신청 대행은 하지 않는다.</w:t>
      </w:r>
    </w:p>
    <w:p w:rsidR="00000000" w:rsidDel="00000000" w:rsidP="00000000" w:rsidRDefault="00000000" w:rsidRPr="00000000" w14:paraId="000001AD">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소비 분석과 통계 비교</w:t>
      </w:r>
    </w:p>
    <w:p w:rsidR="00000000" w:rsidDel="00000000" w:rsidP="00000000" w:rsidRDefault="00000000" w:rsidRPr="00000000" w14:paraId="000001AE">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1차(MVP)에서는 통합 챗봇이 서버 집계 결과로 내 소비(기간별 총소비, 카테고리별 금액 · 비율)를 보여준다. 2차에서는 소비 분석 화면과 지난주 대비 알림을 추가한다. 소비 분석은 LLM을 사용하지 않으며, LLM 문장 생성은 후속으로 검토한다. 서버 계산 모듈(백엔드 집계 로직)이 기간별 총소비, 카테고리별 금액 · 비율, 전월 대비 증감액 · 증감률, 예산 대비 사용률, 예산 초과 카테고리를 계산하고, ML 회귀 모델(2차)이 또래 기대 소비를 예측해 정해진 템플릿 문장과 차트에 넣는다(예: "지난달보다 식비에서 3만 원 더 썼어요!"). 전월 0원 항목은 증감률 대신 금액 변화를, 이력 부족 · 부분월은 비교 제한을 표시한다. 2025년 가계동향조사 [D8]의 가구 범위 · 단위 · 연도와 카테고리를 맞추고, 또래 비교는 참고값으로만 제시한다. 계획 대비 실제 비교의 포함 여부는 정할 것으로 둔다.</w:t>
      </w:r>
    </w:p>
    <w:p w:rsidR="00000000" w:rsidDel="00000000" w:rsidP="00000000" w:rsidRDefault="00000000" w:rsidRPr="00000000" w14:paraId="000001AF">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예산 이력과 다음 달 추천</w:t>
      </w:r>
    </w:p>
    <w:p w:rsidR="00000000" w:rsidDel="00000000" w:rsidP="00000000" w:rsidRDefault="00000000" w:rsidRPr="00000000" w14:paraId="000001B0">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예산 변경은 변경 전후 · 이유 · 조정 모드 · 승인 · 적용 시각을 버전으로 기록하고(1차), 마이의 예산 변경 이력에서 이전 예산을 확인한다(2차). 이번 달 예산 조정이 3회째부터, 또는 주거/통신 · 교통 외 카테고리의 자물쇠 설정을 한 주기에 3회 이상 바꾸면 잔소리 문구를 보여준다. 개인 소비 이력을 다음 달 카테고리 비율 예측에 반영하는 것은 사용 이력이 쌓인 뒤 후속으로 검토하며, 거절된 제안을 선호로 확정하지 않는다. 대출 상환액을 추천 예산에 반영하는 방식은 정할 것으로 두며, 현재는 예정액만 표시한다.</w:t>
      </w:r>
    </w:p>
    <w:p w:rsidR="00000000" w:rsidDel="00000000" w:rsidP="00000000" w:rsidRDefault="00000000" w:rsidRPr="00000000" w14:paraId="000001B1">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큰 지출 상담의 한계</w:t>
      </w:r>
    </w:p>
    <w:p w:rsidR="00000000" w:rsidDel="00000000" w:rsidP="00000000" w:rsidRDefault="00000000" w:rsidRPr="00000000" w14:paraId="000001B2">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큰 지출 상담의 복지 · 대출 결과는 수급이나 승인을 보장하지 않는다. 확정 전 지원금과 대출금은 예산에 포함하지 않고, 실제 금리와 승인 여부는 금융기관 심사에 따라 달라질 수 있음을 표시한다.</w:t>
      </w:r>
    </w:p>
    <w:p w:rsidR="00000000" w:rsidDel="00000000" w:rsidP="00000000" w:rsidRDefault="00000000" w:rsidRPr="00000000" w14:paraId="000001B3">
      <w:pPr>
        <w:widowControl w:val="0"/>
        <w:spacing w:after="100" w:lineRule="auto"/>
        <w:jc w:val="both"/>
        <w:rPr>
          <w:rFonts w:ascii="Malgun Gothic" w:cs="Malgun Gothic" w:eastAsia="Malgun Gothic" w:hAnsi="Malgun Gothic"/>
          <w:color w:val="0b57d0"/>
          <w:sz w:val="23"/>
          <w:szCs w:val="23"/>
        </w:rPr>
      </w:pPr>
      <w:r>
        <w:rPr>
          <w:rtl w:val="0"/>
        </w:rPr>
      </w:r>
    </w:p>
    <w:p w:rsidR="00000000" w:rsidDel="00000000" w:rsidP="00000000" w:rsidRDefault="00000000" w:rsidRPr="00000000" w14:paraId="000001B4">
      <w:pPr>
        <w:widowControl w:val="0"/>
        <w:spacing w:after="100" w:lineRule="auto"/>
        <w:jc w:val="both"/>
        <w:rPr>
          <w:rFonts w:ascii="Malgun Gothic" w:cs="Malgun Gothic" w:eastAsia="Malgun Gothic" w:hAnsi="Malgun Gothic"/>
          <w:color w:val="0b57d0"/>
          <w:sz w:val="23"/>
          <w:szCs w:val="23"/>
        </w:rPr>
      </w:pPr>
      <w:r>
        <w:rPr>
          <w:rtl w:val="0"/>
        </w:rPr>
      </w:r>
    </w:p>
    <w:p w:rsidR="00000000" w:rsidDel="00000000" w:rsidP="00000000" w:rsidRDefault="00000000" w:rsidRPr="00000000" w14:paraId="000001B5">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평가 계획</w:t>
      </w:r>
    </w:p>
    <w:tbl>
      <w:tblPr>
        <w:tblStyle w:val="Table23"/>
        <w:tblW w:w="9925.0" w:type="dxa"/>
        <w:jc w:val="left"/>
        <w:tblLayout w:type="fixed"/>
        <w:tblLook w:val="0600"/>
      </w:tblPr>
      <w:tblGrid>
        <w:gridCol w:w="2400"/>
        <w:gridCol w:w="7525"/>
        <w:tblGridChange w:id="0">
          <w:tblGrid>
            <w:gridCol w:w="2400"/>
            <w:gridCol w:w="7525"/>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1B6">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평가 항목</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1B7">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방법 · 기준</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B8">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금액 정확성</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B9">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테스트 시나리오별로 독립 계산한 기대값과 계산 엔진 결과를 비교. 카테고리 합계 불일치 · 자물쇠 / 쿠션 금액 침범 · 같은 거래 중복 차감 0건 목표</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BA">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멀티에이전트 효과</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BB">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동일 데이터로 단일 LLM과 비교. 엔진 검수 통과율 · 재생성 횟수 · 응답 시간 · 비용 측정</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BC">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안전성</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BD">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무승인 적용 · 타인 데이터 접근 · 오래된 제안 적용 차단, 거래 적요 · API 응답 속 지시문 무시 확인</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BE">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실패 대응</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BF">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계좌 조회 장애 · 호출 한도 소진 · 재생성 3회 실패 시 마지막 정상 자료 · 재연결 · 사용자 확인 전환으로 안전하게 종료되는지 확인</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C0">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라우팅</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C1">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진입점 · 버튼별 호출 대상과 조정 모드가 매핑표대로 연결되는지 확인</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C2">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거래 분류</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C3">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macro-F1 · 클래스별 정밀도 / 재현율 · 이체 오분류를 실제 거래 표본으로 검증. 고신뢰 거래는 불필요한 검색 없이 확정, 낮은 신뢰도는 검색 후 미해결 시 사용자 확인</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C4">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예산 설계</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C5">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추천 예산 1개 먼저 표시, 이력 없는 사용자 대체 경로, 카테고리 비율 오차 · 사용자 수정률 · 평균 기준선 대비 성능</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C6">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예산 조정 모드</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C7">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1차(초안 · 평소 조정): 합계 유지 · 이미 쓴 금액 아래 인하 금지 · 자물쇠 유지 · 승인 전 미적용 / 2차(돌발 · 초과): 남은 생활비 범위 유지 · 초과 금액 전부 보충</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C8">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소비 분석</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C9">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1차: 챗봇 답변 속 금액과 서버 집계값 일치(수치 불일치 0건) / 2차: 화면 계산값과 독립 계산 비교, 템플릿 문장에 LLM 미사용, 또래 회귀 R² · 잔차, 통계 연도 · 가구 범위 표시</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CA">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큰 지출 (3차)</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CB">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부족 금액 계산 검증, 동의 전 복지 · 대출 미실행, 미확정 지원금 예상 시나리오 표시, 월 상환금 한도 초과 상품 제외, 가입 권유 없음</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CC">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알림 (2차)</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CD">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알림에서 처리 화면 이동 (일정 14일 합계 반영은 후순위 구현 시 검증)</w:t>
            </w:r>
          </w:p>
        </w:tc>
      </w:tr>
    </w:tbl>
    <w:p w:rsidR="00000000" w:rsidDel="00000000" w:rsidP="00000000" w:rsidRDefault="00000000" w:rsidRPr="00000000" w14:paraId="000001D0">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1D1">
      <w:pPr>
        <w:pageBreakBefore w:val="1"/>
        <w:widowControl w:val="0"/>
        <w:spacing w:line="240" w:lineRule="auto"/>
        <w:jc w:val="both"/>
        <w:rPr>
          <w:rFonts w:ascii="Malgun Gothic" w:cs="Malgun Gothic" w:eastAsia="Malgun Gothic" w:hAnsi="Malgun Gothic"/>
          <w:b w:val="0"/>
          <w:bCs w:val="0"/>
          <w:sz w:val="4"/>
          <w:szCs w:val="4"/>
        </w:rPr>
      </w:pPr>
      <w:r>
        <w:rPr>
          <w:rtl w:val="0"/>
        </w:rPr>
      </w:r>
    </w:p>
    <w:tbl>
      <w:tblPr>
        <w:tblStyle w:val="Table24"/>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9925"/>
        <w:tblGridChange w:id="0">
          <w:tblGrid>
            <w:gridCol w:w="9925"/>
          </w:tblGrid>
        </w:tblGridChange>
      </w:tblGrid>
      <w:tr>
        <w:trPr>
          <w:cantSplit w:val="0"/>
          <w:trHeight w:val="427" w:hRule="atLeast"/>
          <w:tblHeader w:val="0"/>
        </w:trPr>
        <w:tc>
          <w:tcPr>
            <w:tcBorders>
              <w:top w:color="0b57d0" w:space="0" w:sz="18" w:val="single"/>
              <w:left w:color="000000" w:space="0" w:sz="0" w:val="nil"/>
              <w:bottom w:color="000000" w:space="0" w:sz="0" w:val="nil"/>
              <w:right w:color="33bcb1" w:space="0" w:sz="18" w:val="single"/>
            </w:tcBorders>
            <w:tcMar>
              <w:top w:w="100.0" w:type="dxa"/>
              <w:left w:w="100.0" w:type="dxa"/>
              <w:bottom w:w="100.0" w:type="dxa"/>
              <w:right w:w="100.0" w:type="dxa"/>
            </w:tcMar>
          </w:tcPr>
          <w:p w:rsidR="00000000" w:rsidDel="00000000" w:rsidP="00000000" w:rsidRDefault="00000000" w:rsidRPr="00000000" w14:paraId="000001D2">
            <w:pPr>
              <w:keepNext w:val="1"/>
              <w:spacing w:after="60" w:line="264" w:lineRule="auto"/>
              <w:rPr>
                <w:rFonts w:ascii="Malgun Gothic" w:cs="Malgun Gothic" w:eastAsia="Malgun Gothic" w:hAnsi="Malgun Gothic"/>
                <w:b w:val="0"/>
                <w:bCs w:val="0"/>
                <w:sz w:val="16"/>
                <w:szCs w:val="16"/>
              </w:rPr>
            </w:pPr>
            <w:r>
              <w:rPr>
                <w:rFonts w:ascii="Malgun Gothic" w:cs="Malgun Gothic" w:eastAsia="Malgun Gothic" w:hAnsi="Malgun Gothic"/>
                <w:sz w:val="32"/>
                <w:szCs w:val="32"/>
                <w:rtl w:val="0"/>
              </w:rPr>
              <w:t xml:space="preserve">6. 데이터 수집 전략</w:t>
            </w:r>
            <w:r>
              <w:rPr>
                <w:rtl w:val="0"/>
              </w:rPr>
            </w:r>
          </w:p>
        </w:tc>
      </w:tr>
    </w:tbl>
    <w:p w:rsidR="00000000" w:rsidDel="00000000" w:rsidP="00000000" w:rsidRDefault="00000000" w:rsidRPr="00000000" w14:paraId="000001D3">
      <w:pPr>
        <w:keepNext w:val="1"/>
        <w:widowControl w:val="0"/>
        <w:spacing w:after="6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1D4">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CODEF 계좌(필수) · 카드 · 대출(선택) 자료, 사용자 · 가구 정보와 우선순위를 먼저 확보한다. 통계 · 상권 · 복지 · 금융상품 데이터와 예산 이력은 목적별로 추가한다. 실제 연동 권한이나 학습 데이터 확보 전에는 모의 데이터로 인터페이스를 검증하며 확보 완료로 보고하지 않는다.</w:t>
      </w:r>
    </w:p>
    <w:p w:rsidR="00000000" w:rsidDel="00000000" w:rsidP="00000000" w:rsidRDefault="00000000" w:rsidRPr="00000000" w14:paraId="000001D5">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수집 데이터</w:t>
      </w:r>
    </w:p>
    <w:tbl>
      <w:tblPr>
        <w:tblStyle w:val="Table25"/>
        <w:tblW w:w="9925.0" w:type="dxa"/>
        <w:jc w:val="left"/>
        <w:tblLayout w:type="fixed"/>
        <w:tblLook w:val="0600"/>
      </w:tblPr>
      <w:tblGrid>
        <w:gridCol w:w="1900"/>
        <w:gridCol w:w="2700"/>
        <w:gridCol w:w="2100"/>
        <w:gridCol w:w="3225"/>
        <w:tblGridChange w:id="0">
          <w:tblGrid>
            <w:gridCol w:w="1900"/>
            <w:gridCol w:w="2700"/>
            <w:gridCol w:w="2100"/>
            <w:gridCol w:w="3225"/>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1D6">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데이터</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1D7">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출처</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1D8">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용도</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1D9">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수집 방식 · 조건</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D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재정 프로필</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D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사용자 직접 입력</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DC">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개인화 예산·보호 조건·통계 비교</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DD">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생년월일(연령대) · 성별 · 가구 형태(1인/2인 이상) · 우선순위 1~3위 · 월급(주기 · 실수령액 · 급여일) · 예산 방향 · 지킬 돈. 만 14세 미만 가입 불가</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DE">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계좌 잔액 · 거래</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DF">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금융 거래 API – 계좌 API</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E0">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거래 원장 · 안전 소비액</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E1">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본인 인증 · 조회 동의(필수), 읽기 전용, 장애 시 마지막 정상 자료 · 재연결 안내</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E2">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카드 결제예정 · 할부</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E3">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금융 거래 API – 카드 API (선택) / 직접 입력</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E4">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카드대금 반영</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E5">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기관별 지원 범위 검증 후 연결</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E6">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대출 정보</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E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금융 거래 API (선택) / 사용자 보완</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E8">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대출 확인 · 상환 일정</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E9">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자동 조회 · 사용자 보완(상환 방식 · 월 상환액 · 납부일) · 추정(동의 시 최근 3개월 평균) 구분. 조회 항목은 연동 테스트 후 확정, 추정값은 예산에 자동 반영 안 함</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E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거래 분류 학습</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E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상가(상권)정보 API [D3]·검증된 거래 표본·보조 합성 자료</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EC">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ML-001 학습 · 검증</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ED">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업종→소비 카테고리 대응표 생성·검수. 실제 거래 적요와 상호 차이 평가, 상호 단위 분할</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EE">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가맹점 정보</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EF">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검색·지도 API [D10]</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F0">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거래 분류 보완</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F1">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업종·주소·조회 시각·후보 저장, 동명 가게 확인·이용 조건 준수</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F6">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생활비 · 소비 비교</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F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MDIS · KOSIS 가계동향조사 [D8]</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F8">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카테고리 비율 · (2차) 또래 회귀</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F9">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개인/가구 관리 범위·가구주 특성 구분. 회귀용 결합 변수 자료 확보·이용 조건 검증, 집계표를 개인 학습 자료로 간주하지 않음</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F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소비 예측 학습</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F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초기 특성과 소비가 연결된 적합한 통계 자료·동의된 개인 이력 (후속)</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FC">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카테고리 비율 · (2차) 또래 회귀</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FD">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성별·소득·연령·가구원 수 결합 가능성 검증. 학습/평가 분리·누수 방지. 확보 전 규칙·통계 참고값 대체</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02">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예산 변경 이력</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03">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사용자 승인·예산 버전·실적</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04">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버전 기록 · (2차) 이력 확인</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05">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변경 전후 · 이유 · 조정 모드 · 승인 · 적용 시각 · 기준 버전. 이번 달 조정 횟수 · 자물쇠 변경 횟수 집계(각 3회째부터 잔소리)</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06">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복지서비스 (3차)</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0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중앙부처 · 지자체 복지서비스 API, 대한민국 공공서비스 정보 API</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08">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④-1 복지 검색</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09">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동의 후 필요한 최소 조건만 사용. 실시간 조회 · 캐시 · 동기화 방식 정할 것</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0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대출 상품 (3차)</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0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공식 · 제휴 금융상품 데이터 / 금융상품 한눈에(확인 출처)</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0C">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④-2 대출 비교</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0D">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사용 권한 확인된 데이터만 사용, 공개 API 여부 확인 전 직접 연동 확정 금지, 출처 · 갱신일 표시</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0E">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청년 정책 (후순위)</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0F">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온통청년 Open API, 공식 기관 원문</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10">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정책 추천</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11">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기준일 · 신청 기간 관리, 상환 의무 있는 상품 제외</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12">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일정 (후순위)</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13">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사용자 직접 입력 / Google Calendar (선택 연동)</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14">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‘다가오는 14일’ 예정 지출</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15">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캘린더는 동의 후 연결하고 제목 · 일시 · 상태 수집(설명 · 참석자 제외). 금액 있는 일정만 확정 지출</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16">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금융상품 (후순위)</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1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공식 API·공식 상품 자료</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18">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예적금·카드 추천</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19">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API 권한·수집 조건·상품 조건·기준일 검증, 미확인 혜택 생성 금지</w:t>
            </w:r>
          </w:p>
        </w:tc>
      </w:tr>
      <w:tr>
        <w:trPr>
          <w:cantSplit w:val="1"/>
          <w:tblHeader w:val="0"/>
        </w:trPr>
        <w:tc>
          <w:tcPr>
            <w:tcBorders>
              <w:top w:color="0b57d0" w:space="0" w:sz="4" w:val="single"/>
              <w:left w:color="000000" w:space="0" w:sz="0" w:val="nil"/>
              <w:bottom w:color="0b57d0" w:space="0" w:sz="12" w:val="single"/>
              <w:right w:color="0b57d0" w:space="0" w:sz="4" w:val="single"/>
            </w:tcBorders>
            <w:vAlign w:val="center"/>
          </w:tcPr>
          <w:p w:rsidR="00000000" w:rsidDel="00000000" w:rsidP="00000000" w:rsidRDefault="00000000" w:rsidRPr="00000000" w14:paraId="0000021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OCR (검증)</w:t>
            </w:r>
          </w:p>
        </w:tc>
        <w:tc>
          <w:tcPr>
            <w:tcBorders>
              <w:top w:color="0b57d0" w:space="0" w:sz="4" w:val="single"/>
              <w:left w:color="0b57d0" w:space="0" w:sz="4" w:val="single"/>
              <w:bottom w:color="0b57d0" w:space="0" w:sz="12" w:val="single"/>
              <w:right w:color="0b57d0" w:space="0" w:sz="4" w:val="single"/>
            </w:tcBorders>
            <w:vAlign w:val="center"/>
          </w:tcPr>
          <w:p w:rsidR="00000000" w:rsidDel="00000000" w:rsidP="00000000" w:rsidRDefault="00000000" w:rsidRPr="00000000" w14:paraId="0000021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테스트 카드 이미지·공식 OCR [D11]</w:t>
            </w:r>
          </w:p>
        </w:tc>
        <w:tc>
          <w:tcPr>
            <w:tcBorders>
              <w:top w:color="0b57d0" w:space="0" w:sz="4" w:val="single"/>
              <w:left w:color="0b57d0" w:space="0" w:sz="4" w:val="single"/>
              <w:bottom w:color="0b57d0" w:space="0" w:sz="12" w:val="single"/>
              <w:right w:color="0b57d0" w:space="0" w:sz="4" w:val="single"/>
            </w:tcBorders>
            <w:vAlign w:val="center"/>
          </w:tcPr>
          <w:p w:rsidR="00000000" w:rsidDel="00000000" w:rsidP="00000000" w:rsidRDefault="00000000" w:rsidRPr="00000000" w14:paraId="0000021C">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입력 보조 가능성 확인</w:t>
            </w:r>
          </w:p>
        </w:tc>
        <w:tc>
          <w:tcPr>
            <w:tcBorders>
              <w:top w:color="0b57d0" w:space="0" w:sz="4" w:val="single"/>
              <w:left w:color="0b57d0" w:space="0" w:sz="4" w:val="single"/>
              <w:bottom w:color="0b57d0" w:space="0" w:sz="12" w:val="single"/>
              <w:right w:color="000000" w:space="0" w:sz="0" w:val="nil"/>
            </w:tcBorders>
            <w:vAlign w:val="center"/>
          </w:tcPr>
          <w:p w:rsidR="00000000" w:rsidDel="00000000" w:rsidP="00000000" w:rsidRDefault="00000000" w:rsidRPr="00000000" w14:paraId="0000021D">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기관 식별 별도 검증 [D12], 사용자 확인·원본 보관 최소화, 인증 대체 금지</w:t>
            </w:r>
          </w:p>
        </w:tc>
      </w:tr>
    </w:tbl>
    <w:p w:rsidR="00000000" w:rsidDel="00000000" w:rsidP="00000000" w:rsidRDefault="00000000" w:rsidRPr="00000000" w14:paraId="0000021E">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21F">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데이터 관리 원칙</w:t>
      </w:r>
    </w:p>
    <w:p w:rsidR="00000000" w:rsidDel="00000000" w:rsidP="00000000" w:rsidRDefault="00000000" w:rsidRPr="00000000" w14:paraId="00000220">
      <w:pPr>
        <w:widowControl w:val="0"/>
        <w:numPr>
          <w:ilvl w:val="0"/>
          <w:numId w:val="2"/>
        </w:numPr>
        <w:spacing w:after="100" w:lineRule="auto"/>
        <w:ind w:left="400" w:hanging="260"/>
        <w:rPr>
          <w:sz w:val="20"/>
          <w:szCs w:val="20"/>
        </w:rPr>
      </w:pPr>
      <w:r>
        <w:rPr>
          <w:rFonts w:ascii="Malgun Gothic" w:cs="Malgun Gothic" w:eastAsia="Malgun Gothic" w:hAnsi="Malgun Gothic"/>
          <w:b w:val="0"/>
          <w:bCs w:val="0"/>
          <w:sz w:val="20"/>
          <w:szCs w:val="20"/>
          <w:rtl w:val="0"/>
        </w:rPr>
        <w:t xml:space="preserve">원본 자료 · AI 후보 · 사용자 확정 값을 분리 저장하고, 계산은 같은 시점 자료를 하나의 스냅샷으로 묶어 수행한다.</w:t>
      </w:r>
      <w:r>
        <w:rPr>
          <w:rtl w:val="0"/>
        </w:rPr>
      </w:r>
    </w:p>
    <w:p w:rsidR="00000000" w:rsidDel="00000000" w:rsidP="00000000" w:rsidRDefault="00000000" w:rsidRPr="00000000" w14:paraId="00000221">
      <w:pPr>
        <w:widowControl w:val="0"/>
        <w:numPr>
          <w:ilvl w:val="0"/>
          <w:numId w:val="2"/>
        </w:numPr>
        <w:spacing w:after="100" w:lineRule="auto"/>
        <w:ind w:left="400" w:hanging="260"/>
        <w:rPr>
          <w:sz w:val="20"/>
          <w:szCs w:val="20"/>
        </w:rPr>
      </w:pPr>
      <w:r>
        <w:rPr>
          <w:rFonts w:ascii="Malgun Gothic" w:cs="Malgun Gothic" w:eastAsia="Malgun Gothic" w:hAnsi="Malgun Gothic"/>
          <w:b w:val="0"/>
          <w:bCs w:val="0"/>
          <w:sz w:val="20"/>
          <w:szCs w:val="20"/>
          <w:rtl w:val="0"/>
        </w:rPr>
        <w:t xml:space="preserve">개발 · 시연은 합성 · 모의 데이터로 진행하며, 실제 개인정보를 로그 · 데모에 노출하지 않는다.</w:t>
      </w:r>
      <w:r>
        <w:rPr>
          <w:rtl w:val="0"/>
        </w:rPr>
      </w:r>
    </w:p>
    <w:p w:rsidR="00000000" w:rsidDel="00000000" w:rsidP="00000000" w:rsidRDefault="00000000" w:rsidRPr="00000000" w14:paraId="00000222">
      <w:pPr>
        <w:widowControl w:val="0"/>
        <w:numPr>
          <w:ilvl w:val="0"/>
          <w:numId w:val="2"/>
        </w:numPr>
        <w:spacing w:after="100" w:lineRule="auto"/>
        <w:ind w:left="400" w:hanging="260"/>
        <w:rPr>
          <w:sz w:val="20"/>
          <w:szCs w:val="20"/>
        </w:rPr>
      </w:pPr>
      <w:r>
        <w:rPr>
          <w:rFonts w:ascii="Malgun Gothic" w:cs="Malgun Gothic" w:eastAsia="Malgun Gothic" w:hAnsi="Malgun Gothic"/>
          <w:b w:val="0"/>
          <w:bCs w:val="0"/>
          <w:sz w:val="20"/>
          <w:szCs w:val="20"/>
          <w:rtl w:val="0"/>
        </w:rPr>
        <w:t xml:space="preserve">필수·선택 동의와 철회를 기록한다. 토큰·계좌번호는 암호화·마스킹하고 로그에 원문을 남기지 않는다. OCR 검증 시 필요한 영역만 처리하며 전체 카드번호·원본 이미지·유효기간·CVC를 불필요하게 저장하거나 LLM에 전달하지 않는다.</w:t>
      </w:r>
      <w:r>
        <w:rPr>
          <w:rtl w:val="0"/>
        </w:rPr>
      </w:r>
    </w:p>
    <w:p w:rsidR="00000000" w:rsidDel="00000000" w:rsidP="00000000" w:rsidRDefault="00000000" w:rsidRPr="00000000" w14:paraId="00000223">
      <w:pPr>
        <w:widowControl w:val="0"/>
        <w:numPr>
          <w:ilvl w:val="0"/>
          <w:numId w:val="2"/>
        </w:numPr>
        <w:spacing w:after="100" w:lineRule="auto"/>
        <w:ind w:left="400" w:hanging="260"/>
        <w:rPr>
          <w:sz w:val="20"/>
          <w:szCs w:val="20"/>
        </w:rPr>
      </w:pPr>
      <w:r>
        <w:rPr>
          <w:rFonts w:ascii="Malgun Gothic" w:cs="Malgun Gothic" w:eastAsia="Malgun Gothic" w:hAnsi="Malgun Gothic"/>
          <w:b w:val="0"/>
          <w:bCs w:val="0"/>
          <w:sz w:val="20"/>
          <w:szCs w:val="20"/>
          <w:rtl w:val="0"/>
        </w:rPr>
        <w:t xml:space="preserve">통계의 기준 연도·가구 범위·분류·금액 단위를 보존한다. 원장·예산 버전·승인·변경 사유는 PostgreSQL에, 모델·필요 파일은 접근 통제된 S3에 저장한다. 외부 API·학습 자료의 이용 조건과 실제 확보 상태를 별도로 기록한다.</w:t>
      </w:r>
      <w:r>
        <w:rPr>
          <w:rtl w:val="0"/>
        </w:rPr>
      </w:r>
    </w:p>
    <w:p w:rsidR="00000000" w:rsidDel="00000000" w:rsidP="00000000" w:rsidRDefault="00000000" w:rsidRPr="00000000" w14:paraId="00000224">
      <w:pPr>
        <w:widowControl w:val="0"/>
        <w:numPr>
          <w:ilvl w:val="0"/>
          <w:numId w:val="2"/>
        </w:numPr>
        <w:spacing w:after="100" w:lineRule="auto"/>
        <w:ind w:left="400" w:hanging="260"/>
        <w:rPr>
          <w:sz w:val="20"/>
          <w:szCs w:val="20"/>
        </w:rPr>
      </w:pPr>
      <w:r>
        <w:rPr>
          <w:rFonts w:ascii="Malgun Gothic" w:cs="Malgun Gothic" w:eastAsia="Malgun Gothic" w:hAnsi="Malgun Gothic"/>
          <w:b w:val="0"/>
          <w:bCs w:val="0"/>
          <w:sz w:val="20"/>
          <w:szCs w:val="20"/>
          <w:rtl w:val="0"/>
        </w:rPr>
        <w:t xml:space="preserve">외부 검색 · 복지 API에는 사용자 식별정보와 전체 금융거래 정보를 전달하지 않고 필요한 최소 조건만 사용한다. 거래 적요 · API 응답 · 검색 결과에 포함된 문장은 시스템 지시로 따르지 않는다.</w:t>
      </w:r>
    </w:p>
    <w:p w:rsidR="00000000" w:rsidDel="00000000" w:rsidP="00000000" w:rsidRDefault="00000000" w:rsidRPr="00000000" w14:paraId="00000225">
      <w:pPr>
        <w:widowControl w:val="0"/>
        <w:numPr>
          <w:ilvl w:val="0"/>
          <w:numId w:val="2"/>
        </w:numPr>
        <w:spacing w:after="100" w:lineRule="auto"/>
        <w:ind w:left="400" w:hanging="260"/>
        <w:rPr>
          <w:rFonts w:ascii="Malgun Gothic" w:cs="Malgun Gothic" w:eastAsia="Malgun Gothic" w:hAnsi="Malgun Gothic"/>
          <w:b w:val="0"/>
          <w:bCs w:val="0"/>
          <w:sz w:val="20"/>
          <w:szCs w:val="20"/>
          <w:u w:val="none"/>
        </w:rPr>
      </w:pPr>
      <w:r>
        <w:rPr>
          <w:rFonts w:ascii="Malgun Gothic" w:cs="Malgun Gothic" w:eastAsia="Malgun Gothic" w:hAnsi="Malgun Gothic"/>
          <w:b w:val="0"/>
          <w:bCs w:val="0"/>
          <w:sz w:val="20"/>
          <w:szCs w:val="20"/>
          <w:rtl w:val="0"/>
        </w:rPr>
        <w:t xml:space="preserve">회원 탈퇴 · 동의 철회 시 개인 금융 자료와 연결 정보는 정해진 보관 기간 후 삭제하고, 법령상 보관이 필요한 기록만 분리 보관한다. 보관 기간은 [정할 것]으로 둔다.</w:t>
      </w:r>
    </w:p>
    <w:p w:rsidR="00000000" w:rsidDel="00000000" w:rsidP="00000000" w:rsidRDefault="00000000" w:rsidRPr="00000000" w14:paraId="00000226">
      <w:pPr>
        <w:pageBreakBefore w:val="1"/>
        <w:widowControl w:val="0"/>
        <w:spacing w:line="240" w:lineRule="auto"/>
        <w:jc w:val="both"/>
        <w:rPr>
          <w:rFonts w:ascii="Malgun Gothic" w:cs="Malgun Gothic" w:eastAsia="Malgun Gothic" w:hAnsi="Malgun Gothic"/>
          <w:b w:val="0"/>
          <w:bCs w:val="0"/>
          <w:sz w:val="4"/>
          <w:szCs w:val="4"/>
        </w:rPr>
      </w:pPr>
      <w:r>
        <w:rPr>
          <w:rtl w:val="0"/>
        </w:rPr>
      </w:r>
    </w:p>
    <w:tbl>
      <w:tblPr>
        <w:tblStyle w:val="Table26"/>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9925"/>
        <w:tblGridChange w:id="0">
          <w:tblGrid>
            <w:gridCol w:w="9925"/>
          </w:tblGrid>
        </w:tblGridChange>
      </w:tblGrid>
      <w:tr>
        <w:trPr>
          <w:cantSplit w:val="0"/>
          <w:trHeight w:val="427" w:hRule="atLeast"/>
          <w:tblHeader w:val="0"/>
        </w:trPr>
        <w:tc>
          <w:tcPr>
            <w:tcBorders>
              <w:top w:color="0b57d0" w:space="0" w:sz="18" w:val="single"/>
              <w:left w:color="000000" w:space="0" w:sz="0" w:val="nil"/>
              <w:bottom w:color="000000" w:space="0" w:sz="0" w:val="nil"/>
              <w:right w:color="33bcb1" w:space="0" w:sz="18" w:val="single"/>
            </w:tcBorders>
            <w:tcMar>
              <w:top w:w="100.0" w:type="dxa"/>
              <w:left w:w="100.0" w:type="dxa"/>
              <w:bottom w:w="100.0" w:type="dxa"/>
              <w:right w:w="100.0" w:type="dxa"/>
            </w:tcMar>
          </w:tcPr>
          <w:p w:rsidR="00000000" w:rsidDel="00000000" w:rsidP="00000000" w:rsidRDefault="00000000" w:rsidRPr="00000000" w14:paraId="00000227">
            <w:pPr>
              <w:keepNext w:val="1"/>
              <w:spacing w:after="60" w:line="264" w:lineRule="auto"/>
              <w:rPr>
                <w:rFonts w:ascii="Malgun Gothic" w:cs="Malgun Gothic" w:eastAsia="Malgun Gothic" w:hAnsi="Malgun Gothic"/>
                <w:b w:val="0"/>
                <w:bCs w:val="0"/>
                <w:sz w:val="16"/>
                <w:szCs w:val="16"/>
              </w:rPr>
            </w:pPr>
            <w:r>
              <w:rPr>
                <w:rFonts w:ascii="Malgun Gothic" w:cs="Malgun Gothic" w:eastAsia="Malgun Gothic" w:hAnsi="Malgun Gothic"/>
                <w:sz w:val="32"/>
                <w:szCs w:val="32"/>
                <w:rtl w:val="0"/>
              </w:rPr>
              <w:t xml:space="preserve">7. 역할분담(R&amp;R)</w:t>
            </w:r>
            <w:r>
              <w:rPr>
                <w:rtl w:val="0"/>
              </w:rPr>
            </w:r>
          </w:p>
        </w:tc>
      </w:tr>
    </w:tbl>
    <w:p w:rsidR="00000000" w:rsidDel="00000000" w:rsidP="00000000" w:rsidRDefault="00000000" w:rsidRPr="00000000" w14:paraId="00000228">
      <w:pPr>
        <w:keepNext w:val="1"/>
        <w:widowControl w:val="0"/>
        <w:spacing w:after="6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229">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아래 역할 분담은 1차 MVP 기준의 임시 배정안으로, 구현 진행 상황과 통합 점검 결과에 따라 조정한다.</w:t>
      </w:r>
    </w:p>
    <w:p w:rsidR="00000000" w:rsidDel="00000000" w:rsidP="00000000" w:rsidRDefault="00000000" w:rsidRPr="00000000" w14:paraId="0000022A">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에이전트별 담당</w:t>
      </w:r>
    </w:p>
    <w:tbl>
      <w:tblPr>
        <w:tblStyle w:val="Table27"/>
        <w:tblW w:w="9925.0" w:type="dxa"/>
        <w:jc w:val="left"/>
        <w:tblLayout w:type="fixed"/>
        <w:tblLook w:val="0600"/>
      </w:tblPr>
      <w:tblGrid>
        <w:gridCol w:w="1300"/>
        <w:gridCol w:w="2500"/>
        <w:gridCol w:w="3200"/>
        <w:gridCol w:w="2925"/>
        <w:tblGridChange w:id="0">
          <w:tblGrid>
            <w:gridCol w:w="1300"/>
            <w:gridCol w:w="2500"/>
            <w:gridCol w:w="3200"/>
            <w:gridCol w:w="2925"/>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22B">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담당자</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22C">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ML</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22D">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에이전트</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22E">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연계 기능 · 공통 영역</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2F">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김나은</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30">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카테고리별 예산 분배 비율</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31">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예산 설계</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32">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계산 엔진 · 공통 검수 · 승인 흐름, 예산 버전, DB 스키마</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33">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김혜리</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34">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거래 분류</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35">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거래 분류, 라우터 · 통합 챗봇</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36">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CODEF · 거래 원장 · 검색/지도 API, 알림, API 서버 통합</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37">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권세진</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38">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또래 비교 회귀 (2차)</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39">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예산 조정 (초안 · 평소)</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3A">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자금 계산 엔진 · 복지/대출 데이터, 소비 리포트(서버 계산 · 템플릿), 배포</w:t>
            </w:r>
          </w:p>
        </w:tc>
      </w:tr>
    </w:tbl>
    <w:p w:rsidR="00000000" w:rsidDel="00000000" w:rsidP="00000000" w:rsidRDefault="00000000" w:rsidRPr="00000000" w14:paraId="0000023B">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23C">
      <w:pPr>
        <w:widowControl w:val="0"/>
        <w:spacing w:after="100" w:lineRule="auto"/>
        <w:rPr>
          <w:rFonts w:ascii="Malgun Gothic" w:cs="Malgun Gothic" w:eastAsia="Malgun Gothic" w:hAnsi="Malgun Gothic"/>
          <w:b w:val="0"/>
          <w:bCs w:val="0"/>
          <w:color w:val="5f6368"/>
          <w:sz w:val="17"/>
          <w:szCs w:val="17"/>
        </w:rPr>
      </w:pPr>
      <w:r>
        <w:rPr>
          <w:rFonts w:ascii="Malgun Gothic" w:cs="Malgun Gothic" w:eastAsia="Malgun Gothic" w:hAnsi="Malgun Gothic"/>
          <w:b w:val="0"/>
          <w:bCs w:val="0"/>
          <w:color w:val="5f6368"/>
          <w:sz w:val="17"/>
          <w:szCs w:val="17"/>
          <w:rtl w:val="0"/>
        </w:rPr>
        <w:t xml:space="preserve">※ 각 담당자는 관련 모바일 웹 화면도 구현하고 공통 컴포넌트를 함께 관리한다.</w:t>
      </w:r>
    </w:p>
    <w:p w:rsidR="00000000" w:rsidDel="00000000" w:rsidP="00000000" w:rsidRDefault="00000000" w:rsidRPr="00000000" w14:paraId="0000023D">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협업 규칙</w:t>
      </w:r>
    </w:p>
    <w:p w:rsidR="00000000" w:rsidDel="00000000" w:rsidP="00000000" w:rsidRDefault="00000000" w:rsidRPr="00000000" w14:paraId="0000023E">
      <w:pPr>
        <w:widowControl w:val="0"/>
        <w:numPr>
          <w:ilvl w:val="0"/>
          <w:numId w:val="2"/>
        </w:numPr>
        <w:spacing w:after="100" w:lineRule="auto"/>
        <w:ind w:left="400" w:hanging="260"/>
        <w:rPr>
          <w:sz w:val="20"/>
          <w:szCs w:val="20"/>
        </w:rPr>
      </w:pPr>
      <w:r>
        <w:rPr>
          <w:rFonts w:ascii="Malgun Gothic" w:cs="Malgun Gothic" w:eastAsia="Malgun Gothic" w:hAnsi="Malgun Gothic"/>
          <w:b w:val="0"/>
          <w:bCs w:val="0"/>
          <w:sz w:val="20"/>
          <w:szCs w:val="20"/>
          <w:rtl w:val="0"/>
        </w:rPr>
        <w:t xml:space="preserve">4주 차 초에 라우터 진입점 매핑, 예산 조정 모드 · LLM 출력 7항목 · 검수 실패 코드와 통계 카테고리 대응을 합의한다. 누락 필드 · 근거 · 기준 시각 · 검수 사유가 에이전트 사이에서 전달되도록 버전 관리한다.</w:t>
      </w:r>
      <w:r>
        <w:rPr>
          <w:rtl w:val="0"/>
        </w:rPr>
      </w:r>
    </w:p>
    <w:p w:rsidR="00000000" w:rsidDel="00000000" w:rsidP="00000000" w:rsidRDefault="00000000" w:rsidRPr="00000000" w14:paraId="0000023F">
      <w:pPr>
        <w:widowControl w:val="0"/>
        <w:numPr>
          <w:ilvl w:val="0"/>
          <w:numId w:val="2"/>
        </w:numPr>
        <w:spacing w:after="100" w:lineRule="auto"/>
        <w:ind w:left="400" w:hanging="260"/>
        <w:rPr>
          <w:sz w:val="20"/>
          <w:szCs w:val="20"/>
        </w:rPr>
      </w:pPr>
      <w:r>
        <w:rPr>
          <w:rFonts w:ascii="Malgun Gothic" w:cs="Malgun Gothic" w:eastAsia="Malgun Gothic" w:hAnsi="Malgun Gothic"/>
          <w:b w:val="0"/>
          <w:bCs w:val="0"/>
          <w:sz w:val="20"/>
          <w:szCs w:val="20"/>
          <w:rtl w:val="0"/>
        </w:rPr>
        <w:t xml:space="preserve">계산 엔진은 하나의 소스로 관리하고 교차 리뷰한다. 요구사항정의서 · WBS · 화면설계서는 같은 기준으로 동기화한다.</w:t>
      </w:r>
      <w:r>
        <w:rPr>
          <w:rtl w:val="0"/>
        </w:rPr>
      </w:r>
    </w:p>
    <w:p w:rsidR="00000000" w:rsidDel="00000000" w:rsidP="00000000" w:rsidRDefault="00000000" w:rsidRPr="00000000" w14:paraId="00000240">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추진 일정</w:t>
      </w:r>
    </w:p>
    <w:tbl>
      <w:tblPr>
        <w:tblStyle w:val="Table28"/>
        <w:tblW w:w="9925.0" w:type="dxa"/>
        <w:jc w:val="left"/>
        <w:tblLayout w:type="fixed"/>
        <w:tblLook w:val="0600"/>
      </w:tblPr>
      <w:tblGrid>
        <w:gridCol w:w="1300"/>
        <w:gridCol w:w="2300"/>
        <w:gridCol w:w="6325"/>
        <w:tblGridChange w:id="0">
          <w:tblGrid>
            <w:gridCol w:w="1300"/>
            <w:gridCol w:w="2300"/>
            <w:gridCol w:w="6325"/>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241">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주차</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242">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기간</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243">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주요 작업 · 산출물</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44">
            <w:pPr>
              <w:widowControl w:val="0"/>
              <w:spacing w:after="60" w:line="264" w:lineRule="auto"/>
              <w:jc w:val="center"/>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1주</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45">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09.28 ~ 10.02</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46">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요구사항 정의서, WBS</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47">
            <w:pPr>
              <w:widowControl w:val="0"/>
              <w:spacing w:after="60" w:line="264" w:lineRule="auto"/>
              <w:jc w:val="center"/>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2주</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48">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10.06 ~ 10.08</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49">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프로젝트 기획서, 화면설계서, 수집 데이터 보고서</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4A">
            <w:pPr>
              <w:widowControl w:val="0"/>
              <w:spacing w:after="60" w:line="264" w:lineRule="auto"/>
              <w:jc w:val="center"/>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3주</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4B">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10.12 ~ 10.16</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4C">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v5 기획(10/14 에이전트 재구성 · MVP 재정의) · 화면 프로토타입, 공공 데이터 수집(가계동향 · 상가정보) · 검수 · 전처리 착수, DB 설계 착수, CODEF 연동 준비, 비율 · 회귀 학습 자료 · 복지/대출 데이터 범위 확인, 중간 발표(10/16)</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4D">
            <w:pPr>
              <w:widowControl w:val="0"/>
              <w:spacing w:after="60" w:line="264" w:lineRule="auto"/>
              <w:jc w:val="center"/>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4주</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4E">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10.19 ~ 10.23</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4F">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전처리 · DB 설계 완료, 분류 · 비율 기준선, React 초기 설정 · 온보딩 · 추천 예산 화면, 라우터 · 통합 챗봇 골격, 회원 · CODEF 연결 화면</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50">
            <w:pPr>
              <w:widowControl w:val="0"/>
              <w:spacing w:after="60" w:line="264" w:lineRule="auto"/>
              <w:jc w:val="center"/>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5주</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51">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10.26 ~ 10.30</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52">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(1차) 예산 설계 → 초안 조정 → 승인, 평소 조정 · 엔진 검수, 거래 분류 에이전트, 챗봇 소비 분석, 홈 · 머니 쿠션 / 카드 OCR 검증</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53">
            <w:pPr>
              <w:widowControl w:val="0"/>
              <w:spacing w:after="60" w:line="264" w:lineRule="auto"/>
              <w:jc w:val="center"/>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6주</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54">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11.02 ~ 11.06</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55">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1차 MVP 통합 점검(핵심 흐름 E2E), 단일 LLM 비교 · 재생성 평가, 실제 거래 분류 평가 / (2차) 돌발 · 초과 감지 → 예산 조정, 소비 분석 화면 · 알림, 또래 회귀 / (3차) 큰 지출 상담 착수</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56">
            <w:pPr>
              <w:widowControl w:val="0"/>
              <w:spacing w:after="60" w:line="264" w:lineRule="auto"/>
              <w:jc w:val="center"/>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7주</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57">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11.09 ~ 11.13</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58">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(3차) 큰 지출 상담(복지 검색 · 대출 비교), 통합 테스트(모드별 검수 · 사용자 승인 · 복지/대출 동의) · 결함 수정 우선</w:t>
            </w:r>
          </w:p>
        </w:tc>
      </w:tr>
      <w:tr>
        <w:trPr>
          <w:cantSplit w:val="1"/>
          <w:tblHeader w:val="0"/>
        </w:trPr>
        <w:tc>
          <w:tcPr>
            <w:tcBorders>
              <w:top w:color="0b57d0" w:space="0" w:sz="4" w:val="single"/>
              <w:left w:color="000000" w:space="0" w:sz="0" w:val="nil"/>
              <w:bottom w:color="0b57d0" w:space="0" w:sz="12" w:val="single"/>
              <w:right w:color="0b57d0" w:space="0" w:sz="4" w:val="single"/>
            </w:tcBorders>
            <w:vAlign w:val="center"/>
          </w:tcPr>
          <w:p w:rsidR="00000000" w:rsidDel="00000000" w:rsidP="00000000" w:rsidRDefault="00000000" w:rsidRPr="00000000" w14:paraId="00000259">
            <w:pPr>
              <w:widowControl w:val="0"/>
              <w:spacing w:after="60" w:line="264" w:lineRule="auto"/>
              <w:jc w:val="center"/>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8주</w:t>
            </w:r>
          </w:p>
        </w:tc>
        <w:tc>
          <w:tcPr>
            <w:tcBorders>
              <w:top w:color="0b57d0" w:space="0" w:sz="4" w:val="single"/>
              <w:left w:color="0b57d0" w:space="0" w:sz="4" w:val="single"/>
              <w:bottom w:color="0b57d0" w:space="0" w:sz="12" w:val="single"/>
              <w:right w:color="0b57d0" w:space="0" w:sz="4" w:val="single"/>
            </w:tcBorders>
            <w:vAlign w:val="center"/>
          </w:tcPr>
          <w:p w:rsidR="00000000" w:rsidDel="00000000" w:rsidP="00000000" w:rsidRDefault="00000000" w:rsidRPr="00000000" w14:paraId="0000025A">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11.16 ~ 11.20</w:t>
            </w:r>
          </w:p>
        </w:tc>
        <w:tc>
          <w:tcPr>
            <w:tcBorders>
              <w:top w:color="0b57d0" w:space="0" w:sz="4" w:val="single"/>
              <w:left w:color="0b57d0" w:space="0" w:sz="4" w:val="single"/>
              <w:bottom w:color="0b57d0" w:space="0" w:sz="12" w:val="single"/>
              <w:right w:color="000000" w:space="0" w:sz="0" w:val="nil"/>
            </w:tcBorders>
            <w:vAlign w:val="center"/>
          </w:tcPr>
          <w:p w:rsidR="00000000" w:rsidDel="00000000" w:rsidP="00000000" w:rsidRDefault="00000000" w:rsidRPr="00000000" w14:paraId="0000025B">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모바일 웹 최종 배포 · 시연 영상 · 발표 (11/20). 앱 · 후순위 기능은 완료 범위에서 제외</w:t>
            </w:r>
          </w:p>
        </w:tc>
      </w:tr>
    </w:tbl>
    <w:p w:rsidR="00000000" w:rsidDel="00000000" w:rsidP="00000000" w:rsidRDefault="00000000" w:rsidRPr="00000000" w14:paraId="0000025C">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25D">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참고 자료</w:t>
      </w:r>
    </w:p>
    <w:p w:rsidR="00000000" w:rsidDel="00000000" w:rsidP="00000000" w:rsidRDefault="00000000" w:rsidRPr="00000000" w14:paraId="0000025E">
      <w:pPr>
        <w:keepNext w:val="1"/>
        <w:widowControl w:val="0"/>
        <w:spacing w:after="100" w:before="100"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시장조사</w:t>
      </w:r>
    </w:p>
    <w:p w:rsidR="00000000" w:rsidDel="00000000" w:rsidP="00000000" w:rsidRDefault="00000000" w:rsidRPr="00000000" w14:paraId="0000025F">
      <w:pPr>
        <w:widowControl w:val="0"/>
        <w:spacing w:after="100" w:lineRule="auto"/>
        <w:rPr>
          <w:rFonts w:ascii="Malgun Gothic" w:cs="Malgun Gothic" w:eastAsia="Malgun Gothic" w:hAnsi="Malgun Gothic"/>
          <w:b w:val="0"/>
          <w:bCs w:val="0"/>
          <w:sz w:val="16"/>
          <w:szCs w:val="16"/>
        </w:rPr>
      </w:pPr>
      <w:hyperlink r:id="rId10">
        <w:r>
          <w:rPr>
            <w:rFonts w:ascii="Malgun Gothic" w:cs="Malgun Gothic" w:eastAsia="Malgun Gothic" w:hAnsi="Malgun Gothic"/>
            <w:b w:val="0"/>
            <w:bCs w:val="0"/>
            <w:color w:val="0b57d0"/>
            <w:sz w:val="16"/>
            <w:szCs w:val="16"/>
            <w:u w:val="single"/>
            <w:rtl w:val="0"/>
          </w:rPr>
          <w:t xml:space="preserve">[1] 디지털타임스, 한은·금감원 「2024 전국민 금융이해력 조사」 결과 (2025. 4. 29.)</w:t>
        </w:r>
      </w:hyperlink>
      <w:r>
        <w:rPr>
          <w:rtl w:val="0"/>
        </w:rPr>
      </w:r>
    </w:p>
    <w:p w:rsidR="00000000" w:rsidDel="00000000" w:rsidP="00000000" w:rsidRDefault="00000000" w:rsidRPr="00000000" w14:paraId="00000260">
      <w:pPr>
        <w:keepNext w:val="1"/>
        <w:widowControl w:val="0"/>
        <w:spacing w:after="100" w:before="100"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유사 서비스 (확인일 2026. 10. 15.)</w:t>
      </w:r>
    </w:p>
    <w:p w:rsidR="00000000" w:rsidDel="00000000" w:rsidP="00000000" w:rsidRDefault="00000000" w:rsidRPr="00000000" w14:paraId="00000261">
      <w:pPr>
        <w:widowControl w:val="0"/>
        <w:spacing w:after="100" w:lineRule="auto"/>
        <w:rPr>
          <w:rFonts w:ascii="Malgun Gothic" w:cs="Malgun Gothic" w:eastAsia="Malgun Gothic" w:hAnsi="Malgun Gothic"/>
          <w:b w:val="0"/>
          <w:bCs w:val="0"/>
          <w:sz w:val="16"/>
          <w:szCs w:val="16"/>
        </w:rPr>
      </w:pPr>
      <w:hyperlink r:id="rId11">
        <w:r>
          <w:rPr>
            <w:rFonts w:ascii="Malgun Gothic" w:cs="Malgun Gothic" w:eastAsia="Malgun Gothic" w:hAnsi="Malgun Gothic"/>
            <w:b w:val="0"/>
            <w:bCs w:val="0"/>
            <w:color w:val="0b57d0"/>
            <w:sz w:val="16"/>
            <w:szCs w:val="16"/>
            <w:u w:val="single"/>
            <w:rtl w:val="0"/>
          </w:rPr>
          <w:t xml:space="preserve">[S1] 토스 공식 홈페이지 자산 관리 안내</w:t>
        </w:r>
      </w:hyperlink>
      <w:r>
        <w:rPr>
          <w:rtl w:val="0"/>
        </w:rPr>
      </w:r>
    </w:p>
    <w:p w:rsidR="00000000" w:rsidDel="00000000" w:rsidP="00000000" w:rsidRDefault="00000000" w:rsidRPr="00000000" w14:paraId="00000262">
      <w:pPr>
        <w:widowControl w:val="0"/>
        <w:spacing w:after="100" w:lineRule="auto"/>
        <w:rPr>
          <w:rFonts w:ascii="Malgun Gothic" w:cs="Malgun Gothic" w:eastAsia="Malgun Gothic" w:hAnsi="Malgun Gothic"/>
          <w:b w:val="0"/>
          <w:bCs w:val="0"/>
          <w:sz w:val="16"/>
          <w:szCs w:val="16"/>
        </w:rPr>
      </w:pPr>
      <w:hyperlink r:id="rId12">
        <w:r>
          <w:rPr>
            <w:rFonts w:ascii="Malgun Gothic" w:cs="Malgun Gothic" w:eastAsia="Malgun Gothic" w:hAnsi="Malgun Gothic"/>
            <w:b w:val="0"/>
            <w:bCs w:val="0"/>
            <w:color w:val="0b57d0"/>
            <w:sz w:val="16"/>
            <w:szCs w:val="16"/>
            <w:u w:val="single"/>
            <w:rtl w:val="0"/>
          </w:rPr>
          <w:t xml:space="preserve">[S2] 뱅크샐러드 공식 고객센터 월간 소비 리포트 안내</w:t>
        </w:r>
      </w:hyperlink>
      <w:r>
        <w:rPr>
          <w:rtl w:val="0"/>
        </w:rPr>
      </w:r>
    </w:p>
    <w:p w:rsidR="00000000" w:rsidDel="00000000" w:rsidP="00000000" w:rsidRDefault="00000000" w:rsidRPr="00000000" w14:paraId="00000264">
      <w:pPr>
        <w:keepNext w:val="1"/>
        <w:widowControl w:val="0"/>
        <w:spacing w:after="100" w:before="100"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데이터 · API</w:t>
      </w:r>
    </w:p>
    <w:p w:rsidR="00000000" w:rsidDel="00000000" w:rsidP="00000000" w:rsidRDefault="00000000" w:rsidRPr="00000000" w14:paraId="00000265">
      <w:pPr>
        <w:widowControl w:val="0"/>
        <w:spacing w:after="100" w:lineRule="auto"/>
        <w:rPr>
          <w:rFonts w:ascii="Malgun Gothic" w:cs="Malgun Gothic" w:eastAsia="Malgun Gothic" w:hAnsi="Malgun Gothic"/>
          <w:b w:val="0"/>
          <w:bCs w:val="0"/>
          <w:sz w:val="16"/>
          <w:szCs w:val="16"/>
        </w:rPr>
      </w:pPr>
      <w:hyperlink r:id="rId14">
        <w:r>
          <w:rPr>
            <w:rFonts w:ascii="Malgun Gothic" w:cs="Malgun Gothic" w:eastAsia="Malgun Gothic" w:hAnsi="Malgun Gothic"/>
            <w:b w:val="0"/>
            <w:bCs w:val="0"/>
            <w:color w:val="0b57d0"/>
            <w:sz w:val="16"/>
            <w:szCs w:val="16"/>
            <w:u w:val="single"/>
            <w:rtl w:val="0"/>
          </w:rPr>
          <w:t xml:space="preserve">[D1] CODEF 개발자 센터 – 금융 거래 API (계좌 API)</w:t>
        </w:r>
      </w:hyperlink>
      <w:r>
        <w:rPr>
          <w:rtl w:val="0"/>
        </w:rPr>
      </w:r>
    </w:p>
    <w:p w:rsidR="00000000" w:rsidDel="00000000" w:rsidP="00000000" w:rsidRDefault="00000000" w:rsidRPr="00000000" w14:paraId="00000266">
      <w:pPr>
        <w:widowControl w:val="0"/>
        <w:spacing w:after="100" w:lineRule="auto"/>
        <w:rPr>
          <w:rFonts w:ascii="Malgun Gothic" w:cs="Malgun Gothic" w:eastAsia="Malgun Gothic" w:hAnsi="Malgun Gothic"/>
          <w:b w:val="0"/>
          <w:bCs w:val="0"/>
          <w:sz w:val="16"/>
          <w:szCs w:val="16"/>
        </w:rPr>
      </w:pPr>
      <w:hyperlink r:id="rId15">
        <w:r>
          <w:rPr>
            <w:rFonts w:ascii="Malgun Gothic" w:cs="Malgun Gothic" w:eastAsia="Malgun Gothic" w:hAnsi="Malgun Gothic"/>
            <w:b w:val="0"/>
            <w:bCs w:val="0"/>
            <w:color w:val="0b57d0"/>
            <w:sz w:val="16"/>
            <w:szCs w:val="16"/>
            <w:u w:val="single"/>
            <w:rtl w:val="0"/>
          </w:rPr>
          <w:t xml:space="preserve">[D2] CODEF 개발자 센터 – 금융 거래 API (카드 API)</w:t>
        </w:r>
      </w:hyperlink>
      <w:r>
        <w:rPr>
          <w:rtl w:val="0"/>
        </w:rPr>
      </w:r>
    </w:p>
    <w:p w:rsidR="00000000" w:rsidDel="00000000" w:rsidP="00000000" w:rsidRDefault="00000000" w:rsidRPr="00000000" w14:paraId="00000267">
      <w:pPr>
        <w:widowControl w:val="0"/>
        <w:spacing w:after="100" w:lineRule="auto"/>
        <w:rPr>
          <w:rFonts w:ascii="Malgun Gothic" w:cs="Malgun Gothic" w:eastAsia="Malgun Gothic" w:hAnsi="Malgun Gothic"/>
          <w:b w:val="0"/>
          <w:bCs w:val="0"/>
          <w:sz w:val="16"/>
          <w:szCs w:val="16"/>
        </w:rPr>
      </w:pPr>
      <w:hyperlink r:id="rId16">
        <w:r>
          <w:rPr>
            <w:rFonts w:ascii="Malgun Gothic" w:cs="Malgun Gothic" w:eastAsia="Malgun Gothic" w:hAnsi="Malgun Gothic"/>
            <w:b w:val="0"/>
            <w:bCs w:val="0"/>
            <w:color w:val="0b57d0"/>
            <w:sz w:val="16"/>
            <w:szCs w:val="16"/>
            <w:u w:val="single"/>
            <w:rtl w:val="0"/>
          </w:rPr>
          <w:t xml:space="preserve">[D3] 공공데이터포털 – 소상공인시장진흥공단 상가(상권)정보</w:t>
        </w:r>
      </w:hyperlink>
      <w:r>
        <w:rPr>
          <w:rtl w:val="0"/>
        </w:rPr>
      </w:r>
    </w:p>
    <w:p w:rsidR="00000000" w:rsidDel="00000000" w:rsidP="00000000" w:rsidRDefault="00000000" w:rsidRPr="00000000" w14:paraId="00000268">
      <w:pPr>
        <w:widowControl w:val="0"/>
        <w:spacing w:after="100" w:lineRule="auto"/>
        <w:rPr>
          <w:rFonts w:ascii="Malgun Gothic" w:cs="Malgun Gothic" w:eastAsia="Malgun Gothic" w:hAnsi="Malgun Gothic"/>
          <w:b w:val="0"/>
          <w:bCs w:val="0"/>
          <w:sz w:val="16"/>
          <w:szCs w:val="16"/>
        </w:rPr>
      </w:pPr>
      <w:hyperlink r:id="rId17">
        <w:r>
          <w:rPr>
            <w:rFonts w:ascii="Malgun Gothic" w:cs="Malgun Gothic" w:eastAsia="Malgun Gothic" w:hAnsi="Malgun Gothic"/>
            <w:b w:val="0"/>
            <w:bCs w:val="0"/>
            <w:color w:val="0b57d0"/>
            <w:sz w:val="16"/>
            <w:szCs w:val="16"/>
            <w:u w:val="single"/>
            <w:rtl w:val="0"/>
          </w:rPr>
          <w:t xml:space="preserve">[D4] AI Hub – 금융 합성 데이터</w:t>
        </w:r>
      </w:hyperlink>
      <w:r>
        <w:rPr>
          <w:rtl w:val="0"/>
        </w:rPr>
      </w:r>
    </w:p>
    <w:p w:rsidR="00000000" w:rsidDel="00000000" w:rsidP="00000000" w:rsidRDefault="00000000" w:rsidRPr="00000000" w14:paraId="00000269">
      <w:pPr>
        <w:widowControl w:val="0"/>
        <w:spacing w:after="100" w:lineRule="auto"/>
        <w:rPr>
          <w:rFonts w:ascii="Malgun Gothic" w:cs="Malgun Gothic" w:eastAsia="Malgun Gothic" w:hAnsi="Malgun Gothic"/>
          <w:b w:val="0"/>
          <w:bCs w:val="0"/>
          <w:sz w:val="16"/>
          <w:szCs w:val="16"/>
        </w:rPr>
      </w:pPr>
      <w:hyperlink r:id="rId18">
        <w:r>
          <w:rPr>
            <w:rFonts w:ascii="Malgun Gothic" w:cs="Malgun Gothic" w:eastAsia="Malgun Gothic" w:hAnsi="Malgun Gothic"/>
            <w:b w:val="0"/>
            <w:bCs w:val="0"/>
            <w:color w:val="0b57d0"/>
            <w:sz w:val="16"/>
            <w:szCs w:val="16"/>
            <w:u w:val="single"/>
            <w:rtl w:val="0"/>
          </w:rPr>
          <w:t xml:space="preserve">[D5] KOSIS – 가계동향조사 / OpenAPI 안내</w:t>
        </w:r>
      </w:hyperlink>
      <w:r>
        <w:rPr>
          <w:rtl w:val="0"/>
        </w:rPr>
      </w:r>
    </w:p>
    <w:p w:rsidR="00000000" w:rsidDel="00000000" w:rsidP="00000000" w:rsidRDefault="00000000" w:rsidRPr="00000000" w14:paraId="0000026A">
      <w:pPr>
        <w:widowControl w:val="0"/>
        <w:spacing w:after="100" w:lineRule="auto"/>
        <w:rPr>
          <w:rFonts w:ascii="Malgun Gothic" w:cs="Malgun Gothic" w:eastAsia="Malgun Gothic" w:hAnsi="Malgun Gothic"/>
          <w:b w:val="0"/>
          <w:bCs w:val="0"/>
          <w:sz w:val="16"/>
          <w:szCs w:val="16"/>
        </w:rPr>
      </w:pPr>
      <w:hyperlink r:id="rId19">
        <w:r>
          <w:rPr>
            <w:rFonts w:ascii="Malgun Gothic" w:cs="Malgun Gothic" w:eastAsia="Malgun Gothic" w:hAnsi="Malgun Gothic"/>
            <w:b w:val="0"/>
            <w:bCs w:val="0"/>
            <w:color w:val="0b57d0"/>
            <w:sz w:val="16"/>
            <w:szCs w:val="16"/>
            <w:u w:val="single"/>
            <w:rtl w:val="0"/>
          </w:rPr>
          <w:t xml:space="preserve">[D6] Google Calendar API – 증분 동기화 가이드 (후순위 기능)</w:t>
        </w:r>
      </w:hyperlink>
      <w:r>
        <w:rPr>
          <w:rtl w:val="0"/>
        </w:rPr>
      </w:r>
    </w:p>
    <w:p w:rsidR="00000000" w:rsidDel="00000000" w:rsidP="00000000" w:rsidRDefault="00000000" w:rsidRPr="00000000" w14:paraId="0000026B">
      <w:pPr>
        <w:widowControl w:val="0"/>
        <w:spacing w:after="100" w:lineRule="auto"/>
        <w:rPr>
          <w:rFonts w:ascii="Malgun Gothic" w:cs="Malgun Gothic" w:eastAsia="Malgun Gothic" w:hAnsi="Malgun Gothic"/>
          <w:b w:val="0"/>
          <w:bCs w:val="0"/>
          <w:sz w:val="16"/>
          <w:szCs w:val="16"/>
        </w:rPr>
      </w:pPr>
      <w:hyperlink r:id="rId20">
        <w:r>
          <w:rPr>
            <w:rFonts w:ascii="Malgun Gothic" w:cs="Malgun Gothic" w:eastAsia="Malgun Gothic" w:hAnsi="Malgun Gothic"/>
            <w:b w:val="0"/>
            <w:bCs w:val="0"/>
            <w:color w:val="0b57d0"/>
            <w:sz w:val="16"/>
            <w:szCs w:val="16"/>
            <w:u w:val="single"/>
            <w:rtl w:val="0"/>
          </w:rPr>
          <w:t xml:space="preserve">[D7] 온통청년 청년정책 Open API 안내 (후순위 기능)</w:t>
        </w:r>
      </w:hyperlink>
      <w:r>
        <w:rPr>
          <w:rtl w:val="0"/>
        </w:rPr>
      </w:r>
    </w:p>
    <w:p w:rsidR="00000000" w:rsidDel="00000000" w:rsidP="00000000" w:rsidRDefault="00000000" w:rsidRPr="00000000" w14:paraId="0000026C">
      <w:pPr>
        <w:spacing w:after="100" w:lineRule="auto"/>
        <w:rPr/>
      </w:pPr>
      <w:sdt>
        <w:sdtPr>
          <w:id w:val="-685623467"/>
          <w:tag w:val="goog_rdk_7"/>
        </w:sdtPr>
        <w:sdtContent>
          <w:r>
            <w:rPr>
              <w:rFonts w:ascii="Arial Unicode MS" w:cs="Arial Unicode MS" w:eastAsia="Arial Unicode MS" w:hAnsi="Arial Unicode MS"/>
              <w:sz w:val="18"/>
              <w:szCs w:val="18"/>
              <w:rtl w:val="0"/>
            </w:rPr>
            <w:t xml:space="preserve">[D8] 2025년 4분기 및 연간 지출 가계동향조사 (확인 2026. 10. 13.)</w:t>
          </w:r>
        </w:sdtContent>
      </w:sdt>
      <w:r>
        <w:rPr>
          <w:rtl w:val="0"/>
        </w:rPr>
      </w:r>
    </w:p>
    <w:p w:rsidR="00000000" w:rsidDel="00000000" w:rsidP="00000000" w:rsidRDefault="00000000" w:rsidRPr="00000000" w14:paraId="0000026D">
      <w:pPr>
        <w:spacing w:after="100" w:lineRule="auto"/>
        <w:rPr/>
      </w:pPr>
      <w:r>
        <w:rPr>
          <w:sz w:val="16"/>
          <w:szCs w:val="16"/>
          <w:rtl w:val="0"/>
        </w:rPr>
        <w:t xml:space="preserve">https://sri.kostat.go.kr/boardDownload.es?bid=214&amp;list_no=443727&amp;seq=1</w:t>
      </w:r>
      <w:r>
        <w:rPr>
          <w:rtl w:val="0"/>
        </w:rPr>
      </w:r>
    </w:p>
    <w:p w:rsidR="00000000" w:rsidDel="00000000" w:rsidP="00000000" w:rsidRDefault="00000000" w:rsidRPr="00000000" w14:paraId="0000026E">
      <w:pPr>
        <w:spacing w:after="100" w:lineRule="auto"/>
        <w:rPr/>
      </w:pPr>
      <w:sdt>
        <w:sdtPr>
          <w:id w:val="-526320489"/>
          <w:tag w:val="goog_rdk_8"/>
        </w:sdtPr>
        <w:sdtContent>
          <w:r>
            <w:rPr>
              <w:rFonts w:ascii="Arial Unicode MS" w:cs="Arial Unicode MS" w:eastAsia="Arial Unicode MS" w:hAnsi="Arial Unicode MS"/>
              <w:sz w:val="18"/>
              <w:szCs w:val="18"/>
              <w:rtl w:val="0"/>
            </w:rPr>
            <w:t xml:space="preserve">[D9] TypeSafe Jev API reference (확인 2026. 10. 13.)</w:t>
          </w:r>
        </w:sdtContent>
      </w:sdt>
      <w:r>
        <w:rPr>
          <w:rtl w:val="0"/>
        </w:rPr>
      </w:r>
    </w:p>
    <w:p w:rsidR="00000000" w:rsidDel="00000000" w:rsidP="00000000" w:rsidRDefault="00000000" w:rsidRPr="00000000" w14:paraId="0000026F">
      <w:pPr>
        <w:spacing w:after="100" w:lineRule="auto"/>
        <w:rPr/>
      </w:pPr>
      <w:r>
        <w:rPr>
          <w:sz w:val="16"/>
          <w:szCs w:val="16"/>
          <w:rtl w:val="0"/>
        </w:rPr>
        <w:t xml:space="preserve">https://docs.typesafe.ai/api</w:t>
      </w:r>
      <w:r>
        <w:rPr>
          <w:rtl w:val="0"/>
        </w:rPr>
      </w:r>
    </w:p>
    <w:p w:rsidR="00000000" w:rsidDel="00000000" w:rsidP="00000000" w:rsidRDefault="00000000" w:rsidRPr="00000000" w14:paraId="00000270">
      <w:pPr>
        <w:spacing w:after="100" w:lineRule="auto"/>
        <w:rPr/>
      </w:pPr>
      <w:sdt>
        <w:sdtPr>
          <w:id w:val="790011214"/>
          <w:tag w:val="goog_rdk_9"/>
        </w:sdtPr>
        <w:sdtContent>
          <w:r>
            <w:rPr>
              <w:rFonts w:ascii="Arial Unicode MS" w:cs="Arial Unicode MS" w:eastAsia="Arial Unicode MS" w:hAnsi="Arial Unicode MS"/>
              <w:sz w:val="18"/>
              <w:szCs w:val="18"/>
              <w:rtl w:val="0"/>
            </w:rPr>
            <w:t xml:space="preserve">[D10] 카카오 로컬 API 개발 가이드 (확인 2026. 10. 13.)</w:t>
          </w:r>
        </w:sdtContent>
      </w:sdt>
      <w:r>
        <w:rPr>
          <w:rtl w:val="0"/>
        </w:rPr>
      </w:r>
    </w:p>
    <w:p w:rsidR="00000000" w:rsidDel="00000000" w:rsidP="00000000" w:rsidRDefault="00000000" w:rsidRPr="00000000" w14:paraId="00000271">
      <w:pPr>
        <w:spacing w:after="100" w:lineRule="auto"/>
        <w:rPr/>
      </w:pPr>
      <w:r>
        <w:rPr>
          <w:sz w:val="16"/>
          <w:szCs w:val="16"/>
          <w:rtl w:val="0"/>
        </w:rPr>
        <w:t xml:space="preserve">https://developers.kakao.com/docs/ko/local/dev-guide</w:t>
      </w:r>
      <w:r>
        <w:rPr>
          <w:rtl w:val="0"/>
        </w:rPr>
      </w:r>
    </w:p>
    <w:p w:rsidR="00000000" w:rsidDel="00000000" w:rsidP="00000000" w:rsidRDefault="00000000" w:rsidRPr="00000000" w14:paraId="00000272">
      <w:pPr>
        <w:spacing w:after="100" w:lineRule="auto"/>
        <w:rPr/>
      </w:pPr>
      <w:sdt>
        <w:sdtPr>
          <w:id w:val="-1191708377"/>
          <w:tag w:val="goog_rdk_10"/>
        </w:sdtPr>
        <w:sdtContent>
          <w:r>
            <w:rPr>
              <w:rFonts w:ascii="Arial Unicode MS" w:cs="Arial Unicode MS" w:eastAsia="Arial Unicode MS" w:hAnsi="Arial Unicode MS"/>
              <w:sz w:val="18"/>
              <w:szCs w:val="18"/>
              <w:rtl w:val="0"/>
            </w:rPr>
            <w:t xml:space="preserve">[D11] CLOVA OCR 신용카드 API (확인 2026. 10. 13.)</w:t>
          </w:r>
        </w:sdtContent>
      </w:sdt>
      <w:r>
        <w:rPr>
          <w:rtl w:val="0"/>
        </w:rPr>
      </w:r>
    </w:p>
    <w:p w:rsidR="00000000" w:rsidDel="00000000" w:rsidP="00000000" w:rsidRDefault="00000000" w:rsidRPr="00000000" w14:paraId="00000273">
      <w:pPr>
        <w:spacing w:after="100" w:lineRule="auto"/>
        <w:rPr/>
      </w:pPr>
      <w:r>
        <w:rPr>
          <w:sz w:val="16"/>
          <w:szCs w:val="16"/>
          <w:rtl w:val="0"/>
        </w:rPr>
        <w:t xml:space="preserve">https://api.ncloud-docs.com/docs/ai-application-service-ocr-ocrdocumentocr-creditcard</w:t>
      </w:r>
      <w:r>
        <w:rPr>
          <w:rtl w:val="0"/>
        </w:rPr>
      </w:r>
    </w:p>
    <w:p w:rsidR="00000000" w:rsidDel="00000000" w:rsidP="00000000" w:rsidRDefault="00000000" w:rsidRPr="00000000" w14:paraId="00000274">
      <w:pPr>
        <w:spacing w:after="100" w:lineRule="auto"/>
        <w:rPr/>
      </w:pPr>
      <w:sdt>
        <w:sdtPr>
          <w:id w:val="-381804160"/>
          <w:tag w:val="goog_rdk_11"/>
        </w:sdtPr>
        <w:sdtContent>
          <w:r>
            <w:rPr>
              <w:rFonts w:ascii="Arial Unicode MS" w:cs="Arial Unicode MS" w:eastAsia="Arial Unicode MS" w:hAnsi="Arial Unicode MS"/>
              <w:sz w:val="18"/>
              <w:szCs w:val="18"/>
              <w:rtl w:val="0"/>
            </w:rPr>
            <w:t xml:space="preserve">[D12] Visa BIN Attribute Sharing Service (확인 2026. 10. 13.)</w:t>
          </w:r>
        </w:sdtContent>
      </w:sdt>
      <w:r>
        <w:rPr>
          <w:rtl w:val="0"/>
        </w:rPr>
      </w:r>
    </w:p>
    <w:p w:rsidR="00000000" w:rsidDel="00000000" w:rsidP="00000000" w:rsidRDefault="00000000" w:rsidRPr="00000000" w14:paraId="00000275">
      <w:pPr>
        <w:spacing w:after="100" w:lineRule="auto"/>
        <w:rPr/>
      </w:pPr>
      <w:r>
        <w:rPr>
          <w:sz w:val="16"/>
          <w:szCs w:val="16"/>
          <w:rtl w:val="0"/>
        </w:rPr>
        <w:t xml:space="preserve">https://developer.visa.com/capabilities/visa-bin-attribute-sharing-service</w:t>
      </w:r>
      <w:r>
        <w:rPr>
          <w:rtl w:val="0"/>
        </w:rPr>
      </w:r>
    </w:p>
    <w:p w:rsidR="00000000" w:rsidDel="00000000" w:rsidP="00000000" w:rsidRDefault="00000000" w:rsidRPr="00000000" w14:paraId="00000276">
      <w:pPr>
        <w:spacing w:after="100" w:lineRule="auto"/>
        <w:rPr/>
      </w:pPr>
      <w:sdt>
        <w:sdtPr>
          <w:id w:val="-454954784"/>
          <w:tag w:val="goog_rdk_12"/>
        </w:sdtPr>
        <w:sdtContent>
          <w:r>
            <w:rPr>
              <w:rFonts w:ascii="Arial Unicode MS" w:cs="Arial Unicode MS" w:eastAsia="Arial Unicode MS" w:hAnsi="Arial Unicode MS"/>
              <w:sz w:val="18"/>
              <w:szCs w:val="18"/>
              <w:rtl w:val="0"/>
            </w:rPr>
            <w:t xml:space="preserve">[D13] React Native Core Components (확인 2026. 10. 13.)</w:t>
          </w:r>
        </w:sdtContent>
      </w:sdt>
      <w:r>
        <w:rPr>
          <w:rtl w:val="0"/>
        </w:rPr>
      </w:r>
    </w:p>
    <w:p w:rsidR="00000000" w:rsidDel="00000000" w:rsidP="00000000" w:rsidRDefault="00000000" w:rsidRPr="00000000" w14:paraId="00000277">
      <w:pPr>
        <w:spacing w:after="100" w:lineRule="auto"/>
        <w:rPr/>
      </w:pPr>
      <w:r>
        <w:rPr>
          <w:sz w:val="16"/>
          <w:szCs w:val="16"/>
          <w:rtl w:val="0"/>
        </w:rPr>
        <w:t xml:space="preserve">https://reactnative.dev/docs/intro-react-native-components</w:t>
      </w:r>
      <w:r>
        <w:rPr>
          <w:rtl w:val="0"/>
        </w:rPr>
      </w:r>
    </w:p>
    <w:p w:rsidR="00000000" w:rsidDel="00000000" w:rsidP="00000000" w:rsidRDefault="00000000" w:rsidRPr="00000000" w14:paraId="00000278">
      <w:pPr>
        <w:spacing w:after="100" w:lineRule="auto"/>
        <w:rPr/>
      </w:pPr>
      <w:sdt>
        <w:sdtPr>
          <w:id w:val="-1808368396"/>
          <w:tag w:val="goog_rdk_13"/>
        </w:sdtPr>
        <w:sdtContent>
          <w:r>
            <w:rPr>
              <w:rFonts w:ascii="Arial Unicode MS" w:cs="Arial Unicode MS" w:eastAsia="Arial Unicode MS" w:hAnsi="Arial Unicode MS"/>
              <w:sz w:val="18"/>
              <w:szCs w:val="18"/>
              <w:rtl w:val="0"/>
            </w:rPr>
            <w:t xml:space="preserve">[D14] 공공데이터포털 – 중앙부처 복지서비스 API (확인 2026. 10. 14.)</w:t>
          </w:r>
        </w:sdtContent>
      </w:sdt>
      <w:r>
        <w:rPr>
          <w:rtl w:val="0"/>
        </w:rPr>
      </w:r>
    </w:p>
    <w:p w:rsidR="00000000" w:rsidDel="00000000" w:rsidP="00000000" w:rsidRDefault="00000000" w:rsidRPr="00000000" w14:paraId="00000279">
      <w:pPr>
        <w:spacing w:after="100" w:lineRule="auto"/>
        <w:rPr/>
      </w:pPr>
      <w:r>
        <w:rPr>
          <w:sz w:val="16"/>
          <w:szCs w:val="16"/>
          <w:rtl w:val="0"/>
        </w:rPr>
        <w:t xml:space="preserve">https://www.data.go.kr/data/15090532/openapi.do</w:t>
      </w:r>
      <w:r>
        <w:rPr>
          <w:rtl w:val="0"/>
        </w:rPr>
      </w:r>
    </w:p>
    <w:p w:rsidR="00000000" w:rsidDel="00000000" w:rsidP="00000000" w:rsidRDefault="00000000" w:rsidRPr="00000000" w14:paraId="0000027A">
      <w:pPr>
        <w:spacing w:after="100" w:lineRule="auto"/>
        <w:rPr/>
      </w:pPr>
      <w:sdt>
        <w:sdtPr>
          <w:id w:val="-477680592"/>
          <w:tag w:val="goog_rdk_14"/>
        </w:sdtPr>
        <w:sdtContent>
          <w:r>
            <w:rPr>
              <w:rFonts w:ascii="Arial Unicode MS" w:cs="Arial Unicode MS" w:eastAsia="Arial Unicode MS" w:hAnsi="Arial Unicode MS"/>
              <w:sz w:val="18"/>
              <w:szCs w:val="18"/>
              <w:rtl w:val="0"/>
            </w:rPr>
            <w:t xml:space="preserve">[D15] 공공데이터포털 – 지자체 복지서비스 API (확인 2026. 10. 14.)</w:t>
          </w:r>
        </w:sdtContent>
      </w:sdt>
      <w:r>
        <w:rPr>
          <w:rtl w:val="0"/>
        </w:rPr>
      </w:r>
    </w:p>
    <w:p w:rsidR="00000000" w:rsidDel="00000000" w:rsidP="00000000" w:rsidRDefault="00000000" w:rsidRPr="00000000" w14:paraId="0000027B">
      <w:pPr>
        <w:spacing w:after="100" w:lineRule="auto"/>
        <w:rPr/>
      </w:pPr>
      <w:r>
        <w:rPr>
          <w:sz w:val="16"/>
          <w:szCs w:val="16"/>
          <w:rtl w:val="0"/>
        </w:rPr>
        <w:t xml:space="preserve">https://www.data.go.kr/data/15108347/openapi.do</w:t>
      </w:r>
      <w:r>
        <w:rPr>
          <w:rtl w:val="0"/>
        </w:rPr>
      </w:r>
    </w:p>
    <w:p w:rsidR="00000000" w:rsidDel="00000000" w:rsidP="00000000" w:rsidRDefault="00000000" w:rsidRPr="00000000" w14:paraId="0000027C">
      <w:pPr>
        <w:spacing w:after="100" w:lineRule="auto"/>
        <w:rPr/>
      </w:pPr>
      <w:sdt>
        <w:sdtPr>
          <w:id w:val="1179474236"/>
          <w:tag w:val="goog_rdk_15"/>
        </w:sdtPr>
        <w:sdtContent>
          <w:r>
            <w:rPr>
              <w:rFonts w:ascii="Arial Unicode MS" w:cs="Arial Unicode MS" w:eastAsia="Arial Unicode MS" w:hAnsi="Arial Unicode MS"/>
              <w:sz w:val="18"/>
              <w:szCs w:val="18"/>
              <w:rtl w:val="0"/>
            </w:rPr>
            <w:t xml:space="preserve">[D16] 공공데이터포털 – 대한민국 공공서비스 정보 API (확인 2026. 10. 14.)</w:t>
          </w:r>
        </w:sdtContent>
      </w:sdt>
      <w:r>
        <w:rPr>
          <w:rtl w:val="0"/>
        </w:rPr>
      </w:r>
    </w:p>
    <w:p w:rsidR="00000000" w:rsidDel="00000000" w:rsidP="00000000" w:rsidRDefault="00000000" w:rsidRPr="00000000" w14:paraId="0000027D">
      <w:pPr>
        <w:spacing w:after="100" w:lineRule="auto"/>
        <w:rPr/>
      </w:pPr>
      <w:r>
        <w:rPr>
          <w:sz w:val="16"/>
          <w:szCs w:val="16"/>
          <w:rtl w:val="0"/>
        </w:rPr>
        <w:t xml:space="preserve">https://www.data.go.kr/data/15113968/openapi.do</w:t>
      </w:r>
      <w:r>
        <w:rPr>
          <w:rtl w:val="0"/>
        </w:rPr>
      </w:r>
    </w:p>
    <w:p w:rsidR="00000000" w:rsidDel="00000000" w:rsidP="00000000" w:rsidRDefault="00000000" w:rsidRPr="00000000" w14:paraId="0000027E">
      <w:pPr>
        <w:spacing w:after="100" w:lineRule="auto"/>
        <w:rPr/>
      </w:pPr>
      <w:sdt>
        <w:sdtPr>
          <w:id w:val="141143230"/>
          <w:tag w:val="goog_rdk_16"/>
        </w:sdtPr>
        <w:sdtContent>
          <w:r>
            <w:rPr>
              <w:rFonts w:ascii="Arial Unicode MS" w:cs="Arial Unicode MS" w:eastAsia="Arial Unicode MS" w:hAnsi="Arial Unicode MS"/>
              <w:sz w:val="18"/>
              <w:szCs w:val="18"/>
              <w:rtl w:val="0"/>
            </w:rPr>
            <w:t xml:space="preserve">[D17] 금융감독원 금융상품 한눈에 (확인 2026. 10. 14.)</w:t>
          </w:r>
        </w:sdtContent>
      </w:sdt>
      <w:r>
        <w:rPr>
          <w:rtl w:val="0"/>
        </w:rPr>
      </w:r>
    </w:p>
    <w:p w:rsidR="00000000" w:rsidDel="00000000" w:rsidP="00000000" w:rsidRDefault="00000000" w:rsidRPr="00000000" w14:paraId="0000027F">
      <w:pPr>
        <w:spacing w:after="100" w:lineRule="auto"/>
        <w:rPr/>
      </w:pPr>
      <w:r>
        <w:rPr>
          <w:sz w:val="16"/>
          <w:szCs w:val="16"/>
          <w:rtl w:val="0"/>
        </w:rPr>
        <w:t xml:space="preserve">https://finlife.fss.or.kr/finlife/main/main.do?menuNo=700000</w:t>
      </w:r>
      <w:r>
        <w:rPr>
          <w:rtl w:val="0"/>
        </w:rPr>
      </w:r>
    </w:p>
    <w:sectPr>
      <w:headerReference r:id="rId21" w:type="default"/>
      <w:headerReference r:id="rId22" w:type="first"/>
      <w:footerReference r:id="rId23" w:type="default"/>
      <w:footerReference r:id="rId24" w:type="first"/>
      <w:pgSz w:h="16834" w:w="11909" w:orient="portrait"/>
      <w:pgMar w:bottom="1559" w:top="1275" w:left="992" w:right="992"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algun Gothic"/>
  <w:font w:name="Gulim"/>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2">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3">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0">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400" w:hanging="260"/>
      </w:pPr>
      <w:rPr>
        <w:rFonts w:ascii="Malgun Gothic" w:cs="Malgun Gothic" w:eastAsia="Malgun Gothic" w:hAnsi="Malgun Gothic"/>
        <w:b w:val="0"/>
        <w:bCs w:val="0"/>
        <w:color w:val="0b57d0"/>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b w:val="1"/>
        <w:bCs w:val="1"/>
        <w:sz w:val="22"/>
        <w:szCs w:val="22"/>
        <w:lang w:val="k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b w:val="0"/>
      <w:bCs w:val="0"/>
      <w:sz w:val="32"/>
      <w:szCs w:val="32"/>
    </w:rPr>
  </w:style>
  <w:style w:type="paragraph" w:styleId="Heading3">
    <w:name w:val="heading 3"/>
    <w:basedOn w:val="Normal"/>
    <w:next w:val="Normal"/>
    <w:pPr>
      <w:keepNext w:val="1"/>
      <w:keepLines w:val="1"/>
      <w:spacing w:after="80" w:before="320" w:lineRule="auto"/>
    </w:pPr>
    <w:rPr>
      <w:b w:val="0"/>
      <w:bCs w:val="0"/>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character" w:styleId="a0" w:default="1">
    <w:name w:val="Default Paragraph Font"/>
    <w:uiPriority w:val="1"/>
    <w:semiHidden w:val="1"/>
    <w:unhideWhenUsed w:val="1"/>
  </w:style>
  <w:style w:type="table" w:styleId="a1" w:default="1">
    <w:name w:val="Normal Table"/>
    <w:uiPriority w:val="99"/>
    <w:semiHidden w:val="1"/>
    <w:unhideWhenUsed w:val="1"/>
    <w:tblPr>
      <w:tblInd w:w="0.0" w:type="dxa"/>
      <w:tblCellMar>
        <w:top w:w="0.0" w:type="dxa"/>
        <w:left w:w="108.0" w:type="dxa"/>
        <w:bottom w:w="0.0" w:type="dxa"/>
        <w:right w:w="108.0" w:type="dxa"/>
      </w:tblCellMar>
    </w:tblPr>
  </w:style>
  <w:style w:type="numbering" w:styleId="a2"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table" w:styleId="TableNormal2" w:customStyle="1">
    <w:name w:val="TableNormal"/>
    <w:tblPr>
      <w:tblCellMar>
        <w:top w:w="100.0" w:type="dxa"/>
        <w:left w:w="100.0" w:type="dxa"/>
        <w:bottom w:w="100.0" w:type="dxa"/>
        <w:right w:w="100.0" w:type="dxa"/>
      </w:tblCellMar>
    </w:tblPr>
  </w:style>
  <w:style w:type="table" w:styleId="a4" w:customStyle="1">
    <w:basedOn w:val="TableNormal2"/>
    <w:tblPr>
      <w:tblStyleRowBandSize w:val="1"/>
      <w:tblStyleColBandSize w:val="1"/>
    </w:tblPr>
  </w:style>
  <w:style w:type="table" w:styleId="a5" w:customStyle="1">
    <w:basedOn w:val="TableNormal2"/>
    <w:tblPr>
      <w:tblStyleRowBandSize w:val="1"/>
      <w:tblStyleColBandSize w:val="1"/>
    </w:tblPr>
  </w:style>
  <w:style w:type="table" w:styleId="a6" w:customStyle="1">
    <w:basedOn w:val="TableNormal2"/>
    <w:tblPr>
      <w:tblStyleRowBandSize w:val="1"/>
      <w:tblStyleColBandSize w:val="1"/>
    </w:tblPr>
  </w:style>
  <w:style w:type="table" w:styleId="a7" w:customStyle="1">
    <w:basedOn w:val="TableNormal2"/>
    <w:tblPr>
      <w:tblStyleRowBandSize w:val="1"/>
      <w:tblStyleColBandSize w:val="1"/>
    </w:tblPr>
  </w:style>
  <w:style w:type="table" w:styleId="a8" w:customStyle="1">
    <w:basedOn w:val="TableNormal2"/>
    <w:tblPr>
      <w:tblStyleRowBandSize w:val="1"/>
      <w:tblStyleColBandSize w:val="1"/>
    </w:tblPr>
  </w:style>
  <w:style w:type="table" w:styleId="a9" w:customStyle="1">
    <w:basedOn w:val="TableNormal2"/>
    <w:tblPr>
      <w:tblStyleRowBandSize w:val="1"/>
      <w:tblStyleColBandSize w:val="1"/>
    </w:tblPr>
  </w:style>
  <w:style w:type="table" w:styleId="aa" w:customStyle="1">
    <w:basedOn w:val="TableNormal2"/>
    <w:tblPr>
      <w:tblStyleRowBandSize w:val="1"/>
      <w:tblStyleColBandSize w:val="1"/>
    </w:tblPr>
  </w:style>
  <w:style w:type="table" w:styleId="ab" w:customStyle="1">
    <w:basedOn w:val="TableNormal2"/>
    <w:tblPr>
      <w:tblStyleRowBandSize w:val="1"/>
      <w:tblStyleColBandSize w:val="1"/>
      <w:tblCellMar>
        <w:top w:w="90.0" w:type="dxa"/>
        <w:left w:w="110.0" w:type="dxa"/>
        <w:bottom w:w="90.0" w:type="dxa"/>
        <w:right w:w="110.0" w:type="dxa"/>
      </w:tblCellMar>
    </w:tblPr>
  </w:style>
  <w:style w:type="table" w:styleId="ac" w:customStyle="1">
    <w:basedOn w:val="TableNormal2"/>
    <w:tblPr>
      <w:tblStyleRowBandSize w:val="1"/>
      <w:tblStyleColBandSize w:val="1"/>
      <w:tblCellMar>
        <w:top w:w="90.0" w:type="dxa"/>
        <w:left w:w="110.0" w:type="dxa"/>
        <w:bottom w:w="90.0" w:type="dxa"/>
        <w:right w:w="110.0" w:type="dxa"/>
      </w:tblCellMar>
    </w:tblPr>
  </w:style>
  <w:style w:type="table" w:styleId="ad" w:customStyle="1">
    <w:basedOn w:val="TableNormal2"/>
    <w:tblPr>
      <w:tblStyleRowBandSize w:val="1"/>
      <w:tblStyleColBandSize w:val="1"/>
    </w:tblPr>
  </w:style>
  <w:style w:type="table" w:styleId="ae" w:customStyle="1">
    <w:basedOn w:val="TableNormal2"/>
    <w:tblPr>
      <w:tblStyleRowBandSize w:val="1"/>
      <w:tblStyleColBandSize w:val="1"/>
      <w:tblCellMar>
        <w:top w:w="90.0" w:type="dxa"/>
        <w:left w:w="110.0" w:type="dxa"/>
        <w:bottom w:w="90.0" w:type="dxa"/>
        <w:right w:w="110.0" w:type="dxa"/>
      </w:tblCellMar>
    </w:tblPr>
  </w:style>
  <w:style w:type="table" w:styleId="af" w:customStyle="1">
    <w:basedOn w:val="TableNormal2"/>
    <w:tblPr>
      <w:tblStyleRowBandSize w:val="1"/>
      <w:tblStyleColBandSize w:val="1"/>
      <w:tblCellMar>
        <w:top w:w="90.0" w:type="dxa"/>
        <w:left w:w="110.0" w:type="dxa"/>
        <w:bottom w:w="90.0" w:type="dxa"/>
        <w:right w:w="110.0" w:type="dxa"/>
      </w:tblCellMar>
    </w:tblPr>
  </w:style>
  <w:style w:type="table" w:styleId="af0" w:customStyle="1">
    <w:basedOn w:val="TableNormal2"/>
    <w:tblPr>
      <w:tblStyleRowBandSize w:val="1"/>
      <w:tblStyleColBandSize w:val="1"/>
    </w:tblPr>
  </w:style>
  <w:style w:type="table" w:styleId="af1" w:customStyle="1">
    <w:basedOn w:val="TableNormal2"/>
    <w:tblPr>
      <w:tblStyleRowBandSize w:val="1"/>
      <w:tblStyleColBandSize w:val="1"/>
      <w:tblCellMar>
        <w:top w:w="90.0" w:type="dxa"/>
        <w:left w:w="110.0" w:type="dxa"/>
        <w:bottom w:w="90.0" w:type="dxa"/>
        <w:right w:w="110.0" w:type="dxa"/>
      </w:tblCellMar>
    </w:tblPr>
  </w:style>
  <w:style w:type="table" w:styleId="af2" w:customStyle="1">
    <w:basedOn w:val="TableNormal2"/>
    <w:tblPr>
      <w:tblStyleRowBandSize w:val="1"/>
      <w:tblStyleColBandSize w:val="1"/>
      <w:tblCellMar>
        <w:top w:w="90.0" w:type="dxa"/>
        <w:left w:w="110.0" w:type="dxa"/>
        <w:bottom w:w="90.0" w:type="dxa"/>
        <w:right w:w="110.0" w:type="dxa"/>
      </w:tblCellMar>
    </w:tblPr>
  </w:style>
  <w:style w:type="table" w:styleId="af3" w:customStyle="1">
    <w:basedOn w:val="TableNormal2"/>
    <w:tblPr>
      <w:tblStyleRowBandSize w:val="1"/>
      <w:tblStyleColBandSize w:val="1"/>
      <w:tblCellMar>
        <w:top w:w="90.0" w:type="dxa"/>
        <w:left w:w="110.0" w:type="dxa"/>
        <w:bottom w:w="90.0" w:type="dxa"/>
        <w:right w:w="110.0" w:type="dxa"/>
      </w:tblCellMar>
    </w:tblPr>
  </w:style>
  <w:style w:type="table" w:styleId="af4" w:customStyle="1">
    <w:basedOn w:val="TableNormal2"/>
    <w:tblPr>
      <w:tblStyleRowBandSize w:val="1"/>
      <w:tblStyleColBandSize w:val="1"/>
      <w:tblCellMar>
        <w:top w:w="90.0" w:type="dxa"/>
        <w:left w:w="110.0" w:type="dxa"/>
        <w:bottom w:w="90.0" w:type="dxa"/>
        <w:right w:w="110.0" w:type="dxa"/>
      </w:tblCellMar>
    </w:tblPr>
  </w:style>
  <w:style w:type="table" w:styleId="af5" w:customStyle="1">
    <w:basedOn w:val="TableNormal2"/>
    <w:tblPr>
      <w:tblStyleRowBandSize w:val="1"/>
      <w:tblStyleColBandSize w:val="1"/>
    </w:tblPr>
  </w:style>
  <w:style w:type="table" w:styleId="af6" w:customStyle="1">
    <w:basedOn w:val="TableNormal2"/>
    <w:tblPr>
      <w:tblStyleRowBandSize w:val="1"/>
      <w:tblStyleColBandSize w:val="1"/>
      <w:tblCellMar>
        <w:top w:w="90.0" w:type="dxa"/>
        <w:left w:w="110.0" w:type="dxa"/>
        <w:bottom w:w="90.0" w:type="dxa"/>
        <w:right w:w="110.0" w:type="dxa"/>
      </w:tblCellMar>
    </w:tblPr>
  </w:style>
  <w:style w:type="table" w:styleId="af7" w:customStyle="1">
    <w:basedOn w:val="TableNormal2"/>
    <w:tblPr>
      <w:tblStyleRowBandSize w:val="1"/>
      <w:tblStyleColBandSize w:val="1"/>
      <w:tblCellMar>
        <w:top w:w="90.0" w:type="dxa"/>
        <w:left w:w="110.0" w:type="dxa"/>
        <w:bottom w:w="90.0" w:type="dxa"/>
        <w:right w:w="110.0" w:type="dxa"/>
      </w:tblCellMar>
    </w:tblPr>
  </w:style>
  <w:style w:type="table" w:styleId="af8" w:customStyle="1">
    <w:basedOn w:val="TableNormal2"/>
    <w:tblPr>
      <w:tblStyleRowBandSize w:val="1"/>
      <w:tblStyleColBandSize w:val="1"/>
    </w:tblPr>
  </w:style>
  <w:style w:type="table" w:styleId="af9" w:customStyle="1">
    <w:basedOn w:val="TableNormal2"/>
    <w:tblPr>
      <w:tblStyleRowBandSize w:val="1"/>
      <w:tblStyleColBandSize w:val="1"/>
      <w:tblCellMar>
        <w:top w:w="90.0" w:type="dxa"/>
        <w:left w:w="110.0" w:type="dxa"/>
        <w:bottom w:w="90.0" w:type="dxa"/>
        <w:right w:w="110.0" w:type="dxa"/>
      </w:tblCellMar>
    </w:tblPr>
  </w:style>
  <w:style w:type="table" w:styleId="afa" w:customStyle="1">
    <w:basedOn w:val="TableNormal2"/>
    <w:tblPr>
      <w:tblStyleRowBandSize w:val="1"/>
      <w:tblStyleColBandSize w:val="1"/>
      <w:tblCellMar>
        <w:top w:w="90.0" w:type="dxa"/>
        <w:left w:w="110.0" w:type="dxa"/>
        <w:bottom w:w="90.0" w:type="dxa"/>
        <w:right w:w="110.0" w:type="dxa"/>
      </w:tblCellMar>
    </w:tblPr>
  </w:style>
  <w:style w:type="table" w:styleId="afb" w:customStyle="1">
    <w:basedOn w:val="TableNormal2"/>
    <w:tblPr>
      <w:tblStyleRowBandSize w:val="1"/>
      <w:tblStyleColBandSize w:val="1"/>
      <w:tblCellMar>
        <w:top w:w="90.0" w:type="dxa"/>
        <w:left w:w="110.0" w:type="dxa"/>
        <w:bottom w:w="90.0" w:type="dxa"/>
        <w:right w:w="110.0" w:type="dxa"/>
      </w:tblCellMar>
    </w:tblPr>
  </w:style>
  <w:style w:type="table" w:styleId="afc" w:customStyle="1">
    <w:basedOn w:val="TableNormal2"/>
    <w:tblPr>
      <w:tblStyleRowBandSize w:val="1"/>
      <w:tblStyleColBandSize w:val="1"/>
      <w:tblCellMar>
        <w:top w:w="90.0" w:type="dxa"/>
        <w:left w:w="110.0" w:type="dxa"/>
        <w:bottom w:w="90.0" w:type="dxa"/>
        <w:right w:w="110.0" w:type="dxa"/>
      </w:tblCellMar>
    </w:tblPr>
  </w:style>
  <w:style w:type="table" w:styleId="afd" w:customStyle="1">
    <w:basedOn w:val="TableNormal2"/>
    <w:tblPr>
      <w:tblStyleRowBandSize w:val="1"/>
      <w:tblStyleColBandSize w:val="1"/>
      <w:tblCellMar>
        <w:top w:w="90.0" w:type="dxa"/>
        <w:left w:w="110.0" w:type="dxa"/>
        <w:bottom w:w="90.0" w:type="dxa"/>
        <w:right w:w="110.0" w:type="dxa"/>
      </w:tblCellMar>
    </w:tblPr>
  </w:style>
  <w:style w:type="table" w:styleId="afe" w:customStyle="1">
    <w:basedOn w:val="TableNormal2"/>
    <w:tblPr>
      <w:tblStyleRowBandSize w:val="1"/>
      <w:tblStyleColBandSize w:val="1"/>
    </w:tblPr>
  </w:style>
  <w:style w:type="table" w:styleId="aff" w:customStyle="1">
    <w:basedOn w:val="TableNormal2"/>
    <w:tblPr>
      <w:tblStyleRowBandSize w:val="1"/>
      <w:tblStyleColBandSize w:val="1"/>
      <w:tblCellMar>
        <w:top w:w="90.0" w:type="dxa"/>
        <w:left w:w="110.0" w:type="dxa"/>
        <w:bottom w:w="90.0" w:type="dxa"/>
        <w:right w:w="110.0" w:type="dxa"/>
      </w:tblCellMar>
    </w:tblPr>
  </w:style>
  <w:style w:type="table" w:styleId="aff0" w:customStyle="1">
    <w:basedOn w:val="TableNormal2"/>
    <w:tblPr>
      <w:tblStyleRowBandSize w:val="1"/>
      <w:tblStyleColBandSize w:val="1"/>
    </w:tblPr>
  </w:style>
  <w:style w:type="table" w:styleId="aff1" w:customStyle="1">
    <w:basedOn w:val="TableNormal2"/>
    <w:tblPr>
      <w:tblStyleRowBandSize w:val="1"/>
      <w:tblStyleColBandSize w:val="1"/>
      <w:tblCellMar>
        <w:top w:w="90.0" w:type="dxa"/>
        <w:left w:w="110.0" w:type="dxa"/>
        <w:bottom w:w="90.0" w:type="dxa"/>
        <w:right w:w="110.0" w:type="dxa"/>
      </w:tblCellMar>
    </w:tblPr>
  </w:style>
  <w:style w:type="table" w:styleId="aff2" w:customStyle="1">
    <w:basedOn w:val="TableNormal2"/>
    <w:tblPr>
      <w:tblStyleRowBandSize w:val="1"/>
      <w:tblStyleColBandSize w:val="1"/>
      <w:tblCellMar>
        <w:top w:w="90.0" w:type="dxa"/>
        <w:left w:w="110.0" w:type="dxa"/>
        <w:bottom w:w="90.0" w:type="dxa"/>
        <w:right w:w="110.0" w:type="dxa"/>
      </w:tblCellMar>
    </w:tblPr>
  </w:style>
  <w:style w:type="table" w:styleId="aff3" w:customStyle="1">
    <w:basedOn w:val="TableNormal2"/>
    <w:tblPr>
      <w:tblStyleRowBandSize w:val="1"/>
      <w:tblStyleColBandSize w:val="1"/>
    </w:tblPr>
  </w:style>
  <w:style w:type="table" w:styleId="aff4" w:customStyle="1">
    <w:basedOn w:val="TableNormal2"/>
    <w:tblPr>
      <w:tblStyleRowBandSize w:val="1"/>
      <w:tblStyleColBandSize w:val="1"/>
    </w:tblPr>
  </w:style>
  <w:style w:type="table" w:styleId="aff5" w:customStyle="1">
    <w:basedOn w:val="TableNormal2"/>
    <w:tblPr>
      <w:tblStyleRowBandSize w:val="1"/>
      <w:tblStyleColBandSize w:val="1"/>
    </w:tblPr>
  </w:style>
  <w:style w:type="table" w:styleId="aff6" w:customStyle="1">
    <w:basedOn w:val="TableNormal2"/>
    <w:tblPr>
      <w:tblStyleRowBandSize w:val="1"/>
      <w:tblStyleColBandSize w:val="1"/>
    </w:tblPr>
  </w:style>
  <w:style w:type="table" w:styleId="aff7" w:customStyle="1">
    <w:basedOn w:val="TableNormal2"/>
    <w:tblPr>
      <w:tblStyleRowBandSize w:val="1"/>
      <w:tblStyleColBandSize w:val="1"/>
      <w:tblCellMar>
        <w:top w:w="90.0" w:type="dxa"/>
        <w:left w:w="110.0" w:type="dxa"/>
        <w:bottom w:w="90.0" w:type="dxa"/>
        <w:right w:w="110.0" w:type="dxa"/>
      </w:tblCellMar>
    </w:tblPr>
  </w:style>
  <w:style w:type="table" w:styleId="aff8" w:customStyle="1">
    <w:basedOn w:val="TableNormal2"/>
    <w:tblPr>
      <w:tblStyleRowBandSize w:val="1"/>
      <w:tblStyleColBandSize w:val="1"/>
      <w:tblCellMar>
        <w:top w:w="90.0" w:type="dxa"/>
        <w:left w:w="110.0" w:type="dxa"/>
        <w:bottom w:w="90.0" w:type="dxa"/>
        <w:right w:w="110.0" w:type="dxa"/>
      </w:tblCellMar>
    </w:tblPr>
  </w:style>
  <w:style w:type="table" w:styleId="aff9" w:customStyle="1">
    <w:basedOn w:val="TableNormal2"/>
    <w:tblPr>
      <w:tblStyleRowBandSize w:val="1"/>
      <w:tblStyleColBandSize w:val="1"/>
    </w:tblPr>
  </w:style>
  <w:style w:type="table" w:styleId="affa" w:customStyle="1">
    <w:basedOn w:val="TableNormal2"/>
    <w:tblPr>
      <w:tblStyleRowBandSize w:val="1"/>
      <w:tblStyleColBandSize w:val="1"/>
      <w:tblCellMar>
        <w:top w:w="90.0" w:type="dxa"/>
        <w:left w:w="110.0" w:type="dxa"/>
        <w:bottom w:w="90.0" w:type="dxa"/>
        <w:right w:w="110.0" w:type="dxa"/>
      </w:tblCellMar>
    </w:tblPr>
  </w:style>
  <w:style w:type="table" w:styleId="affb" w:customStyle="1">
    <w:basedOn w:val="TableNormal2"/>
    <w:tblPr>
      <w:tblStyleRowBandSize w:val="1"/>
      <w:tblStyleColBandSize w:val="1"/>
      <w:tblCellMar>
        <w:top w:w="90.0" w:type="dxa"/>
        <w:left w:w="110.0" w:type="dxa"/>
        <w:bottom w:w="90.0" w:type="dxa"/>
        <w:right w:w="110.0" w:type="dxa"/>
      </w:tblCellMar>
    </w:tblPr>
  </w:style>
  <w:style w:type="table" w:styleId="affc" w:customStyle="1">
    <w:basedOn w:val="TableNormal2"/>
    <w:tblPr>
      <w:tblStyleRowBandSize w:val="1"/>
      <w:tblStyleColBandSize w:val="1"/>
    </w:tblPr>
  </w:style>
  <w:style w:type="table" w:styleId="affd" w:customStyle="1">
    <w:basedOn w:val="TableNormal2"/>
    <w:tblPr>
      <w:tblStyleRowBandSize w:val="1"/>
      <w:tblStyleColBandSize w:val="1"/>
      <w:tblCellMar>
        <w:top w:w="90.0" w:type="dxa"/>
        <w:left w:w="110.0" w:type="dxa"/>
        <w:bottom w:w="90.0" w:type="dxa"/>
        <w:right w:w="110.0" w:type="dxa"/>
      </w:tblCellMar>
    </w:tblPr>
  </w:style>
  <w:style w:type="table" w:styleId="affe" w:customStyle="1">
    <w:basedOn w:val="TableNormal2"/>
    <w:tblPr>
      <w:tblStyleRowBandSize w:val="1"/>
      <w:tblStyleColBandSize w:val="1"/>
      <w:tblCellMar>
        <w:top w:w="90.0" w:type="dxa"/>
        <w:left w:w="110.0" w:type="dxa"/>
        <w:bottom w:w="90.0" w:type="dxa"/>
        <w:right w:w="110.0" w:type="dxa"/>
      </w:tblCellMar>
    </w:tblPr>
  </w:style>
  <w:style w:type="table" w:styleId="afff" w:customStyle="1">
    <w:basedOn w:val="TableNormal2"/>
    <w:tblPr>
      <w:tblStyleRowBandSize w:val="1"/>
      <w:tblStyleColBandSize w:val="1"/>
      <w:tblCellMar>
        <w:top w:w="90.0" w:type="dxa"/>
        <w:left w:w="110.0" w:type="dxa"/>
        <w:bottom w:w="90.0" w:type="dxa"/>
        <w:right w:w="110.0" w:type="dxa"/>
      </w:tblCellMar>
    </w:tblPr>
  </w:style>
  <w:style w:type="table" w:styleId="afff0" w:customStyle="1">
    <w:basedOn w:val="TableNormal2"/>
    <w:tblPr>
      <w:tblStyleRowBandSize w:val="1"/>
      <w:tblStyleColBandSize w:val="1"/>
      <w:tblCellMar>
        <w:top w:w="90.0" w:type="dxa"/>
        <w:left w:w="110.0" w:type="dxa"/>
        <w:bottom w:w="90.0" w:type="dxa"/>
        <w:right w:w="110.0" w:type="dxa"/>
      </w:tblCellMar>
    </w:tblPr>
  </w:style>
  <w:style w:type="table" w:styleId="afff1" w:customStyle="1">
    <w:basedOn w:val="TableNormal2"/>
    <w:tblPr>
      <w:tblStyleRowBandSize w:val="1"/>
      <w:tblStyleColBandSize w:val="1"/>
    </w:tblPr>
  </w:style>
  <w:style w:type="table" w:styleId="afff2" w:customStyle="1">
    <w:basedOn w:val="TableNormal2"/>
    <w:tblPr>
      <w:tblStyleRowBandSize w:val="1"/>
      <w:tblStyleColBandSize w:val="1"/>
      <w:tblCellMar>
        <w:top w:w="90.0" w:type="dxa"/>
        <w:left w:w="110.0" w:type="dxa"/>
        <w:bottom w:w="90.0" w:type="dxa"/>
        <w:right w:w="110.0" w:type="dxa"/>
      </w:tblCellMar>
    </w:tblPr>
  </w:style>
  <w:style w:type="table" w:styleId="afff3" w:customStyle="1">
    <w:basedOn w:val="TableNormal2"/>
    <w:tblPr>
      <w:tblStyleRowBandSize w:val="1"/>
      <w:tblStyleColBandSize w:val="1"/>
      <w:tblCellMar>
        <w:top w:w="90.0" w:type="dxa"/>
        <w:left w:w="110.0" w:type="dxa"/>
        <w:bottom w:w="90.0" w:type="dxa"/>
        <w:right w:w="110.0" w:type="dxa"/>
      </w:tblCellMar>
    </w:tblPr>
  </w:style>
  <w:style w:type="table" w:styleId="afff4" w:customStyle="1">
    <w:basedOn w:val="TableNormal2"/>
    <w:tblPr>
      <w:tblStyleRowBandSize w:val="1"/>
      <w:tblStyleColBandSize w:val="1"/>
    </w:tblPr>
  </w:style>
  <w:style w:type="table" w:styleId="afff5" w:customStyle="1">
    <w:basedOn w:val="TableNormal2"/>
    <w:tblPr>
      <w:tblStyleRowBandSize w:val="1"/>
      <w:tblStyleColBandSize w:val="1"/>
      <w:tblCellMar>
        <w:top w:w="90.0" w:type="dxa"/>
        <w:left w:w="110.0" w:type="dxa"/>
        <w:bottom w:w="90.0" w:type="dxa"/>
        <w:right w:w="110.0" w:type="dxa"/>
      </w:tblCellMar>
    </w:tblPr>
  </w:style>
  <w:style w:type="table" w:styleId="afff6" w:customStyle="1">
    <w:basedOn w:val="TableNormal2"/>
    <w:tblPr>
      <w:tblStyleRowBandSize w:val="1"/>
      <w:tblStyleColBandSize w:val="1"/>
      <w:tblCellMar>
        <w:top w:w="90.0" w:type="dxa"/>
        <w:left w:w="110.0" w:type="dxa"/>
        <w:bottom w:w="90.0" w:type="dxa"/>
        <w:right w:w="110.0" w:type="dxa"/>
      </w:tblCellMar>
    </w:tblPr>
  </w:style>
  <w:style w:type="table" w:styleId="afff7" w:customStyle="1">
    <w:basedOn w:val="TableNormal2"/>
    <w:tblPr>
      <w:tblStyleRowBandSize w:val="1"/>
      <w:tblStyleColBandSize w:val="1"/>
      <w:tblCellMar>
        <w:top w:w="90.0" w:type="dxa"/>
        <w:left w:w="110.0" w:type="dxa"/>
        <w:bottom w:w="90.0" w:type="dxa"/>
        <w:right w:w="110.0" w:type="dxa"/>
      </w:tblCellMar>
    </w:tblPr>
  </w:style>
  <w:style w:type="table" w:styleId="afff8" w:customStyle="1">
    <w:basedOn w:val="TableNormal2"/>
    <w:tblPr>
      <w:tblStyleRowBandSize w:val="1"/>
      <w:tblStyleColBandSize w:val="1"/>
      <w:tblCellMar>
        <w:top w:w="90.0" w:type="dxa"/>
        <w:left w:w="110.0" w:type="dxa"/>
        <w:bottom w:w="90.0" w:type="dxa"/>
        <w:right w:w="110.0" w:type="dxa"/>
      </w:tblCellMar>
    </w:tblPr>
  </w:style>
  <w:style w:type="table" w:styleId="afff9" w:customStyle="1">
    <w:basedOn w:val="TableNormal2"/>
    <w:tblPr>
      <w:tblStyleRowBandSize w:val="1"/>
      <w:tblStyleColBandSize w:val="1"/>
      <w:tblCellMar>
        <w:top w:w="90.0" w:type="dxa"/>
        <w:left w:w="110.0" w:type="dxa"/>
        <w:bottom w:w="90.0" w:type="dxa"/>
        <w:right w:w="110.0" w:type="dxa"/>
      </w:tblCellMar>
    </w:tblPr>
  </w:style>
  <w:style w:type="table" w:styleId="afffa" w:customStyle="1">
    <w:basedOn w:val="TableNormal2"/>
    <w:tblPr>
      <w:tblStyleRowBandSize w:val="1"/>
      <w:tblStyleColBandSize w:val="1"/>
    </w:tblPr>
  </w:style>
  <w:style w:type="table" w:styleId="afffb" w:customStyle="1">
    <w:basedOn w:val="TableNormal2"/>
    <w:tblPr>
      <w:tblStyleRowBandSize w:val="1"/>
      <w:tblStyleColBandSize w:val="1"/>
      <w:tblCellMar>
        <w:top w:w="90.0" w:type="dxa"/>
        <w:left w:w="110.0" w:type="dxa"/>
        <w:bottom w:w="90.0" w:type="dxa"/>
        <w:right w:w="110.0" w:type="dxa"/>
      </w:tblCellMar>
    </w:tblPr>
  </w:style>
  <w:style w:type="table" w:styleId="afffc" w:customStyle="1">
    <w:basedOn w:val="TableNormal2"/>
    <w:tblPr>
      <w:tblStyleRowBandSize w:val="1"/>
      <w:tblStyleColBandSize w:val="1"/>
    </w:tblPr>
  </w:style>
  <w:style w:type="table" w:styleId="afffd" w:customStyle="1">
    <w:basedOn w:val="TableNormal2"/>
    <w:tblPr>
      <w:tblStyleRowBandSize w:val="1"/>
      <w:tblStyleColBandSize w:val="1"/>
      <w:tblCellMar>
        <w:top w:w="90.0" w:type="dxa"/>
        <w:left w:w="110.0" w:type="dxa"/>
        <w:bottom w:w="90.0" w:type="dxa"/>
        <w:right w:w="110.0" w:type="dxa"/>
      </w:tblCellMar>
    </w:tblPr>
  </w:style>
  <w:style w:type="table" w:styleId="afffe" w:customStyle="1">
    <w:basedOn w:val="TableNormal2"/>
    <w:tblPr>
      <w:tblStyleRowBandSize w:val="1"/>
      <w:tblStyleColBandSize w:val="1"/>
      <w:tblCellMar>
        <w:top w:w="90.0" w:type="dxa"/>
        <w:left w:w="110.0" w:type="dxa"/>
        <w:bottom w:w="90.0" w:type="dxa"/>
        <w:right w:w="110.0" w:type="dxa"/>
      </w:tblCellMar>
    </w:tblPr>
  </w:style>
  <w:style w:type="table" w:styleId="affff0" w:customStyle="1">
    <w:basedOn w:val="TableNormal0"/>
    <w:tblPr>
      <w:tblStyleRowBandSize w:val="1"/>
      <w:tblStyleColBandSize w:val="1"/>
    </w:tblPr>
  </w:style>
  <w:style w:type="table" w:styleId="affff1" w:customStyle="1">
    <w:basedOn w:val="TableNormal0"/>
    <w:tblPr>
      <w:tblStyleRowBandSize w:val="1"/>
      <w:tblStyleColBandSize w:val="1"/>
    </w:tblPr>
  </w:style>
  <w:style w:type="table" w:styleId="affff2" w:customStyle="1">
    <w:basedOn w:val="TableNormal0"/>
    <w:tblPr>
      <w:tblStyleRowBandSize w:val="1"/>
      <w:tblStyleColBandSize w:val="1"/>
    </w:tblPr>
  </w:style>
  <w:style w:type="table" w:styleId="affff3" w:customStyle="1">
    <w:basedOn w:val="TableNormal0"/>
    <w:tblPr>
      <w:tblStyleRowBandSize w:val="1"/>
      <w:tblStyleColBandSize w:val="1"/>
    </w:tblPr>
  </w:style>
  <w:style w:type="table" w:styleId="affff4" w:customStyle="1">
    <w:basedOn w:val="TableNormal0"/>
    <w:tblPr>
      <w:tblStyleRowBandSize w:val="1"/>
      <w:tblStyleColBandSize w:val="1"/>
      <w:tblCellMar>
        <w:top w:w="90.0" w:type="dxa"/>
        <w:left w:w="110.0" w:type="dxa"/>
        <w:bottom w:w="90.0" w:type="dxa"/>
        <w:right w:w="110.0" w:type="dxa"/>
      </w:tblCellMar>
    </w:tblPr>
  </w:style>
  <w:style w:type="table" w:styleId="affff5" w:customStyle="1">
    <w:basedOn w:val="TableNormal0"/>
    <w:tblPr>
      <w:tblStyleRowBandSize w:val="1"/>
      <w:tblStyleColBandSize w:val="1"/>
      <w:tblCellMar>
        <w:top w:w="90.0" w:type="dxa"/>
        <w:left w:w="110.0" w:type="dxa"/>
        <w:bottom w:w="90.0" w:type="dxa"/>
        <w:right w:w="110.0" w:type="dxa"/>
      </w:tblCellMar>
    </w:tblPr>
  </w:style>
  <w:style w:type="table" w:styleId="affff6" w:customStyle="1">
    <w:basedOn w:val="TableNormal0"/>
    <w:tblPr>
      <w:tblStyleRowBandSize w:val="1"/>
      <w:tblStyleColBandSize w:val="1"/>
    </w:tblPr>
  </w:style>
  <w:style w:type="table" w:styleId="affff7" w:customStyle="1">
    <w:basedOn w:val="TableNormal0"/>
    <w:tblPr>
      <w:tblStyleRowBandSize w:val="1"/>
      <w:tblStyleColBandSize w:val="1"/>
      <w:tblCellMar>
        <w:top w:w="90.0" w:type="dxa"/>
        <w:left w:w="110.0" w:type="dxa"/>
        <w:bottom w:w="90.0" w:type="dxa"/>
        <w:right w:w="110.0" w:type="dxa"/>
      </w:tblCellMar>
    </w:tblPr>
  </w:style>
  <w:style w:type="table" w:styleId="affff8" w:customStyle="1">
    <w:basedOn w:val="TableNormal0"/>
    <w:tblPr>
      <w:tblStyleRowBandSize w:val="1"/>
      <w:tblStyleColBandSize w:val="1"/>
      <w:tblCellMar>
        <w:top w:w="90.0" w:type="dxa"/>
        <w:left w:w="110.0" w:type="dxa"/>
        <w:bottom w:w="90.0" w:type="dxa"/>
        <w:right w:w="110.0" w:type="dxa"/>
      </w:tblCellMar>
    </w:tblPr>
  </w:style>
  <w:style w:type="table" w:styleId="affff9" w:customStyle="1">
    <w:basedOn w:val="TableNormal0"/>
    <w:tblPr>
      <w:tblStyleRowBandSize w:val="1"/>
      <w:tblStyleColBandSize w:val="1"/>
    </w:tblPr>
  </w:style>
  <w:style w:type="table" w:styleId="affffa" w:customStyle="1">
    <w:basedOn w:val="TableNormal0"/>
    <w:tblPr>
      <w:tblStyleRowBandSize w:val="1"/>
      <w:tblStyleColBandSize w:val="1"/>
      <w:tblCellMar>
        <w:top w:w="90.0" w:type="dxa"/>
        <w:left w:w="110.0" w:type="dxa"/>
        <w:bottom w:w="90.0" w:type="dxa"/>
        <w:right w:w="110.0" w:type="dxa"/>
      </w:tblCellMar>
    </w:tblPr>
  </w:style>
  <w:style w:type="table" w:styleId="affffb" w:customStyle="1">
    <w:basedOn w:val="TableNormal0"/>
    <w:tblPr>
      <w:tblStyleRowBandSize w:val="1"/>
      <w:tblStyleColBandSize w:val="1"/>
      <w:tblCellMar>
        <w:top w:w="90.0" w:type="dxa"/>
        <w:left w:w="110.0" w:type="dxa"/>
        <w:bottom w:w="90.0" w:type="dxa"/>
        <w:right w:w="110.0" w:type="dxa"/>
      </w:tblCellMar>
    </w:tblPr>
  </w:style>
  <w:style w:type="table" w:styleId="affffc" w:customStyle="1">
    <w:basedOn w:val="TableNormal0"/>
    <w:tblPr>
      <w:tblStyleRowBandSize w:val="1"/>
      <w:tblStyleColBandSize w:val="1"/>
      <w:tblCellMar>
        <w:top w:w="90.0" w:type="dxa"/>
        <w:left w:w="110.0" w:type="dxa"/>
        <w:bottom w:w="90.0" w:type="dxa"/>
        <w:right w:w="110.0" w:type="dxa"/>
      </w:tblCellMar>
    </w:tblPr>
  </w:style>
  <w:style w:type="table" w:styleId="affffd" w:customStyle="1">
    <w:basedOn w:val="TableNormal0"/>
    <w:tblPr>
      <w:tblStyleRowBandSize w:val="1"/>
      <w:tblStyleColBandSize w:val="1"/>
      <w:tblCellMar>
        <w:top w:w="90.0" w:type="dxa"/>
        <w:left w:w="110.0" w:type="dxa"/>
        <w:bottom w:w="90.0" w:type="dxa"/>
        <w:right w:w="110.0" w:type="dxa"/>
      </w:tblCellMar>
    </w:tblPr>
  </w:style>
  <w:style w:type="table" w:styleId="affffe" w:customStyle="1">
    <w:basedOn w:val="TableNormal0"/>
    <w:tblPr>
      <w:tblStyleRowBandSize w:val="1"/>
      <w:tblStyleColBandSize w:val="1"/>
    </w:tblPr>
  </w:style>
  <w:style w:type="table" w:styleId="afffff" w:customStyle="1">
    <w:basedOn w:val="TableNormal0"/>
    <w:tblPr>
      <w:tblStyleRowBandSize w:val="1"/>
      <w:tblStyleColBandSize w:val="1"/>
      <w:tblCellMar>
        <w:top w:w="90.0" w:type="dxa"/>
        <w:left w:w="110.0" w:type="dxa"/>
        <w:bottom w:w="90.0" w:type="dxa"/>
        <w:right w:w="110.0" w:type="dxa"/>
      </w:tblCellMar>
    </w:tblPr>
  </w:style>
  <w:style w:type="table" w:styleId="afffff0" w:customStyle="1">
    <w:basedOn w:val="TableNormal0"/>
    <w:tblPr>
      <w:tblStyleRowBandSize w:val="1"/>
      <w:tblStyleColBandSize w:val="1"/>
      <w:tblCellMar>
        <w:top w:w="90.0" w:type="dxa"/>
        <w:left w:w="110.0" w:type="dxa"/>
        <w:bottom w:w="90.0" w:type="dxa"/>
        <w:right w:w="110.0" w:type="dxa"/>
      </w:tblCellMar>
    </w:tblPr>
  </w:style>
  <w:style w:type="table" w:styleId="afffff1" w:customStyle="1">
    <w:basedOn w:val="TableNormal0"/>
    <w:tblPr>
      <w:tblStyleRowBandSize w:val="1"/>
      <w:tblStyleColBandSize w:val="1"/>
    </w:tblPr>
  </w:style>
  <w:style w:type="table" w:styleId="afffff2" w:customStyle="1">
    <w:basedOn w:val="TableNormal0"/>
    <w:tblPr>
      <w:tblStyleRowBandSize w:val="1"/>
      <w:tblStyleColBandSize w:val="1"/>
      <w:tblCellMar>
        <w:top w:w="90.0" w:type="dxa"/>
        <w:left w:w="110.0" w:type="dxa"/>
        <w:bottom w:w="90.0" w:type="dxa"/>
        <w:right w:w="110.0" w:type="dxa"/>
      </w:tblCellMar>
    </w:tblPr>
  </w:style>
  <w:style w:type="table" w:styleId="afffff3" w:customStyle="1">
    <w:basedOn w:val="TableNormal0"/>
    <w:tblPr>
      <w:tblStyleRowBandSize w:val="1"/>
      <w:tblStyleColBandSize w:val="1"/>
      <w:tblCellMar>
        <w:top w:w="90.0" w:type="dxa"/>
        <w:left w:w="110.0" w:type="dxa"/>
        <w:bottom w:w="90.0" w:type="dxa"/>
        <w:right w:w="110.0" w:type="dxa"/>
      </w:tblCellMar>
    </w:tblPr>
  </w:style>
  <w:style w:type="table" w:styleId="afffff4" w:customStyle="1">
    <w:basedOn w:val="TableNormal0"/>
    <w:tblPr>
      <w:tblStyleRowBandSize w:val="1"/>
      <w:tblStyleColBandSize w:val="1"/>
      <w:tblCellMar>
        <w:top w:w="90.0" w:type="dxa"/>
        <w:left w:w="110.0" w:type="dxa"/>
        <w:bottom w:w="90.0" w:type="dxa"/>
        <w:right w:w="110.0" w:type="dxa"/>
      </w:tblCellMar>
    </w:tblPr>
  </w:style>
  <w:style w:type="table" w:styleId="afffff5" w:customStyle="1">
    <w:basedOn w:val="TableNormal0"/>
    <w:tblPr>
      <w:tblStyleRowBandSize w:val="1"/>
      <w:tblStyleColBandSize w:val="1"/>
      <w:tblCellMar>
        <w:top w:w="90.0" w:type="dxa"/>
        <w:left w:w="110.0" w:type="dxa"/>
        <w:bottom w:w="90.0" w:type="dxa"/>
        <w:right w:w="110.0" w:type="dxa"/>
      </w:tblCellMar>
    </w:tblPr>
  </w:style>
  <w:style w:type="table" w:styleId="afffff6" w:customStyle="1">
    <w:basedOn w:val="TableNormal0"/>
    <w:tblPr>
      <w:tblStyleRowBandSize w:val="1"/>
      <w:tblStyleColBandSize w:val="1"/>
      <w:tblCellMar>
        <w:top w:w="90.0" w:type="dxa"/>
        <w:left w:w="110.0" w:type="dxa"/>
        <w:bottom w:w="90.0" w:type="dxa"/>
        <w:right w:w="110.0" w:type="dxa"/>
      </w:tblCellMar>
    </w:tblPr>
  </w:style>
  <w:style w:type="table" w:styleId="afffff7" w:customStyle="1">
    <w:basedOn w:val="TableNormal0"/>
    <w:tblPr>
      <w:tblStyleRowBandSize w:val="1"/>
      <w:tblStyleColBandSize w:val="1"/>
      <w:tblCellMar>
        <w:top w:w="90.0" w:type="dxa"/>
        <w:left w:w="110.0" w:type="dxa"/>
        <w:bottom w:w="90.0" w:type="dxa"/>
        <w:right w:w="110.0" w:type="dxa"/>
      </w:tblCellMar>
    </w:tblPr>
  </w:style>
  <w:style w:type="table" w:styleId="afffff8" w:customStyle="1">
    <w:basedOn w:val="TableNormal0"/>
    <w:tblPr>
      <w:tblStyleRowBandSize w:val="1"/>
      <w:tblStyleColBandSize w:val="1"/>
    </w:tblPr>
  </w:style>
  <w:style w:type="table" w:styleId="afffff9" w:customStyle="1">
    <w:basedOn w:val="TableNormal0"/>
    <w:tblPr>
      <w:tblStyleRowBandSize w:val="1"/>
      <w:tblStyleColBandSize w:val="1"/>
      <w:tblCellMar>
        <w:top w:w="90.0" w:type="dxa"/>
        <w:left w:w="110.0" w:type="dxa"/>
        <w:bottom w:w="90.0" w:type="dxa"/>
        <w:right w:w="110.0" w:type="dxa"/>
      </w:tblCellMar>
    </w:tblPr>
  </w:style>
  <w:style w:type="table" w:styleId="afffffa" w:customStyle="1">
    <w:basedOn w:val="TableNormal0"/>
    <w:tblPr>
      <w:tblStyleRowBandSize w:val="1"/>
      <w:tblStyleColBandSize w:val="1"/>
    </w:tblPr>
  </w:style>
  <w:style w:type="table" w:styleId="afffffb" w:customStyle="1">
    <w:basedOn w:val="TableNormal0"/>
    <w:tblPr>
      <w:tblStyleRowBandSize w:val="1"/>
      <w:tblStyleColBandSize w:val="1"/>
      <w:tblCellMar>
        <w:top w:w="90.0" w:type="dxa"/>
        <w:left w:w="110.0" w:type="dxa"/>
        <w:bottom w:w="90.0" w:type="dxa"/>
        <w:right w:w="110.0" w:type="dxa"/>
      </w:tblCellMar>
    </w:tblPr>
  </w:style>
  <w:style w:type="table" w:styleId="afffffc" w:customStyle="1">
    <w:basedOn w:val="TableNormal0"/>
    <w:tblPr>
      <w:tblStyleRowBandSize w:val="1"/>
      <w:tblStyleColBandSize w:val="1"/>
      <w:tblCellMar>
        <w:top w:w="90.0" w:type="dxa"/>
        <w:left w:w="110.0" w:type="dxa"/>
        <w:bottom w:w="90.0" w:type="dxa"/>
        <w:right w:w="110.0" w:type="dxa"/>
      </w:tblCellMar>
    </w:tbl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op w:w="90.0" w:type="dxa"/>
        <w:left w:w="110.0" w:type="dxa"/>
        <w:bottom w:w="90.0" w:type="dxa"/>
        <w:right w:w="110.0" w:type="dxa"/>
      </w:tblCellMar>
    </w:tblPr>
  </w:style>
  <w:style w:type="table" w:styleId="Table6">
    <w:basedOn w:val="TableNormal"/>
    <w:tblPr>
      <w:tblStyleRowBandSize w:val="1"/>
      <w:tblStyleColBandSize w:val="1"/>
      <w:tblCellMar>
        <w:top w:w="90.0" w:type="dxa"/>
        <w:left w:w="110.0" w:type="dxa"/>
        <w:bottom w:w="90.0" w:type="dxa"/>
        <w:right w:w="110.0" w:type="dxa"/>
      </w:tblCellMar>
    </w:tblPr>
  </w:style>
  <w:style w:type="table" w:styleId="Table7">
    <w:basedOn w:val="TableNormal"/>
    <w:tblPr>
      <w:tblStyleRowBandSize w:val="1"/>
      <w:tblStyleColBandSize w:val="1"/>
    </w:tblPr>
  </w:style>
  <w:style w:type="table" w:styleId="Table8">
    <w:basedOn w:val="TableNormal"/>
    <w:tblPr>
      <w:tblStyleRowBandSize w:val="1"/>
      <w:tblStyleColBandSize w:val="1"/>
      <w:tblCellMar>
        <w:top w:w="90.0" w:type="dxa"/>
        <w:left w:w="110.0" w:type="dxa"/>
        <w:bottom w:w="90.0" w:type="dxa"/>
        <w:right w:w="110.0" w:type="dxa"/>
      </w:tblCellMar>
    </w:tblPr>
  </w:style>
  <w:style w:type="table" w:styleId="Table9">
    <w:basedOn w:val="TableNormal"/>
    <w:tblPr>
      <w:tblStyleRowBandSize w:val="1"/>
      <w:tblStyleColBandSize w:val="1"/>
      <w:tblCellMar>
        <w:top w:w="90.0" w:type="dxa"/>
        <w:left w:w="110.0" w:type="dxa"/>
        <w:bottom w:w="90.0" w:type="dxa"/>
        <w:right w:w="110.0" w:type="dxa"/>
      </w:tblCellMar>
    </w:tblPr>
  </w:style>
  <w:style w:type="table" w:styleId="Table10">
    <w:basedOn w:val="TableNormal"/>
    <w:tblPr>
      <w:tblStyleRowBandSize w:val="1"/>
      <w:tblStyleColBandSize w:val="1"/>
    </w:tblPr>
  </w:style>
  <w:style w:type="table" w:styleId="Table11">
    <w:basedOn w:val="TableNormal"/>
    <w:tblPr>
      <w:tblStyleRowBandSize w:val="1"/>
      <w:tblStyleColBandSize w:val="1"/>
      <w:tblCellMar>
        <w:top w:w="90.0" w:type="dxa"/>
        <w:left w:w="110.0" w:type="dxa"/>
        <w:bottom w:w="90.0" w:type="dxa"/>
        <w:right w:w="110.0" w:type="dxa"/>
      </w:tblCellMar>
    </w:tblPr>
  </w:style>
  <w:style w:type="table" w:styleId="Table12">
    <w:basedOn w:val="TableNormal"/>
    <w:tblPr>
      <w:tblStyleRowBandSize w:val="1"/>
      <w:tblStyleColBandSize w:val="1"/>
      <w:tblCellMar>
        <w:top w:w="90.0" w:type="dxa"/>
        <w:left w:w="110.0" w:type="dxa"/>
        <w:bottom w:w="90.0" w:type="dxa"/>
        <w:right w:w="110.0" w:type="dxa"/>
      </w:tblCellMar>
    </w:tblPr>
  </w:style>
  <w:style w:type="table" w:styleId="Table13">
    <w:basedOn w:val="TableNormal"/>
    <w:tblPr>
      <w:tblStyleRowBandSize w:val="1"/>
      <w:tblStyleColBandSize w:val="1"/>
      <w:tblCellMar>
        <w:top w:w="90.0" w:type="dxa"/>
        <w:left w:w="110.0" w:type="dxa"/>
        <w:bottom w:w="90.0" w:type="dxa"/>
        <w:right w:w="110.0" w:type="dxa"/>
      </w:tblCellMar>
    </w:tblPr>
  </w:style>
  <w:style w:type="table" w:styleId="Table14">
    <w:basedOn w:val="TableNormal"/>
    <w:tblPr>
      <w:tblStyleRowBandSize w:val="1"/>
      <w:tblStyleColBandSize w:val="1"/>
      <w:tblCellMar>
        <w:top w:w="90.0" w:type="dxa"/>
        <w:left w:w="110.0" w:type="dxa"/>
        <w:bottom w:w="90.0" w:type="dxa"/>
        <w:right w:w="110.0" w:type="dxa"/>
      </w:tblCellMar>
    </w:tblPr>
  </w:style>
  <w:style w:type="table" w:styleId="Table15">
    <w:basedOn w:val="TableNormal"/>
    <w:tblPr>
      <w:tblStyleRowBandSize w:val="1"/>
      <w:tblStyleColBandSize w:val="1"/>
    </w:tblPr>
  </w:style>
  <w:style w:type="table" w:styleId="Table16">
    <w:basedOn w:val="TableNormal"/>
    <w:tblPr>
      <w:tblStyleRowBandSize w:val="1"/>
      <w:tblStyleColBandSize w:val="1"/>
      <w:tblCellMar>
        <w:top w:w="90.0" w:type="dxa"/>
        <w:left w:w="110.0" w:type="dxa"/>
        <w:bottom w:w="90.0" w:type="dxa"/>
        <w:right w:w="110.0" w:type="dxa"/>
      </w:tblCellMar>
    </w:tblPr>
  </w:style>
  <w:style w:type="table" w:styleId="Table17">
    <w:basedOn w:val="TableNormal"/>
    <w:tblPr>
      <w:tblStyleRowBandSize w:val="1"/>
      <w:tblStyleColBandSize w:val="1"/>
      <w:tblCellMar>
        <w:top w:w="90.0" w:type="dxa"/>
        <w:left w:w="110.0" w:type="dxa"/>
        <w:bottom w:w="90.0" w:type="dxa"/>
        <w:right w:w="110.0" w:type="dxa"/>
      </w:tblCellMar>
    </w:tblPr>
  </w:style>
  <w:style w:type="table" w:styleId="Table18">
    <w:basedOn w:val="TableNormal"/>
    <w:tblPr>
      <w:tblStyleRowBandSize w:val="1"/>
      <w:tblStyleColBandSize w:val="1"/>
    </w:tblPr>
  </w:style>
  <w:style w:type="table" w:styleId="Table19">
    <w:basedOn w:val="TableNormal"/>
    <w:tblPr>
      <w:tblStyleRowBandSize w:val="1"/>
      <w:tblStyleColBandSize w:val="1"/>
      <w:tblCellMar>
        <w:top w:w="90.0" w:type="dxa"/>
        <w:left w:w="110.0" w:type="dxa"/>
        <w:bottom w:w="90.0" w:type="dxa"/>
        <w:right w:w="110.0" w:type="dxa"/>
      </w:tblCellMar>
    </w:tblPr>
  </w:style>
  <w:style w:type="table" w:styleId="Table20">
    <w:basedOn w:val="TableNormal"/>
    <w:tblPr>
      <w:tblStyleRowBandSize w:val="1"/>
      <w:tblStyleColBandSize w:val="1"/>
      <w:tblCellMar>
        <w:top w:w="90.0" w:type="dxa"/>
        <w:left w:w="110.0" w:type="dxa"/>
        <w:bottom w:w="90.0" w:type="dxa"/>
        <w:right w:w="110.0" w:type="dxa"/>
      </w:tblCellMar>
    </w:tblPr>
  </w:style>
  <w:style w:type="table" w:styleId="Table21">
    <w:basedOn w:val="TableNormal"/>
    <w:tblPr>
      <w:tblStyleRowBandSize w:val="1"/>
      <w:tblStyleColBandSize w:val="1"/>
      <w:tblCellMar>
        <w:top w:w="90.0" w:type="dxa"/>
        <w:left w:w="110.0" w:type="dxa"/>
        <w:bottom w:w="90.0" w:type="dxa"/>
        <w:right w:w="110.0" w:type="dxa"/>
      </w:tblCellMar>
    </w:tblPr>
  </w:style>
  <w:style w:type="table" w:styleId="Table22">
    <w:basedOn w:val="TableNormal"/>
    <w:tblPr>
      <w:tblStyleRowBandSize w:val="1"/>
      <w:tblStyleColBandSize w:val="1"/>
      <w:tblCellMar>
        <w:top w:w="90.0" w:type="dxa"/>
        <w:left w:w="110.0" w:type="dxa"/>
        <w:bottom w:w="90.0" w:type="dxa"/>
        <w:right w:w="110.0" w:type="dxa"/>
      </w:tblCellMar>
    </w:tblPr>
  </w:style>
  <w:style w:type="table" w:styleId="Table23">
    <w:basedOn w:val="TableNormal"/>
    <w:tblPr>
      <w:tblStyleRowBandSize w:val="1"/>
      <w:tblStyleColBandSize w:val="1"/>
      <w:tblCellMar>
        <w:top w:w="90.0" w:type="dxa"/>
        <w:left w:w="110.0" w:type="dxa"/>
        <w:bottom w:w="90.0" w:type="dxa"/>
        <w:right w:w="110.0" w:type="dxa"/>
      </w:tblCellMar>
    </w:tblPr>
  </w:style>
  <w:style w:type="table" w:styleId="Table24">
    <w:basedOn w:val="TableNormal"/>
    <w:tblPr>
      <w:tblStyleRowBandSize w:val="1"/>
      <w:tblStyleColBandSize w:val="1"/>
    </w:tblPr>
  </w:style>
  <w:style w:type="table" w:styleId="Table25">
    <w:basedOn w:val="TableNormal"/>
    <w:tblPr>
      <w:tblStyleRowBandSize w:val="1"/>
      <w:tblStyleColBandSize w:val="1"/>
      <w:tblCellMar>
        <w:top w:w="90.0" w:type="dxa"/>
        <w:left w:w="110.0" w:type="dxa"/>
        <w:bottom w:w="90.0" w:type="dxa"/>
        <w:right w:w="110.0" w:type="dxa"/>
      </w:tblCellMar>
    </w:tblPr>
  </w:style>
  <w:style w:type="table" w:styleId="Table26">
    <w:basedOn w:val="TableNormal"/>
    <w:tblPr>
      <w:tblStyleRowBandSize w:val="1"/>
      <w:tblStyleColBandSize w:val="1"/>
    </w:tblPr>
  </w:style>
  <w:style w:type="table" w:styleId="Table27">
    <w:basedOn w:val="TableNormal"/>
    <w:tblPr>
      <w:tblStyleRowBandSize w:val="1"/>
      <w:tblStyleColBandSize w:val="1"/>
      <w:tblCellMar>
        <w:top w:w="90.0" w:type="dxa"/>
        <w:left w:w="110.0" w:type="dxa"/>
        <w:bottom w:w="90.0" w:type="dxa"/>
        <w:right w:w="110.0" w:type="dxa"/>
      </w:tblCellMar>
    </w:tblPr>
  </w:style>
  <w:style w:type="table" w:styleId="Table28">
    <w:basedOn w:val="TableNormal"/>
    <w:tblPr>
      <w:tblStyleRowBandSize w:val="1"/>
      <w:tblStyleColBandSize w:val="1"/>
      <w:tblCellMar>
        <w:top w:w="90.0" w:type="dxa"/>
        <w:left w:w="110.0" w:type="dxa"/>
        <w:bottom w:w="90.0" w:type="dxa"/>
        <w:right w:w="11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youthcenter.go.kr/cmnFooter/openapiIntro/oaiGuide" TargetMode="External"/><Relationship Id="rId11" Type="http://schemas.openxmlformats.org/officeDocument/2006/relationships/hyperlink" Target="https://toss.im/?pid=default" TargetMode="External"/><Relationship Id="rId22" Type="http://schemas.openxmlformats.org/officeDocument/2006/relationships/header" Target="header2.xml"/><Relationship Id="rId10" Type="http://schemas.openxmlformats.org/officeDocument/2006/relationships/hyperlink" Target="https://www.dt.co.kr/article/11661613" TargetMode="External"/><Relationship Id="rId21" Type="http://schemas.openxmlformats.org/officeDocument/2006/relationships/header" Target="header1.xml"/><Relationship Id="rId13" Type="http://schemas.openxmlformats.org/officeDocument/2006/relationships/hyperlink" Target="https://www.kakaobank.com/products/safeboxes" TargetMode="External"/><Relationship Id="rId24" Type="http://schemas.openxmlformats.org/officeDocument/2006/relationships/footer" Target="footer2.xml"/><Relationship Id="rId12" Type="http://schemas.openxmlformats.org/officeDocument/2006/relationships/hyperlink" Target="https://help.banksalad.com/update_2503" TargetMode="External"/><Relationship Id="rId23"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15" Type="http://schemas.openxmlformats.org/officeDocument/2006/relationships/hyperlink" Target="https://developer.codef.io/products/card/common/p/billing" TargetMode="External"/><Relationship Id="rId14" Type="http://schemas.openxmlformats.org/officeDocument/2006/relationships/hyperlink" Target="https://developer.codef.io/products/bank/common/p/account" TargetMode="External"/><Relationship Id="rId17" Type="http://schemas.openxmlformats.org/officeDocument/2006/relationships/hyperlink" Target="https://www.aihub.or.kr/aihubdata/data/view.do?aihubDataSe=data&amp;currMenu=115&amp;dataSetSn=71792&amp;srchDataRealmCode=REALM015&amp;topMenu=100" TargetMode="External"/><Relationship Id="rId16" Type="http://schemas.openxmlformats.org/officeDocument/2006/relationships/hyperlink" Target="https://www.data.go.kr/data/15012005/openapi.do" TargetMode="External"/><Relationship Id="rId5" Type="http://schemas.openxmlformats.org/officeDocument/2006/relationships/styles" Target="styles.xml"/><Relationship Id="rId19" Type="http://schemas.openxmlformats.org/officeDocument/2006/relationships/hyperlink" Target="https://developers.google.com/workspace/calendar/api/guides/sync" TargetMode="External"/><Relationship Id="rId6" Type="http://schemas.openxmlformats.org/officeDocument/2006/relationships/customXml" Target="../customXML/item1.xml"/><Relationship Id="rId18" Type="http://schemas.openxmlformats.org/officeDocument/2006/relationships/hyperlink" Target="https://kosis.kr/serviceInfo/openAPIGuide.do" TargetMode="External"/><Relationship Id="rId7" Type="http://schemas.openxmlformats.org/officeDocument/2006/relationships/image" Target="media/image3.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7VOVqkhArHWh7lWPH2EhQMwc5dg==">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2026-10-14T07:14:00Z</dcterms:created>
</cp:coreProperties>
</file>