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rsidR="00D7522C" w:rsidRDefault="00D7522C" w:rsidP="003B4E04">
      <w:pPr>
        <w:pStyle w:val="Author"/>
        <w:spacing w:before="5pt" w:beforeAutospacing="1" w:after="5pt" w:afterAutospacing="1" w:line="6pt" w:lineRule="auto"/>
        <w:rPr>
          <w:sz w:val="16"/>
          <w:szCs w:val="16"/>
        </w:rPr>
      </w:pPr>
    </w:p>
    <w:p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07602E">
        <w:rPr>
          <w:sz w:val="18"/>
          <w:szCs w:val="18"/>
        </w:rPr>
        <w:t>Odmaa Itgel</w:t>
      </w:r>
      <w:r w:rsidR="001A3B3D" w:rsidRPr="00F847A6">
        <w:rPr>
          <w:sz w:val="18"/>
          <w:szCs w:val="18"/>
        </w:rPr>
        <w:br/>
        <w:t>line 2:</w:t>
      </w:r>
      <w:r w:rsidRPr="00F847A6">
        <w:rPr>
          <w:sz w:val="18"/>
          <w:szCs w:val="18"/>
        </w:rPr>
        <w:t xml:space="preserve"> </w:t>
      </w:r>
      <w:r w:rsidRPr="0007602E">
        <w:rPr>
          <w:i/>
          <w:color w:val="FF0000"/>
          <w:sz w:val="18"/>
          <w:szCs w:val="18"/>
        </w:rPr>
        <w:t>dept. name of organization</w:t>
      </w:r>
      <w:r w:rsidR="001A3B3D" w:rsidRPr="0007602E">
        <w:rPr>
          <w:i/>
          <w:color w:val="FF0000"/>
          <w:sz w:val="18"/>
          <w:szCs w:val="18"/>
        </w:rPr>
        <w:t xml:space="preserve"> </w:t>
      </w:r>
      <w:r w:rsidR="007B6DDA" w:rsidRPr="0007602E">
        <w:rPr>
          <w:i/>
          <w:color w:val="FF0000"/>
          <w:sz w:val="18"/>
          <w:szCs w:val="18"/>
        </w:rPr>
        <w:br/>
      </w:r>
      <w:r w:rsidR="001A3B3D" w:rsidRPr="0007602E">
        <w:rPr>
          <w:i/>
          <w:color w:val="FF0000"/>
          <w:sz w:val="18"/>
          <w:szCs w:val="18"/>
        </w:rPr>
        <w:t xml:space="preserve">(of </w:t>
      </w:r>
      <w:r w:rsidR="001A3B3D" w:rsidRPr="0007602E">
        <w:rPr>
          <w:i/>
          <w:iCs/>
          <w:color w:val="FF0000"/>
          <w:sz w:val="18"/>
          <w:szCs w:val="18"/>
        </w:rPr>
        <w:t>Affiliation</w:t>
      </w:r>
      <w:r w:rsidR="001A3B3D" w:rsidRPr="0007602E">
        <w:rPr>
          <w:i/>
          <w:color w:val="FF0000"/>
          <w:sz w:val="18"/>
          <w:szCs w:val="18"/>
        </w:rPr>
        <w:t>)</w:t>
      </w:r>
      <w:r w:rsidR="00D72D06" w:rsidRPr="0007602E">
        <w:rPr>
          <w:color w:val="FF0000"/>
          <w:sz w:val="18"/>
          <w:szCs w:val="18"/>
        </w:rPr>
        <w:br/>
      </w:r>
      <w:r w:rsidR="00645D22" w:rsidRPr="0007602E">
        <w:rPr>
          <w:color w:val="FF0000"/>
          <w:sz w:val="18"/>
          <w:szCs w:val="18"/>
        </w:rPr>
        <w:t>li</w:t>
      </w:r>
      <w:r w:rsidRPr="0007602E">
        <w:rPr>
          <w:color w:val="FF0000"/>
          <w:sz w:val="18"/>
          <w:szCs w:val="18"/>
        </w:rPr>
        <w:t xml:space="preserve">ne </w:t>
      </w:r>
      <w:r w:rsidR="001A3B3D" w:rsidRPr="0007602E">
        <w:rPr>
          <w:color w:val="FF0000"/>
          <w:sz w:val="18"/>
          <w:szCs w:val="18"/>
        </w:rPr>
        <w:t>3</w:t>
      </w:r>
      <w:r w:rsidRPr="0007602E">
        <w:rPr>
          <w:color w:val="FF0000"/>
          <w:sz w:val="18"/>
          <w:szCs w:val="18"/>
        </w:rPr>
        <w:t xml:space="preserve">: </w:t>
      </w:r>
      <w:r w:rsidRPr="0007602E">
        <w:rPr>
          <w:i/>
          <w:color w:val="FF0000"/>
          <w:sz w:val="18"/>
          <w:szCs w:val="18"/>
        </w:rPr>
        <w:t xml:space="preserve">name of organization </w:t>
      </w:r>
      <w:r w:rsidR="007B6DDA" w:rsidRPr="0007602E">
        <w:rPr>
          <w:i/>
          <w:color w:val="FF0000"/>
          <w:sz w:val="18"/>
          <w:szCs w:val="18"/>
        </w:rPr>
        <w:br/>
      </w:r>
      <w:r w:rsidR="001A3B3D" w:rsidRPr="0007602E">
        <w:rPr>
          <w:i/>
          <w:color w:val="FF0000"/>
          <w:sz w:val="18"/>
          <w:szCs w:val="18"/>
        </w:rPr>
        <w:t>(of Affiliation)</w:t>
      </w:r>
      <w:r w:rsidR="001A3B3D" w:rsidRPr="0007602E">
        <w:rPr>
          <w:i/>
          <w:color w:val="FF0000"/>
          <w:sz w:val="18"/>
          <w:szCs w:val="18"/>
        </w:rPr>
        <w:br/>
      </w:r>
      <w:r w:rsidRPr="0007602E">
        <w:rPr>
          <w:color w:val="FF0000"/>
          <w:sz w:val="18"/>
          <w:szCs w:val="18"/>
        </w:rPr>
        <w:t xml:space="preserve">line </w:t>
      </w:r>
      <w:r w:rsidR="001A3B3D" w:rsidRPr="0007602E">
        <w:rPr>
          <w:color w:val="FF0000"/>
          <w:sz w:val="18"/>
          <w:szCs w:val="18"/>
        </w:rPr>
        <w:t>4</w:t>
      </w:r>
      <w:r w:rsidRPr="0007602E">
        <w:rPr>
          <w:color w:val="FF0000"/>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 xml:space="preserve">5: </w:t>
      </w:r>
      <w:r w:rsidR="0007602E">
        <w:rPr>
          <w:sz w:val="18"/>
          <w:szCs w:val="18"/>
        </w:rPr>
        <w:t>2026129@student.cct.ie</w:t>
      </w:r>
    </w:p>
    <w:p w:rsidR="00447BB9" w:rsidRDefault="00BD670B" w:rsidP="0007602E">
      <w:pPr>
        <w:pStyle w:val="Author"/>
        <w:spacing w:before="5pt" w:beforeAutospacing="1"/>
        <w:jc w:val="both"/>
      </w:pPr>
      <w:r>
        <w:rPr>
          <w:sz w:val="18"/>
          <w:szCs w:val="18"/>
        </w:rPr>
        <w:br w:type="column"/>
      </w:r>
      <w:r w:rsidR="00447BB9">
        <w:t xml:space="preserve"> </w:t>
      </w:r>
    </w:p>
    <w:p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rsidR="009303D9" w:rsidRPr="00D632BE" w:rsidRDefault="009303D9" w:rsidP="006B6B66">
      <w:pPr>
        <w:pStyle w:val="Heading1"/>
      </w:pPr>
      <w:r w:rsidRPr="00D632BE">
        <w:t>Introduction (</w:t>
      </w:r>
      <w:r w:rsidR="005B0344" w:rsidRPr="00EA506F">
        <w:rPr>
          <w:rFonts w:eastAsia="MS Mincho"/>
          <w:i/>
        </w:rPr>
        <w:t>Heading 1</w:t>
      </w:r>
      <w:r w:rsidRPr="00D632BE">
        <w:t>)</w:t>
      </w:r>
    </w:p>
    <w:p w:rsidR="00850CAD" w:rsidRDefault="00850CAD" w:rsidP="00E7596C">
      <w:pPr>
        <w:pStyle w:val="BodyText"/>
        <w:rPr>
          <w:lang w:val="en-IE"/>
        </w:rPr>
      </w:pPr>
      <w:r>
        <w:rPr>
          <w:lang w:val="en-IE"/>
        </w:rPr>
        <w:t xml:space="preserve">Neural networks are data-hungry, and the data that feeds them increasingly lives in data lakes: large collections of files on open formats held on cheap storage. A common response is to export data from the lake to a separate training environment, which adds copies, delays and governance risk. </w:t>
      </w:r>
      <w:sdt>
        <w:sdtPr>
          <w:rPr>
            <w:lang w:val="en-IE"/>
          </w:rPr>
          <w:id w:val="2038390378"/>
          <w:citation/>
        </w:sdtPr>
        <w:sdtContent>
          <w:r w:rsidR="002844ED">
            <w:rPr>
              <w:lang w:val="en-IE"/>
            </w:rPr>
            <w:fldChar w:fldCharType="begin"/>
          </w:r>
          <w:r w:rsidR="002844ED">
            <w:rPr>
              <w:highlight w:val="yellow"/>
              <w:lang w:val="en-IE"/>
            </w:rPr>
            <w:instrText xml:space="preserve"> CITATION Arm21 \l</w:instrText>
          </w:r>
          <w:r w:rsidR="005457E1">
            <w:rPr>
              <w:highlight w:val="yellow"/>
              <w:lang w:val="en-IE"/>
            </w:rPr>
            <w:instrText xml:space="preserve"> en-IE </w:instrText>
          </w:r>
          <w:r w:rsidR="002844ED">
            <w:rPr>
              <w:lang w:val="en-IE"/>
            </w:rPr>
            <w:fldChar w:fldCharType="separate"/>
          </w:r>
          <w:r w:rsidR="002844ED" w:rsidRPr="002844ED">
            <w:rPr>
              <w:noProof/>
              <w:highlight w:val="yellow"/>
              <w:lang w:val="en-IE"/>
            </w:rPr>
            <w:t>(Armbrust, 2021)</w:t>
          </w:r>
          <w:r w:rsidR="002844ED">
            <w:rPr>
              <w:lang w:val="en-IE"/>
            </w:rPr>
            <w:fldChar w:fldCharType="end"/>
          </w:r>
        </w:sdtContent>
      </w:sdt>
      <w:r>
        <w:rPr>
          <w:lang w:val="en-IE"/>
        </w:rPr>
        <w:t xml:space="preserve">2021) </w:t>
      </w:r>
      <w:r w:rsidRPr="0034319C">
        <w:rPr>
          <w:lang w:val="en-GB"/>
        </w:rPr>
        <w:t>argue</w:t>
      </w:r>
      <w:r>
        <w:rPr>
          <w:lang w:val="en-IE"/>
        </w:rPr>
        <w:t xml:space="preserve"> that </w:t>
      </w:r>
      <w:proofErr w:type="spellStart"/>
      <w:r w:rsidR="0034319C">
        <w:rPr>
          <w:lang w:val="en-IE"/>
        </w:rPr>
        <w:t>lakehouse</w:t>
      </w:r>
      <w:proofErr w:type="spellEnd"/>
      <w:r w:rsidR="0034319C">
        <w:rPr>
          <w:lang w:val="en-IE"/>
        </w:rPr>
        <w:t xml:space="preserve">, which puts warehouse-style management on open formats such as Parquet, exists partly because machine-learning code needs direct access to large data rather than access through SQL interfaces. </w:t>
      </w:r>
      <w:r w:rsidR="00362447">
        <w:rPr>
          <w:lang w:val="en-IE"/>
        </w:rPr>
        <w:t>Apache Spark is the most widely used engine for that kind of access, and it ships with a neural-network classifier, so it is natural to ask what it really costs and delivers to train a neural network where the data already sits.</w:t>
      </w:r>
    </w:p>
    <w:p w:rsidR="00893DF4" w:rsidRDefault="00893DF4" w:rsidP="00E7596C">
      <w:pPr>
        <w:pStyle w:val="BodyText"/>
        <w:rPr>
          <w:lang w:val="en-IE"/>
        </w:rPr>
      </w:pPr>
      <w:r>
        <w:rPr>
          <w:lang w:val="en-IE"/>
        </w:rPr>
        <w:t xml:space="preserve">The published literature describes systems </w:t>
      </w:r>
      <w:r w:rsidRPr="00893DF4">
        <w:rPr>
          <w:highlight w:val="yellow"/>
          <w:lang w:val="en-IE"/>
        </w:rPr>
        <w:t xml:space="preserve">(Dai et al., 2019; </w:t>
      </w:r>
      <w:proofErr w:type="spellStart"/>
      <w:r w:rsidRPr="00893DF4">
        <w:rPr>
          <w:highlight w:val="yellow"/>
          <w:lang w:val="en-IE"/>
        </w:rPr>
        <w:t>Sergeev</w:t>
      </w:r>
      <w:proofErr w:type="spellEnd"/>
      <w:r w:rsidRPr="00893DF4">
        <w:rPr>
          <w:highlight w:val="yellow"/>
          <w:lang w:val="en-IE"/>
        </w:rPr>
        <w:t xml:space="preserve"> and Del </w:t>
      </w:r>
      <w:proofErr w:type="spellStart"/>
      <w:r w:rsidRPr="00893DF4">
        <w:rPr>
          <w:highlight w:val="yellow"/>
          <w:lang w:val="en-IE"/>
        </w:rPr>
        <w:t>Balso</w:t>
      </w:r>
      <w:proofErr w:type="spellEnd"/>
      <w:r w:rsidRPr="00893DF4">
        <w:rPr>
          <w:highlight w:val="yellow"/>
          <w:lang w:val="en-IE"/>
        </w:rPr>
        <w:t>, 2018</w:t>
      </w:r>
      <w:r>
        <w:rPr>
          <w:lang w:val="en-IE"/>
        </w:rPr>
        <w:t>) and measures configuration effects (</w:t>
      </w:r>
      <w:proofErr w:type="spellStart"/>
      <w:r w:rsidRPr="00893DF4">
        <w:rPr>
          <w:highlight w:val="yellow"/>
          <w:lang w:val="en-IE"/>
        </w:rPr>
        <w:t>Djebrouni</w:t>
      </w:r>
      <w:proofErr w:type="spellEnd"/>
      <w:r w:rsidRPr="00893DF4">
        <w:rPr>
          <w:highlight w:val="yellow"/>
          <w:lang w:val="en-IE"/>
        </w:rPr>
        <w:t xml:space="preserve"> et al., 2023</w:t>
      </w:r>
      <w:r>
        <w:rPr>
          <w:lang w:val="en-IE"/>
        </w:rPr>
        <w:t>), but it seldom documents the sequence of design decisions that a practitioner faces. Which matters more for accuracy: the storage format, the way attributes are prepared, or the size of network? Which of these choices is expensive to change? Answers to the questions are needed to justify architecture choices to stakeholders, which is the purpose of critical evaluation.</w:t>
      </w:r>
    </w:p>
    <w:p w:rsidR="003A5D94" w:rsidRDefault="003A5D94" w:rsidP="00E7596C">
      <w:pPr>
        <w:pStyle w:val="BodyText"/>
        <w:rPr>
          <w:lang w:val="en-IE"/>
        </w:rPr>
      </w:pPr>
      <w:r>
        <w:rPr>
          <w:lang w:val="en-IE"/>
        </w:rPr>
        <w:t>Legacy approaches each fall short in a different way. Disk-oriented batch engines such as MapReduce (</w:t>
      </w:r>
      <w:r w:rsidRPr="003A5D94">
        <w:rPr>
          <w:highlight w:val="yellow"/>
          <w:lang w:val="en-IE"/>
        </w:rPr>
        <w:t>Dean</w:t>
      </w:r>
      <w:r>
        <w:rPr>
          <w:lang w:val="en-IE"/>
        </w:rPr>
        <w:t xml:space="preserve"> and Ghemawat, 2004) are poorly suited to iterative training. </w:t>
      </w:r>
      <w:r w:rsidR="00300EA8">
        <w:rPr>
          <w:lang w:val="en-IE"/>
        </w:rPr>
        <w:t xml:space="preserve">Row-oriented text format such as CSV force every query to read every column. Data warehouses offer strong management but, as </w:t>
      </w:r>
      <w:proofErr w:type="spellStart"/>
      <w:r w:rsidR="00300EA8" w:rsidRPr="00300EA8">
        <w:rPr>
          <w:highlight w:val="yellow"/>
          <w:lang w:val="en-IE"/>
        </w:rPr>
        <w:t>Armsbrust</w:t>
      </w:r>
      <w:proofErr w:type="spellEnd"/>
      <w:r w:rsidR="00300EA8">
        <w:rPr>
          <w:lang w:val="en-IE"/>
        </w:rPr>
        <w:t xml:space="preserve"> et al.(2021) note, expose data to machine-learning code through interfaces that are inefficient for large scans. </w:t>
      </w:r>
      <w:r w:rsidR="005677B9">
        <w:rPr>
          <w:lang w:val="en-IE"/>
        </w:rPr>
        <w:t xml:space="preserve">Stand-alone training environments avoid these problems but duplicate data and break lineage. </w:t>
      </w:r>
    </w:p>
    <w:p w:rsidR="005C5232" w:rsidRDefault="005C5232" w:rsidP="005C5232">
      <w:pPr>
        <w:pStyle w:val="BodyText"/>
        <w:ind w:firstLine="0pt"/>
        <w:rPr>
          <w:lang w:val="en-IE"/>
        </w:rPr>
      </w:pPr>
      <w:r>
        <w:rPr>
          <w:lang w:val="en-IE"/>
        </w:rPr>
        <w:t>Evaluating these limitations against a concrete alternative is the basis for the critical stance taken in this paper.</w:t>
      </w:r>
    </w:p>
    <w:p w:rsidR="005C5232" w:rsidRDefault="005C5232" w:rsidP="005C5232">
      <w:pPr>
        <w:pStyle w:val="BodyText"/>
        <w:ind w:firstLine="0pt"/>
        <w:rPr>
          <w:lang w:val="en-IE"/>
        </w:rPr>
      </w:pPr>
      <w:r>
        <w:rPr>
          <w:lang w:val="en-IE"/>
        </w:rPr>
        <w:tab/>
      </w:r>
      <w:r>
        <w:rPr>
          <w:b/>
          <w:bCs/>
          <w:lang w:val="en-IE"/>
        </w:rPr>
        <w:t xml:space="preserve">Objective. </w:t>
      </w:r>
      <w:r>
        <w:rPr>
          <w:lang w:val="en-IE"/>
        </w:rPr>
        <w:t>The objective is to critically evaluate how neural networks can be integrated with Apache Spark and open columnar storage, and to quantify, through a reproducible and fully logged experiment, which design decisions most influence accuracy, cost and scalability.</w:t>
      </w:r>
    </w:p>
    <w:p w:rsidR="005C5232" w:rsidRDefault="006B0685" w:rsidP="005C5232">
      <w:pPr>
        <w:pStyle w:val="BodyText"/>
        <w:ind w:firstLine="0pt"/>
        <w:rPr>
          <w:lang w:val="en-IE"/>
        </w:rPr>
      </w:pPr>
      <w:r>
        <w:rPr>
          <w:b/>
          <w:bCs/>
          <w:lang w:val="en-IE"/>
        </w:rPr>
        <w:t xml:space="preserve">Research question. </w:t>
      </w:r>
      <w:r w:rsidR="00A937D7">
        <w:rPr>
          <w:lang w:val="en-IE"/>
        </w:rPr>
        <w:t>To what extend to storage format, data preparation and network architecture affect the accuracy and computational cost of a neural-network classifier built on Spark over Parquet data, and what do published Spark-based deep-learning systems imply for scaling that design?</w:t>
      </w:r>
    </w:p>
    <w:p w:rsidR="00362447" w:rsidRPr="00850CAD" w:rsidRDefault="007450DD" w:rsidP="007450DD">
      <w:pPr>
        <w:pStyle w:val="BodyText"/>
        <w:ind w:firstLine="0pt"/>
        <w:rPr>
          <w:lang w:val="en-IE"/>
        </w:rPr>
      </w:pPr>
      <w:r>
        <w:rPr>
          <w:lang w:val="en-IE"/>
        </w:rPr>
        <w:tab/>
      </w:r>
      <w:r w:rsidRPr="007450DD">
        <w:rPr>
          <w:color w:val="FF0000"/>
          <w:lang w:val="en-IE"/>
        </w:rPr>
        <w:t xml:space="preserve">The contributions are threefold: a structured review of Spark-based deep </w:t>
      </w:r>
    </w:p>
    <w:p w:rsidR="009303D9" w:rsidRPr="006B6B66" w:rsidRDefault="007450DD" w:rsidP="006B6B66">
      <w:pPr>
        <w:pStyle w:val="Heading1"/>
      </w:pPr>
      <w:r>
        <w:t>Literature Review and State of the Art</w:t>
      </w:r>
      <w:sdt>
        <w:sdtPr>
          <w:id w:val="-1613352009"/>
          <w:citation/>
        </w:sdtPr>
        <w:sdtContent>
          <w:r w:rsidR="002844ED">
            <w:fldChar w:fldCharType="begin"/>
          </w:r>
          <w:r w:rsidR="002844ED">
            <w:rPr>
              <w:lang w:val="en-IE"/>
            </w:rPr>
            <w:instrText xml:space="preserve"> CITATION Arm21 \l</w:instrText>
          </w:r>
          <w:r w:rsidR="005457E1">
            <w:rPr>
              <w:lang w:val="en-IE"/>
            </w:rPr>
            <w:instrText xml:space="preserve"> en-IE </w:instrText>
          </w:r>
          <w:r w:rsidR="002844ED">
            <w:fldChar w:fldCharType="separate"/>
          </w:r>
          <w:r w:rsidR="002844ED">
            <w:rPr>
              <w:lang w:val="en-IE"/>
            </w:rPr>
            <w:t xml:space="preserve"> </w:t>
          </w:r>
          <w:r w:rsidR="002844ED" w:rsidRPr="002844ED">
            <w:rPr>
              <w:lang w:val="en-IE"/>
            </w:rPr>
            <w:t>(Armbrust, 2021)</w:t>
          </w:r>
          <w:r w:rsidR="002844ED">
            <w:fldChar w:fldCharType="end"/>
          </w:r>
        </w:sdtContent>
      </w:sdt>
      <w:sdt>
        <w:sdtPr>
          <w:id w:val="-1424567308"/>
          <w:citation/>
        </w:sdtPr>
        <w:sdtContent>
          <w:r w:rsidR="002844ED">
            <w:fldChar w:fldCharType="begin"/>
          </w:r>
          <w:r w:rsidR="002844ED">
            <w:rPr>
              <w:lang w:val="en-IE"/>
            </w:rPr>
            <w:instrText xml:space="preserve"> CITATION Arm21 \l</w:instrText>
          </w:r>
          <w:r w:rsidR="005457E1">
            <w:rPr>
              <w:lang w:val="en-IE"/>
            </w:rPr>
            <w:instrText xml:space="preserve"> en-IE </w:instrText>
          </w:r>
          <w:r w:rsidR="002844ED">
            <w:fldChar w:fldCharType="separate"/>
          </w:r>
          <w:r w:rsidR="002844ED">
            <w:rPr>
              <w:lang w:val="en-IE"/>
            </w:rPr>
            <w:t xml:space="preserve"> </w:t>
          </w:r>
          <w:r w:rsidR="002844ED" w:rsidRPr="002844ED">
            <w:rPr>
              <w:lang w:val="en-IE"/>
            </w:rPr>
            <w:t>(Armbrust, 2021)</w:t>
          </w:r>
          <w:r w:rsidR="002844ED">
            <w:fldChar w:fldCharType="end"/>
          </w:r>
        </w:sdtContent>
      </w:sdt>
    </w:p>
    <w:p w:rsidR="009303D9" w:rsidRDefault="007450DD" w:rsidP="00ED0149">
      <w:pPr>
        <w:pStyle w:val="Heading2"/>
      </w:pPr>
      <w:r>
        <w:t>Spark as the processing substrate</w:t>
      </w:r>
    </w:p>
    <w:p w:rsidR="00604978" w:rsidRDefault="007450DD" w:rsidP="006A7B45">
      <w:pPr>
        <w:pStyle w:val="BodyText"/>
        <w:rPr>
          <w:lang w:val="en-IE"/>
        </w:rPr>
      </w:pPr>
      <w:r>
        <w:rPr>
          <w:lang w:val="en-IE"/>
        </w:rPr>
        <w:t>Early large-scale analytics relied on MapReduce, which writes intermediate results to disk between stages (</w:t>
      </w:r>
      <w:r w:rsidRPr="007450DD">
        <w:rPr>
          <w:highlight w:val="yellow"/>
          <w:lang w:val="en-IE"/>
        </w:rPr>
        <w:t>Dean</w:t>
      </w:r>
      <w:r>
        <w:rPr>
          <w:lang w:val="en-IE"/>
        </w:rPr>
        <w:t xml:space="preserve"> and Ghemawat, 2004). That design is robust but expensive for </w:t>
      </w:r>
      <w:r w:rsidR="00604978">
        <w:rPr>
          <w:lang w:val="en-IE"/>
        </w:rPr>
        <w:t>iterative workloads such as neural-network training, where the same data set is scanned hundreds of times. Resilient distributed datasets (RDDs) address this by keeping working sets in memory and recovering lost partitions from their lineage rather than from replicas (</w:t>
      </w:r>
      <w:proofErr w:type="spellStart"/>
      <w:r w:rsidR="00604978">
        <w:rPr>
          <w:lang w:val="en-IE"/>
        </w:rPr>
        <w:t>Zaharia</w:t>
      </w:r>
      <w:proofErr w:type="spellEnd"/>
      <w:r w:rsidR="00604978">
        <w:rPr>
          <w:lang w:val="en-IE"/>
        </w:rPr>
        <w:t xml:space="preserve"> et al., 2012).</w:t>
      </w:r>
      <w:r w:rsidR="006A7B45">
        <w:rPr>
          <w:lang w:val="en-IE"/>
        </w:rPr>
        <w:t xml:space="preserve"> </w:t>
      </w:r>
      <w:proofErr w:type="spellStart"/>
      <w:r w:rsidR="006A7B45">
        <w:rPr>
          <w:lang w:val="en-IE"/>
        </w:rPr>
        <w:t>Zaharia</w:t>
      </w:r>
      <w:proofErr w:type="spellEnd"/>
      <w:r w:rsidR="006A7B45">
        <w:rPr>
          <w:lang w:val="en-IE"/>
        </w:rPr>
        <w:t xml:space="preserve"> et al. (2016) later </w:t>
      </w:r>
      <w:r w:rsidR="006778C6">
        <w:rPr>
          <w:lang w:val="en-IE"/>
        </w:rPr>
        <w:t>described Spark as a unified engine in which batch, SQL, streaming, machine learning and graph processing share one runtime, which is the property that makes it attractive as a host for end-to-end neural-network pipelines.</w:t>
      </w:r>
    </w:p>
    <w:p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rsidR="009303D9" w:rsidRPr="005B520E" w:rsidRDefault="009303D9" w:rsidP="00ED0149">
      <w:pPr>
        <w:pStyle w:val="Heading2"/>
      </w:pPr>
      <w:r w:rsidRPr="005B520E">
        <w:t>Maintaining the Integrity of the Specifications</w:t>
      </w:r>
    </w:p>
    <w:p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rsidR="009303D9" w:rsidRDefault="009303D9" w:rsidP="006B6B66">
      <w:pPr>
        <w:pStyle w:val="Heading1"/>
      </w:pPr>
      <w:r>
        <w:t xml:space="preserve">Prepare Your Paper </w:t>
      </w:r>
      <w:r w:rsidRPr="005B520E">
        <w:t>Before</w:t>
      </w:r>
      <w:r>
        <w:t xml:space="preserve"> Styling</w:t>
      </w:r>
    </w:p>
    <w:p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rsidR="009303D9" w:rsidRPr="005B520E" w:rsidRDefault="009303D9" w:rsidP="00E7596C">
      <w:pPr>
        <w:pStyle w:val="BodyText"/>
      </w:pPr>
      <w:r w:rsidRPr="005B520E">
        <w:t xml:space="preserve">Keep your text and graphic files separate until after the text has been formatted and styled. Do not use hard tabs, and limit use of hard returns to only one return at the end of a paragraph. </w:t>
      </w:r>
      <w:r w:rsidRPr="005B520E">
        <w:lastRenderedPageBreak/>
        <w:t>Do not add any kind of pagination anywhere in the paper. Do not number text heads-the template will do that for you.</w:t>
      </w:r>
    </w:p>
    <w:p w:rsidR="009303D9" w:rsidRDefault="009303D9" w:rsidP="00ED0149">
      <w:pPr>
        <w:pStyle w:val="Heading2"/>
      </w:pPr>
      <w:r w:rsidRPr="00ED0149">
        <w:t>Abbreviations</w:t>
      </w:r>
      <w:r>
        <w:t xml:space="preserve"> and Acronyms</w:t>
      </w:r>
    </w:p>
    <w:p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rsidR="009303D9" w:rsidRDefault="009303D9" w:rsidP="00ED0149">
      <w:pPr>
        <w:pStyle w:val="Heading2"/>
      </w:pPr>
      <w:r>
        <w:t>Units</w:t>
      </w:r>
    </w:p>
    <w:p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rsidR="009303D9" w:rsidRPr="005B520E" w:rsidRDefault="009303D9" w:rsidP="00ED0149">
      <w:pPr>
        <w:pStyle w:val="Heading2"/>
      </w:pPr>
      <w:r w:rsidRPr="005B520E">
        <w:t>Equations</w:t>
      </w:r>
    </w:p>
    <w:p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rsidR="009303D9" w:rsidRDefault="009303D9" w:rsidP="00ED0149">
      <w:pPr>
        <w:pStyle w:val="Heading2"/>
      </w:pPr>
      <w:r>
        <w:t>Some Common Mistakes</w:t>
      </w:r>
    </w:p>
    <w:p w:rsidR="009303D9" w:rsidRPr="005B520E" w:rsidRDefault="009303D9" w:rsidP="00E7596C">
      <w:pPr>
        <w:pStyle w:val="bulletlist"/>
      </w:pPr>
      <w:r w:rsidRPr="005B520E">
        <w:t>The word “data” is plural, not singular.</w:t>
      </w:r>
    </w:p>
    <w:p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rsidR="009303D9" w:rsidRPr="005B520E" w:rsidRDefault="009303D9" w:rsidP="00E7596C">
      <w:pPr>
        <w:pStyle w:val="bulletlist"/>
      </w:pPr>
      <w:r w:rsidRPr="005B520E">
        <w:t>Do not use the word “essentially” to mean “approximately” or “effectively”.</w:t>
      </w:r>
    </w:p>
    <w:p w:rsidR="009303D9" w:rsidRPr="005B520E" w:rsidRDefault="009303D9" w:rsidP="00E7596C">
      <w:pPr>
        <w:pStyle w:val="bulletlist"/>
      </w:pPr>
      <w:r w:rsidRPr="005B520E">
        <w:t>In your paper title, if the words “that uses” can accurately replace the word “using”, capitalize the “u”; if not, keep using lower-cased.</w:t>
      </w:r>
    </w:p>
    <w:p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rsidR="009303D9" w:rsidRPr="005B520E" w:rsidRDefault="009303D9" w:rsidP="00E7596C">
      <w:pPr>
        <w:pStyle w:val="bulletlist"/>
      </w:pPr>
      <w:r w:rsidRPr="005B520E">
        <w:t>Do not confuse “imply” and “infer”.</w:t>
      </w:r>
    </w:p>
    <w:p w:rsidR="009303D9" w:rsidRPr="005B520E" w:rsidRDefault="009303D9" w:rsidP="00E7596C">
      <w:pPr>
        <w:pStyle w:val="bulletlist"/>
      </w:pPr>
      <w:r w:rsidRPr="005B520E">
        <w:t>The prefix “non” is not a word; it should be joined to the word it modifies, usually without a hyphen.</w:t>
      </w:r>
    </w:p>
    <w:p w:rsidR="009303D9" w:rsidRPr="005B520E" w:rsidRDefault="009303D9" w:rsidP="00E7596C">
      <w:pPr>
        <w:pStyle w:val="bulletlist"/>
      </w:pPr>
      <w:r w:rsidRPr="005B520E">
        <w:t>There is no period after the “et” in the Latin abbreviation “et al.”.</w:t>
      </w:r>
    </w:p>
    <w:p w:rsidR="009303D9" w:rsidRPr="005B520E" w:rsidRDefault="009303D9" w:rsidP="00E7596C">
      <w:pPr>
        <w:pStyle w:val="bulletlist"/>
      </w:pPr>
      <w:r w:rsidRPr="005B520E">
        <w:t>The abbreviation “i.e.” means “that is”, and the abbreviation “e.g.” means “for example”.</w:t>
      </w:r>
    </w:p>
    <w:p w:rsidR="009303D9" w:rsidRPr="005B520E" w:rsidRDefault="009303D9" w:rsidP="00E7596C">
      <w:pPr>
        <w:pStyle w:val="BodyText"/>
      </w:pPr>
      <w:r w:rsidRPr="005B520E">
        <w:t>An excellent style manual for science writers is [7].</w:t>
      </w:r>
    </w:p>
    <w:p w:rsidR="009303D9" w:rsidRDefault="009303D9" w:rsidP="006B6B66">
      <w:pPr>
        <w:pStyle w:val="Heading1"/>
      </w:pPr>
      <w:r>
        <w:t xml:space="preserve">Using the </w:t>
      </w:r>
      <w:r w:rsidRPr="005B520E">
        <w:t>Template</w:t>
      </w:r>
    </w:p>
    <w:p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rsidR="009303D9" w:rsidRDefault="009303D9" w:rsidP="00ED0149">
      <w:pPr>
        <w:pStyle w:val="Heading2"/>
      </w:pPr>
      <w:r w:rsidRPr="005B520E">
        <w:t>Authors</w:t>
      </w:r>
      <w:r>
        <w:t xml:space="preserve"> and Affiliations</w:t>
      </w:r>
    </w:p>
    <w:p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rsidR="002850E3" w:rsidRDefault="002850E3" w:rsidP="00794804">
      <w:pPr>
        <w:pStyle w:val="Heading3"/>
      </w:pPr>
      <w:r>
        <w:t xml:space="preserve">For papers with more than six authors: </w:t>
      </w:r>
      <w:r>
        <w:rPr>
          <w:i w:val="0"/>
        </w:rPr>
        <w:t>Add author names horizontally, moving to a third row if needed for more than 8 authors.</w:t>
      </w:r>
    </w:p>
    <w:p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rsidR="009303D9" w:rsidRPr="005B520E" w:rsidRDefault="009303D9" w:rsidP="00794804">
      <w:pPr>
        <w:pStyle w:val="Heading4"/>
      </w:pPr>
      <w:r w:rsidRPr="00794804">
        <w:lastRenderedPageBreak/>
        <w:t>Selection</w:t>
      </w:r>
      <w:r w:rsidRPr="005B520E">
        <w:t xml:space="preserve">: </w:t>
      </w:r>
      <w:r w:rsidRPr="00FA4C32">
        <w:rPr>
          <w:i w:val="0"/>
        </w:rPr>
        <w:t>Highlight all author and affiliation lines.</w:t>
      </w:r>
    </w:p>
    <w:p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rsidR="006F6D3D" w:rsidRDefault="006F6D3D" w:rsidP="006F6D3D">
      <w:pPr>
        <w:jc w:val="start"/>
        <w:rPr>
          <w:i/>
          <w:iCs/>
          <w:noProof/>
        </w:rPr>
      </w:pPr>
    </w:p>
    <w:p w:rsidR="009303D9" w:rsidRDefault="009303D9" w:rsidP="00ED0149">
      <w:pPr>
        <w:pStyle w:val="Heading2"/>
      </w:pPr>
      <w:r w:rsidRPr="005B520E">
        <w:t>Identify</w:t>
      </w:r>
      <w:r>
        <w:t xml:space="preserve"> the Headings</w:t>
      </w:r>
    </w:p>
    <w:p w:rsidR="009303D9" w:rsidRPr="005B520E" w:rsidRDefault="009303D9" w:rsidP="00E7596C">
      <w:pPr>
        <w:pStyle w:val="BodyText"/>
      </w:pPr>
      <w:r w:rsidRPr="005B520E">
        <w:t>Headings, or heads, are organizational devices that guide the reader through your paper. There are two types: component heads and text heads.</w:t>
      </w:r>
    </w:p>
    <w:p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rsidR="009303D9" w:rsidRDefault="009303D9" w:rsidP="00ED0149">
      <w:pPr>
        <w:pStyle w:val="Heading2"/>
      </w:pPr>
      <w:r>
        <w:t>Figures and Tables</w:t>
      </w:r>
    </w:p>
    <w:p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trPr>
          <w:cantSplit/>
          <w:trHeight w:val="240"/>
          <w:tblHeader/>
          <w:jc w:val="center"/>
        </w:trPr>
        <w:tc>
          <w:tcPr>
            <w:tcW w:w="36pt" w:type="dxa"/>
            <w:vMerge w:val="restart"/>
            <w:vAlign w:val="center"/>
          </w:tcPr>
          <w:p w:rsidR="009303D9" w:rsidRDefault="009303D9">
            <w:pPr>
              <w:pStyle w:val="tablecolhead"/>
            </w:pPr>
            <w:r>
              <w:t>Table Head</w:t>
            </w:r>
          </w:p>
        </w:tc>
        <w:tc>
          <w:tcPr>
            <w:tcW w:w="207pt" w:type="dxa"/>
            <w:gridSpan w:val="3"/>
            <w:vAlign w:val="center"/>
          </w:tcPr>
          <w:p w:rsidR="009303D9" w:rsidRDefault="009303D9">
            <w:pPr>
              <w:pStyle w:val="tablecolhead"/>
            </w:pPr>
            <w:r>
              <w:t>Table Column Head</w:t>
            </w:r>
          </w:p>
        </w:tc>
      </w:tr>
      <w:tr w:rsidR="009303D9">
        <w:trPr>
          <w:cantSplit/>
          <w:trHeight w:val="240"/>
          <w:tblHeader/>
          <w:jc w:val="center"/>
        </w:trPr>
        <w:tc>
          <w:tcPr>
            <w:tcW w:w="36pt" w:type="dxa"/>
            <w:vMerge/>
          </w:tcPr>
          <w:p w:rsidR="009303D9" w:rsidRDefault="009303D9">
            <w:pPr>
              <w:rPr>
                <w:sz w:val="16"/>
                <w:szCs w:val="16"/>
              </w:rPr>
            </w:pPr>
          </w:p>
        </w:tc>
        <w:tc>
          <w:tcPr>
            <w:tcW w:w="117pt" w:type="dxa"/>
            <w:vAlign w:val="center"/>
          </w:tcPr>
          <w:p w:rsidR="009303D9" w:rsidRDefault="009303D9">
            <w:pPr>
              <w:pStyle w:val="tablecolsubhead"/>
            </w:pPr>
            <w:r>
              <w:t>Table column subhead</w:t>
            </w:r>
          </w:p>
        </w:tc>
        <w:tc>
          <w:tcPr>
            <w:tcW w:w="45pt" w:type="dxa"/>
            <w:vAlign w:val="center"/>
          </w:tcPr>
          <w:p w:rsidR="009303D9" w:rsidRDefault="009303D9">
            <w:pPr>
              <w:pStyle w:val="tablecolsubhead"/>
            </w:pPr>
            <w:r>
              <w:t>Subhead</w:t>
            </w:r>
          </w:p>
        </w:tc>
        <w:tc>
          <w:tcPr>
            <w:tcW w:w="45pt" w:type="dxa"/>
            <w:vAlign w:val="center"/>
          </w:tcPr>
          <w:p w:rsidR="009303D9" w:rsidRDefault="009303D9">
            <w:pPr>
              <w:pStyle w:val="tablecolsubhead"/>
            </w:pPr>
            <w:r>
              <w:t>Subhead</w:t>
            </w:r>
          </w:p>
        </w:tc>
      </w:tr>
      <w:tr w:rsidR="009303D9">
        <w:trPr>
          <w:trHeight w:val="320"/>
          <w:jc w:val="center"/>
        </w:trPr>
        <w:tc>
          <w:tcPr>
            <w:tcW w:w="36pt" w:type="dxa"/>
            <w:vAlign w:val="center"/>
          </w:tcPr>
          <w:p w:rsidR="009303D9" w:rsidRDefault="009303D9">
            <w:pPr>
              <w:pStyle w:val="tablecopy"/>
              <w:rPr>
                <w:sz w:val="8"/>
                <w:szCs w:val="8"/>
              </w:rPr>
            </w:pPr>
            <w:r>
              <w:t>copy</w:t>
            </w:r>
          </w:p>
        </w:tc>
        <w:tc>
          <w:tcPr>
            <w:tcW w:w="117pt" w:type="dxa"/>
            <w:vAlign w:val="center"/>
          </w:tcPr>
          <w:p w:rsidR="009303D9" w:rsidRDefault="009303D9">
            <w:pPr>
              <w:pStyle w:val="tablecopy"/>
            </w:pPr>
            <w:r>
              <w:t>More table copy</w:t>
            </w:r>
            <w:r>
              <w:rPr>
                <w:vertAlign w:val="superscript"/>
              </w:rPr>
              <w:t>a</w:t>
            </w:r>
          </w:p>
        </w:tc>
        <w:tc>
          <w:tcPr>
            <w:tcW w:w="45pt" w:type="dxa"/>
            <w:vAlign w:val="center"/>
          </w:tcPr>
          <w:p w:rsidR="009303D9" w:rsidRDefault="009303D9">
            <w:pPr>
              <w:rPr>
                <w:sz w:val="16"/>
                <w:szCs w:val="16"/>
              </w:rPr>
            </w:pPr>
          </w:p>
        </w:tc>
        <w:tc>
          <w:tcPr>
            <w:tcW w:w="45pt" w:type="dxa"/>
            <w:vAlign w:val="center"/>
          </w:tcPr>
          <w:p w:rsidR="009303D9" w:rsidRDefault="009303D9">
            <w:pPr>
              <w:rPr>
                <w:sz w:val="16"/>
                <w:szCs w:val="16"/>
              </w:rPr>
            </w:pPr>
          </w:p>
        </w:tc>
      </w:tr>
    </w:tbl>
    <w:p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rsidR="009303D9" w:rsidRDefault="009303D9" w:rsidP="00A059B3">
      <w:pPr>
        <w:pStyle w:val="Heading5"/>
      </w:pPr>
      <w:r w:rsidRPr="005B520E">
        <w:t>References</w:t>
      </w:r>
    </w:p>
    <w:p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rsidR="009303D9" w:rsidRPr="005B520E" w:rsidRDefault="009303D9"/>
    <w:p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rsidR="009303D9" w:rsidRDefault="009303D9" w:rsidP="0004781E">
      <w:pPr>
        <w:pStyle w:val="references"/>
        <w:ind w:start="17.70pt" w:hanging="17.70pt"/>
      </w:pPr>
      <w:r>
        <w:t>J. Clerk Maxwell, A Treatise on Electricity and Magnetism, 3rd ed., vol. 2. Oxford: Clarendon, 1892, pp.68–73.</w:t>
      </w:r>
    </w:p>
    <w:p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rsidR="009303D9" w:rsidRDefault="009303D9" w:rsidP="0004781E">
      <w:pPr>
        <w:pStyle w:val="references"/>
        <w:ind w:start="17.70pt" w:hanging="17.70pt"/>
      </w:pPr>
      <w:r>
        <w:t>K. Elissa, “Title of paper if known,” unpublished.</w:t>
      </w:r>
    </w:p>
    <w:p w:rsidR="009303D9" w:rsidRDefault="009303D9" w:rsidP="0004781E">
      <w:pPr>
        <w:pStyle w:val="references"/>
        <w:ind w:start="17.70pt" w:hanging="17.70pt"/>
      </w:pPr>
      <w:r>
        <w:t>R. Nicole, “Title of paper with only first word capitalized,” J. Name Stand. Abbrev., in press.</w:t>
      </w:r>
    </w:p>
    <w:p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rsidR="009303D9" w:rsidRDefault="009303D9" w:rsidP="0004781E">
      <w:pPr>
        <w:pStyle w:val="references"/>
        <w:ind w:start="17.70pt" w:hanging="17.70pt"/>
      </w:pPr>
      <w:r>
        <w:t>M. Young, The Technical Writer</w:t>
      </w:r>
      <w:r w:rsidR="00E7596C">
        <w:t>’</w:t>
      </w:r>
      <w:r>
        <w:t>s Handbook. Mill Valley, CA: University Science, 1989.</w:t>
      </w:r>
    </w:p>
    <w:p w:rsidR="009303D9" w:rsidRDefault="009303D9" w:rsidP="00836367">
      <w:pPr>
        <w:pStyle w:val="references"/>
        <w:numPr>
          <w:ilvl w:val="0"/>
          <w:numId w:val="0"/>
        </w:numPr>
        <w:ind w:start="18pt" w:hanging="18pt"/>
      </w:pPr>
    </w:p>
    <w:p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rsidR="009303D9" w:rsidRDefault="003B2B40" w:rsidP="005B520E">
      <w:r>
        <w:rPr>
          <w:noProof/>
        </w:rPr>
        <w:lastRenderedPageBreak/>
        <w:drawing>
          <wp:anchor distT="0" distB="0" distL="114300" distR="114300" simplePos="0" relativeHeight="251657728"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rsidR="005457E1" w:rsidRDefault="005457E1" w:rsidP="001A3B3D">
      <w:r>
        <w:separator/>
      </w:r>
    </w:p>
  </w:endnote>
  <w:endnote w:type="continuationSeparator" w:id="0">
    <w:p w:rsidR="005457E1" w:rsidRDefault="005457E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characterSet="iso-8859-1"/>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rsidR="005457E1" w:rsidRDefault="005457E1" w:rsidP="001A3B3D">
      <w:r>
        <w:separator/>
      </w:r>
    </w:p>
  </w:footnote>
  <w:footnote w:type="continuationSeparator" w:id="0">
    <w:p w:rsidR="005457E1" w:rsidRDefault="005457E1"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3%"/>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602E"/>
    <w:rsid w:val="0008758A"/>
    <w:rsid w:val="000C1E68"/>
    <w:rsid w:val="001A2EFD"/>
    <w:rsid w:val="001A3B3D"/>
    <w:rsid w:val="001B67DC"/>
    <w:rsid w:val="002254A9"/>
    <w:rsid w:val="00233D97"/>
    <w:rsid w:val="002347A2"/>
    <w:rsid w:val="002844ED"/>
    <w:rsid w:val="002850E3"/>
    <w:rsid w:val="00300EA8"/>
    <w:rsid w:val="0034319C"/>
    <w:rsid w:val="00354FCF"/>
    <w:rsid w:val="00362447"/>
    <w:rsid w:val="003A19E2"/>
    <w:rsid w:val="003A5D94"/>
    <w:rsid w:val="003B2B40"/>
    <w:rsid w:val="003B4E04"/>
    <w:rsid w:val="003F5A08"/>
    <w:rsid w:val="00420716"/>
    <w:rsid w:val="004325FB"/>
    <w:rsid w:val="004432BA"/>
    <w:rsid w:val="0044407E"/>
    <w:rsid w:val="00447BB9"/>
    <w:rsid w:val="0046031D"/>
    <w:rsid w:val="00473AC9"/>
    <w:rsid w:val="004D72B5"/>
    <w:rsid w:val="005457E1"/>
    <w:rsid w:val="00551B7F"/>
    <w:rsid w:val="0056610F"/>
    <w:rsid w:val="005677B9"/>
    <w:rsid w:val="00575BCA"/>
    <w:rsid w:val="005B0344"/>
    <w:rsid w:val="005B520E"/>
    <w:rsid w:val="005C5232"/>
    <w:rsid w:val="005E2800"/>
    <w:rsid w:val="00604978"/>
    <w:rsid w:val="00605825"/>
    <w:rsid w:val="00645D22"/>
    <w:rsid w:val="00651A08"/>
    <w:rsid w:val="00654204"/>
    <w:rsid w:val="00670434"/>
    <w:rsid w:val="006778C6"/>
    <w:rsid w:val="006A7B45"/>
    <w:rsid w:val="006B0685"/>
    <w:rsid w:val="006B6B66"/>
    <w:rsid w:val="006F6D3D"/>
    <w:rsid w:val="00715BEA"/>
    <w:rsid w:val="00740EEA"/>
    <w:rsid w:val="007450DD"/>
    <w:rsid w:val="00794804"/>
    <w:rsid w:val="007B33F1"/>
    <w:rsid w:val="007B6DDA"/>
    <w:rsid w:val="007C0308"/>
    <w:rsid w:val="007C2FF2"/>
    <w:rsid w:val="007D6232"/>
    <w:rsid w:val="007F1F99"/>
    <w:rsid w:val="007F768F"/>
    <w:rsid w:val="0080791D"/>
    <w:rsid w:val="00836367"/>
    <w:rsid w:val="00850CAD"/>
    <w:rsid w:val="00873603"/>
    <w:rsid w:val="00893DF4"/>
    <w:rsid w:val="008A2C7D"/>
    <w:rsid w:val="008B6524"/>
    <w:rsid w:val="008C4B23"/>
    <w:rsid w:val="008F6E2C"/>
    <w:rsid w:val="00912736"/>
    <w:rsid w:val="009303D9"/>
    <w:rsid w:val="00933C64"/>
    <w:rsid w:val="00972203"/>
    <w:rsid w:val="009F1D79"/>
    <w:rsid w:val="00A059B3"/>
    <w:rsid w:val="00A937D7"/>
    <w:rsid w:val="00AE3409"/>
    <w:rsid w:val="00B11A60"/>
    <w:rsid w:val="00B22613"/>
    <w:rsid w:val="00B44A76"/>
    <w:rsid w:val="00B768D1"/>
    <w:rsid w:val="00B86724"/>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0805"/>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1F92BD1"/>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3511370">
      <w:bodyDiv w:val="1"/>
      <w:marLeft w:val="0pt"/>
      <w:marRight w:val="0pt"/>
      <w:marTop w:val="0pt"/>
      <w:marBottom w:val="0pt"/>
      <w:divBdr>
        <w:top w:val="none" w:sz="0" w:space="0" w:color="auto"/>
        <w:left w:val="none" w:sz="0" w:space="0" w:color="auto"/>
        <w:bottom w:val="none" w:sz="0" w:space="0" w:color="auto"/>
        <w:right w:val="none" w:sz="0" w:space="0" w:color="auto"/>
      </w:divBdr>
    </w:div>
    <w:div w:id="761147451">
      <w:bodyDiv w:val="1"/>
      <w:marLeft w:val="0pt"/>
      <w:marRight w:val="0pt"/>
      <w:marTop w:val="0pt"/>
      <w:marBottom w:val="0pt"/>
      <w:divBdr>
        <w:top w:val="none" w:sz="0" w:space="0" w:color="auto"/>
        <w:left w:val="none" w:sz="0" w:space="0" w:color="auto"/>
        <w:bottom w:val="none" w:sz="0" w:space="0" w:color="auto"/>
        <w:right w:val="none" w:sz="0" w:space="0" w:color="auto"/>
      </w:divBdr>
    </w:div>
    <w:div w:id="882324905">
      <w:bodyDiv w:val="1"/>
      <w:marLeft w:val="0pt"/>
      <w:marRight w:val="0pt"/>
      <w:marTop w:val="0pt"/>
      <w:marBottom w:val="0pt"/>
      <w:divBdr>
        <w:top w:val="none" w:sz="0" w:space="0" w:color="auto"/>
        <w:left w:val="none" w:sz="0" w:space="0" w:color="auto"/>
        <w:bottom w:val="none" w:sz="0" w:space="0" w:color="auto"/>
        <w:right w:val="none" w:sz="0" w:space="0" w:color="auto"/>
      </w:divBdr>
    </w:div>
    <w:div w:id="145726186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Arm21</b:Tag>
    <b:SourceType>Report</b:SourceType>
    <b:Guid>{EFC7BD6C-15AE-BB42-864B-4CBE070EEE21}</b:Guid>
    <b:Title>Lakehouse: A New Generation of Open Platforms that Unify Data Warehousing and Advanced Analytics</b:Title>
    <b:Year>2021</b:Year>
    <b:Author>
      <b:Author>
        <b:NameList>
          <b:Person>
            <b:Last>Armbrust</b:Last>
            <b:First>Michael</b:First>
          </b:Person>
        </b:NameList>
      </b:Author>
    </b:Author>
    <b:Publisher>CIDR</b:Publisher>
    <b:RefOrder>1</b:RefOrder>
  </b:Source>
</b:Sources>
</file>

<file path=customXml/itemProps1.xml><?xml version="1.0" encoding="utf-8"?>
<ds:datastoreItem xmlns:ds="http://purl.oclc.org/ooxml/officeDocument/customXml" ds:itemID="{31E66852-5AF4-5240-AA22-0E7BE15C8842}">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49</TotalTime>
  <Pages>4</Pages>
  <Words>2376</Words>
  <Characters>13549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Microsoft Office User</cp:lastModifiedBy>
  <cp:revision>22</cp:revision>
  <dcterms:created xsi:type="dcterms:W3CDTF">2019-01-08T18:42:00Z</dcterms:created>
  <dcterms:modified xsi:type="dcterms:W3CDTF">2026-09-28T14:15:00Z</dcterms:modified>
</cp:coreProperties>
</file>