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rsidR="009303D9" w:rsidRPr="00D632BE" w:rsidRDefault="009303D9" w:rsidP="006B6B66">
      <w:pPr>
        <w:pStyle w:val="Heading1"/>
      </w:pPr>
      <w:r w:rsidRPr="00D632BE">
        <w:t>Introduction (</w:t>
      </w:r>
      <w:r w:rsidR="005B0344" w:rsidRPr="00EA506F">
        <w:rPr>
          <w:rFonts w:eastAsia="MS Mincho"/>
          <w:i/>
        </w:rPr>
        <w:t>Heading 1</w:t>
      </w:r>
      <w:r w:rsidRPr="00D632BE">
        <w:t>)</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Content>
          <w:r w:rsidR="002844ED">
            <w:rPr>
              <w:lang w:val="en-IE"/>
            </w:rPr>
            <w:fldChar w:fldCharType="begin"/>
          </w:r>
          <w:r w:rsidR="002844ED">
            <w:rPr>
              <w:highlight w:val="yellow"/>
              <w:lang w:val="en-IE"/>
            </w:rPr>
            <w:instrText xml:space="preserve"> CITATION Arm21 \l</w:instrText>
          </w:r>
          <w:r w:rsidR="00BA57A9">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 xml:space="preserve">on Spark’s functional, coarse-grained compute model, so that deep learning runs on the Hadoop or Spark clusters where production data already sits </w:t>
      </w:r>
      <w:r w:rsidR="00D758D4">
        <w:rPr>
          <w:lang w:val="en-IE"/>
        </w:rPr>
        <w:lastRenderedPageBreak/>
        <w:t>(</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A30047" w:rsidRDefault="00A30047" w:rsidP="00E7596C">
      <w:pPr>
        <w:pStyle w:val="BodyText"/>
        <w:rPr>
          <w:lang w:val="en-IE"/>
        </w:rPr>
      </w:pPr>
      <w:r>
        <w:rPr>
          <w:lang w:val="en-IE"/>
        </w:rPr>
        <w:t>The second philosophy</w:t>
      </w:r>
      <w:r w:rsidR="007E4AAA">
        <w:rPr>
          <w:lang w:val="en-IE"/>
        </w:rPr>
        <w:t xml:space="preserve"> uses Spark for data prepar</w:t>
      </w:r>
      <w:r w:rsidR="005D1972">
        <w:rPr>
          <w:lang w:val="en-IE"/>
        </w:rPr>
        <w:t>a</w:t>
      </w:r>
      <w:r w:rsidR="007E4AAA">
        <w:rPr>
          <w:lang w:val="en-IE"/>
        </w:rPr>
        <w:t>tion</w:t>
      </w:r>
      <w:r w:rsidR="005D1972">
        <w:rPr>
          <w:lang w:val="en-IE"/>
        </w:rPr>
        <w:t xml:space="preserve"> and delegates training to a specialised framework. </w:t>
      </w:r>
      <w:proofErr w:type="spellStart"/>
      <w:r w:rsidR="005D1972" w:rsidRPr="005D1972">
        <w:rPr>
          <w:highlight w:val="yellow"/>
          <w:lang w:val="en-IE"/>
        </w:rPr>
        <w:t>Horovod</w:t>
      </w:r>
      <w:proofErr w:type="spellEnd"/>
      <w:r w:rsidR="005D1972">
        <w:rPr>
          <w:lang w:val="en-IE"/>
        </w:rPr>
        <w:t xml:space="preserve"> applies ring all-reduce to make multi-GPU training efficient while requiring only a few lines of change to user code (</w:t>
      </w:r>
      <w:proofErr w:type="spellStart"/>
      <w:r w:rsidR="005D1972">
        <w:rPr>
          <w:lang w:val="en-IE"/>
        </w:rPr>
        <w:t>Sergeev</w:t>
      </w:r>
      <w:proofErr w:type="spellEnd"/>
      <w:r w:rsidR="005D1972">
        <w:rPr>
          <w:lang w:val="en-IE"/>
        </w:rPr>
        <w:t xml:space="preserve"> and Del </w:t>
      </w:r>
      <w:proofErr w:type="spellStart"/>
      <w:r w:rsidR="005D1972">
        <w:rPr>
          <w:lang w:val="en-IE"/>
        </w:rPr>
        <w:t>Balso</w:t>
      </w:r>
      <w:proofErr w:type="spellEnd"/>
      <w:r w:rsidR="005D1972">
        <w:rPr>
          <w:lang w:val="en-IE"/>
        </w:rPr>
        <w:t xml:space="preserve">, 2018). </w:t>
      </w:r>
      <w:r w:rsidR="00263C27" w:rsidRPr="00263C27">
        <w:rPr>
          <w:highlight w:val="yellow"/>
          <w:lang w:val="en-IE"/>
        </w:rPr>
        <w:t>Migliorini</w:t>
      </w:r>
      <w:r w:rsidR="00263C27">
        <w:rPr>
          <w:lang w:val="en-IE"/>
        </w:rPr>
        <w:t xml:space="preserve"> et al. (2020)</w:t>
      </w:r>
      <w:r w:rsidR="005D1972">
        <w:rPr>
          <w:lang w:val="en-IE"/>
        </w:rPr>
        <w:t xml:space="preserve"> </w:t>
      </w:r>
      <w:r w:rsidR="00263C27">
        <w:rPr>
          <w:lang w:val="en-IE"/>
        </w:rPr>
        <w:t xml:space="preserve">combine both ideas in a high-energy-physics pipeline: Spark ingests and engineers features and stores results as Parquet, </w:t>
      </w:r>
      <w:proofErr w:type="spellStart"/>
      <w:r w:rsidR="00263C27">
        <w:rPr>
          <w:lang w:val="en-IE"/>
        </w:rPr>
        <w:t>Keras</w:t>
      </w:r>
      <w:proofErr w:type="spellEnd"/>
      <w:r w:rsidR="00263C27">
        <w:rPr>
          <w:lang w:val="en-IE"/>
        </w:rPr>
        <w:t xml:space="preserve"> models are trained with </w:t>
      </w:r>
      <w:proofErr w:type="spellStart"/>
      <w:r w:rsidR="00263C27">
        <w:rPr>
          <w:lang w:val="en-IE"/>
        </w:rPr>
        <w:t>BigDL</w:t>
      </w:r>
      <w:proofErr w:type="spellEnd"/>
      <w:r w:rsidR="00263C27">
        <w:rPr>
          <w:lang w:val="en-IE"/>
        </w:rPr>
        <w:t xml:space="preserve"> or TensorFlow, and hyper-parameters are tuned by grid search. </w:t>
      </w:r>
      <w:r w:rsidR="00D619A1">
        <w:rPr>
          <w:lang w:val="en-IE"/>
        </w:rPr>
        <w:t xml:space="preserve">Their </w:t>
      </w:r>
      <w:proofErr w:type="spellStart"/>
      <w:r w:rsidR="00D619A1">
        <w:rPr>
          <w:lang w:val="en-IE"/>
        </w:rPr>
        <w:t>ent</w:t>
      </w:r>
      <w:proofErr w:type="spellEnd"/>
      <w:r w:rsidR="00D619A1">
        <w:rPr>
          <w:lang w:val="en-IE"/>
        </w:rPr>
        <w:t>-to-end structure closely resembles the pipeline evaluated here, but in a domain with far larger volume</w:t>
      </w:r>
      <w:r w:rsidR="00676DAA">
        <w:rPr>
          <w:lang w:val="en-IE"/>
        </w:rPr>
        <w:t>s</w:t>
      </w:r>
      <w:r w:rsidR="00D619A1">
        <w:rPr>
          <w:lang w:val="en-IE"/>
        </w:rPr>
        <w:t>.</w:t>
      </w:r>
    </w:p>
    <w:p w:rsidR="00D619A1" w:rsidRDefault="00676DAA" w:rsidP="00E7596C">
      <w:pPr>
        <w:pStyle w:val="BodyText"/>
        <w:rPr>
          <w:lang w:val="en-IE"/>
        </w:rPr>
      </w:pPr>
      <w:r>
        <w:rPr>
          <w:lang w:val="en-IE"/>
        </w:rPr>
        <w:t xml:space="preserve">Performance studies temper the enthusiasm. </w:t>
      </w:r>
      <w:proofErr w:type="spellStart"/>
      <w:r w:rsidRPr="00676DAA">
        <w:rPr>
          <w:highlight w:val="yellow"/>
        </w:rPr>
        <w:t>Dünner</w:t>
      </w:r>
      <w:proofErr w:type="spellEnd"/>
      <w:r>
        <w:t xml:space="preserve"> et al. (2016)</w:t>
      </w:r>
      <w:r>
        <w:rPr>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t>Djebrouni</w:t>
      </w:r>
      <w:proofErr w:type="spellEnd"/>
      <w:r>
        <w:t xml:space="preserve"> et al. (2023)</w:t>
      </w:r>
      <w:r>
        <w:rPr>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Default="00E23DF8" w:rsidP="00E23DF8">
      <w:pPr>
        <w:pStyle w:val="Heading2"/>
      </w:pPr>
      <w:r>
        <w:t>Data lakes and lakehouse storage</w:t>
      </w:r>
    </w:p>
    <w:p w:rsidR="00E23DF8" w:rsidRPr="00E23DF8" w:rsidRDefault="008B496E" w:rsidP="009B4761">
      <w:pPr>
        <w:ind w:firstLine="14.40pt"/>
        <w:jc w:val="both"/>
      </w:pPr>
      <w:proofErr w:type="spellStart"/>
      <w:r w:rsidRPr="008B496E">
        <w:rPr>
          <w:highlight w:val="yellow"/>
        </w:rPr>
        <w:t>Armbrust</w:t>
      </w:r>
      <w:proofErr w:type="spellEnd"/>
      <w:r>
        <w:t xml:space="preserve"> et al. (2021) argue that warehouses serve machine learning poorly because TensorFlow, </w:t>
      </w:r>
      <w:proofErr w:type="spellStart"/>
      <w:r>
        <w:t>PyTorch</w:t>
      </w:r>
      <w:proofErr w:type="spellEnd"/>
      <w:r>
        <w:t xml:space="preserve"> and </w:t>
      </w:r>
      <w:proofErr w:type="spellStart"/>
      <w:r>
        <w:t>XGBoost</w:t>
      </w:r>
      <w:proofErr w:type="spellEnd"/>
      <w:r>
        <w:t xml:space="preserve"> must process large data with non-SQL code, and reading through ODBC or JDBC is inefficient. They propose the </w:t>
      </w:r>
      <w:proofErr w:type="spellStart"/>
      <w:r>
        <w:t>lakehouse</w:t>
      </w:r>
      <w:proofErr w:type="spellEnd"/>
      <w:r>
        <w:t xml:space="preserve">: open, directly accessible formats such as Parquet with warehouse-style management on top. </w:t>
      </w:r>
      <w:r w:rsidR="00680542">
        <w:t>Delta Lake realizes this by keeping a transaction log in the object store alongside Parquet data, giving ACID transactions, time travel and faster metadata operations (</w:t>
      </w:r>
      <w:proofErr w:type="spellStart"/>
      <w:r w:rsidR="00680542" w:rsidRPr="00680542">
        <w:rPr>
          <w:highlight w:val="yellow"/>
        </w:rPr>
        <w:t>Armbrust</w:t>
      </w:r>
      <w:proofErr w:type="spellEnd"/>
      <w:r w:rsidR="00680542">
        <w:t xml:space="preserve"> et al., 2020). </w:t>
      </w:r>
      <w:r w:rsidR="00DA4D42" w:rsidRPr="00DA4D42">
        <w:rPr>
          <w:highlight w:val="yellow"/>
        </w:rPr>
        <w:t>Jain</w:t>
      </w:r>
      <w:r w:rsidR="00DA4D42">
        <w:t xml:space="preserve"> et al. (2023)</w:t>
      </w:r>
      <w:r>
        <w:t xml:space="preserve"> </w:t>
      </w:r>
      <w:r w:rsidR="00DA4D42">
        <w:t xml:space="preserve">compare </w:t>
      </w:r>
      <w:proofErr w:type="spellStart"/>
      <w:r w:rsidR="00DA4D42">
        <w:t>lakehouse</w:t>
      </w:r>
      <w:proofErr w:type="spellEnd"/>
      <w:r w:rsidR="00DA4D42">
        <w:t xml:space="preserve"> storage systems empirically, and </w:t>
      </w:r>
      <w:proofErr w:type="spellStart"/>
      <w:r w:rsidR="00DA4D42" w:rsidRPr="00DA4D42">
        <w:rPr>
          <w:highlight w:val="yellow"/>
        </w:rPr>
        <w:t>Harby</w:t>
      </w:r>
      <w:proofErr w:type="spellEnd"/>
      <w:r w:rsidR="00DA4D42" w:rsidRPr="00DA4D42">
        <w:rPr>
          <w:highlight w:val="yellow"/>
        </w:rPr>
        <w:t xml:space="preserve"> and </w:t>
      </w:r>
      <w:proofErr w:type="spellStart"/>
      <w:r w:rsidR="00DA4D42" w:rsidRPr="00DA4D42">
        <w:rPr>
          <w:highlight w:val="yellow"/>
        </w:rPr>
        <w:t>Zulkernine</w:t>
      </w:r>
      <w:proofErr w:type="spellEnd"/>
      <w:r w:rsidR="00DA4D42">
        <w:t xml:space="preserve"> (2022) review the shift from warehouses to </w:t>
      </w:r>
      <w:proofErr w:type="spellStart"/>
      <w:r w:rsidR="00DA4D42">
        <w:t>lakehouses</w:t>
      </w:r>
      <w:proofErr w:type="spellEnd"/>
      <w:r w:rsidR="00DA4D42">
        <w:t>. These studies concentrate on query workloads; effect of storage format on the machine-learning path is discussed mostly qualitatively.</w:t>
      </w:r>
    </w:p>
    <w:p w:rsidR="00E23DF8" w:rsidRDefault="009B4761" w:rsidP="009B4761">
      <w:pPr>
        <w:pStyle w:val="Heading2"/>
        <w:rPr>
          <w:lang w:val="en-IE"/>
        </w:rPr>
      </w:pPr>
      <w:r>
        <w:rPr>
          <w:lang w:val="en-IE"/>
        </w:rPr>
        <w:t>Synthesis and research gap</w:t>
      </w:r>
    </w:p>
    <w:p w:rsidR="004B5DCD" w:rsidRPr="00E1312F" w:rsidRDefault="009B4761" w:rsidP="00E1312F">
      <w:pPr>
        <w:ind w:firstLine="14.40pt"/>
        <w:jc w:val="both"/>
        <w:rPr>
          <w:color w:val="FF0000"/>
          <w:lang w:val="en-IE"/>
        </w:rPr>
      </w:pPr>
      <w:r>
        <w:rPr>
          <w:lang w:val="en-IE"/>
        </w:rPr>
        <w:t xml:space="preserve">Three </w:t>
      </w:r>
      <w:r w:rsidR="00B63F4F">
        <w:rPr>
          <w:lang w:val="en-IE"/>
        </w:rPr>
        <w:t xml:space="preserve">gaps emerge. First, most system papers are written by platform builders and report favourable production evidence rather than independent, reproducible comparisons. Second, published work rarely documents the sequence of design </w:t>
      </w:r>
      <w:r w:rsidR="00C65209">
        <w:rPr>
          <w:lang w:val="en-IE"/>
        </w:rPr>
        <w:t xml:space="preserve">decisions, so it is unclear how much accuracy comes from data preparation compared with network architecture. </w:t>
      </w:r>
      <w:r w:rsidR="002D69EE">
        <w:rPr>
          <w:lang w:val="en-IE"/>
        </w:rPr>
        <w:t xml:space="preserve">Third, storage-format studies and neural-network studies are conducted separately, leaving the joint cost unquantified. The quality of evidence also varies. Peer-reviewed system papers describe design and deployments, but few isolate the effect of an individual choice, and survey work such as </w:t>
      </w:r>
      <w:proofErr w:type="spellStart"/>
      <w:r w:rsidR="002D69EE" w:rsidRPr="002D69EE">
        <w:rPr>
          <w:highlight w:val="yellow"/>
          <w:lang w:val="en-IE"/>
        </w:rPr>
        <w:t>Verbraeken</w:t>
      </w:r>
      <w:proofErr w:type="spellEnd"/>
      <w:r w:rsidR="002D69EE">
        <w:rPr>
          <w:lang w:val="en-IE"/>
        </w:rPr>
        <w:t xml:space="preserve"> et al. (2020)</w:t>
      </w:r>
      <w:r w:rsidR="00C65209">
        <w:rPr>
          <w:lang w:val="en-IE"/>
        </w:rPr>
        <w:t xml:space="preserve"> </w:t>
      </w:r>
      <w:r w:rsidR="002D69EE">
        <w:rPr>
          <w:lang w:val="en-IE"/>
        </w:rPr>
        <w:t xml:space="preserve">organizes approaches rather than testing them. Empirical studies are narrower, examining a specific workload or a specific storage format, and their findings do not automatically transfer to a different data type or scale. There is also a genuine disagreement: </w:t>
      </w:r>
      <w:proofErr w:type="spellStart"/>
      <w:r w:rsidR="002D69EE">
        <w:rPr>
          <w:lang w:val="en-IE"/>
        </w:rPr>
        <w:t>BigDL</w:t>
      </w:r>
      <w:proofErr w:type="spellEnd"/>
      <w:r w:rsidR="002D69EE">
        <w:rPr>
          <w:lang w:val="en-IE"/>
        </w:rPr>
        <w:t xml:space="preserve"> and </w:t>
      </w:r>
      <w:proofErr w:type="spellStart"/>
      <w:r w:rsidR="002D69EE">
        <w:rPr>
          <w:lang w:val="en-IE"/>
        </w:rPr>
        <w:t>SparkNet</w:t>
      </w:r>
      <w:proofErr w:type="spellEnd"/>
      <w:r w:rsidR="002D69EE">
        <w:rPr>
          <w:lang w:val="en-IE"/>
        </w:rPr>
        <w:t xml:space="preserve"> argue for co-locating training with the data, whereas </w:t>
      </w:r>
      <w:proofErr w:type="spellStart"/>
      <w:r w:rsidR="002D69EE">
        <w:rPr>
          <w:lang w:val="en-IE"/>
        </w:rPr>
        <w:t>Horovod</w:t>
      </w:r>
      <w:proofErr w:type="spellEnd"/>
      <w:r w:rsidR="002D69EE">
        <w:rPr>
          <w:lang w:val="en-IE"/>
        </w:rPr>
        <w:t xml:space="preserve"> and the physics pipeline favour handing data to specialised </w:t>
      </w:r>
      <w:r w:rsidR="002D69EE">
        <w:rPr>
          <w:lang w:val="en-IE"/>
        </w:rPr>
        <w:t xml:space="preserve">training engines. </w:t>
      </w:r>
      <w:r w:rsidR="004C4068" w:rsidRPr="004C4068">
        <w:rPr>
          <w:color w:val="FF0000"/>
          <w:lang w:val="en-IE"/>
        </w:rPr>
        <w:t>This paper does not settle that dispute, but provides a small, fully documented case that exposes what the co-located option costs and delivers</w:t>
      </w:r>
      <w:r w:rsidR="00E1312F">
        <w:rPr>
          <w:color w:val="FF0000"/>
          <w:lang w:val="en-IE"/>
        </w:rPr>
        <w:t>.</w:t>
      </w:r>
    </w:p>
    <w:p w:rsidR="009303D9" w:rsidRDefault="009303D9" w:rsidP="006B6B66">
      <w:pPr>
        <w:pStyle w:val="Heading1"/>
      </w:pPr>
      <w:r>
        <w:t xml:space="preserve">Prepare Your Paper </w:t>
      </w:r>
      <w:r w:rsidRPr="005B520E">
        <w:t>Before</w:t>
      </w:r>
      <w:r>
        <w:t xml:space="preserve"> Styling</w:t>
      </w:r>
    </w:p>
    <w:p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9303D9" w:rsidRDefault="009303D9" w:rsidP="00ED0149">
      <w:pPr>
        <w:pStyle w:val="Heading2"/>
      </w:pPr>
      <w:r w:rsidRPr="00ED0149">
        <w:t>Abbreviations</w:t>
      </w:r>
      <w:r>
        <w:t xml:space="preserve"> and Acronyms</w:t>
      </w:r>
    </w:p>
    <w:p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rsidR="009303D9" w:rsidRDefault="009303D9" w:rsidP="00ED0149">
      <w:pPr>
        <w:pStyle w:val="Heading2"/>
      </w:pPr>
      <w:r>
        <w:t>Units</w:t>
      </w:r>
    </w:p>
    <w:p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rsidR="009303D9" w:rsidRPr="005B520E" w:rsidRDefault="009303D9" w:rsidP="00ED0149">
      <w:pPr>
        <w:pStyle w:val="Heading2"/>
      </w:pPr>
      <w:r w:rsidRPr="005B520E">
        <w:t>Equations</w:t>
      </w:r>
    </w:p>
    <w:p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rsidR="009303D9" w:rsidRDefault="009303D9" w:rsidP="00E7596C">
      <w:pPr>
        <w:pStyle w:val="BodyText"/>
      </w:pPr>
      <w:r>
        <w:lastRenderedPageBreak/>
        <w:t>Note that the equation is centered using a center tab stop. Be sure that the symbols in your equation have been defined before or immediately following the equation. Use “(1)”, not “Eq. (1)” or “equation (1)”, except at the beginning of a sentence: “Equation (1) is . . .”</w:t>
      </w:r>
    </w:p>
    <w:p w:rsidR="009303D9" w:rsidRDefault="009303D9" w:rsidP="00ED0149">
      <w:pPr>
        <w:pStyle w:val="Heading2"/>
      </w:pPr>
      <w:r>
        <w:t>Some Common Mistakes</w:t>
      </w:r>
    </w:p>
    <w:p w:rsidR="009303D9" w:rsidRPr="005B520E" w:rsidRDefault="009303D9" w:rsidP="00E7596C">
      <w:pPr>
        <w:pStyle w:val="bulletlist"/>
      </w:pPr>
      <w:r w:rsidRPr="005B520E">
        <w:t>The word “data” is plural, not singular.</w:t>
      </w:r>
    </w:p>
    <w:p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rsidR="009303D9" w:rsidRPr="005B520E" w:rsidRDefault="009303D9" w:rsidP="00E7596C">
      <w:pPr>
        <w:pStyle w:val="bulletlist"/>
      </w:pPr>
      <w:r w:rsidRPr="005B520E">
        <w:t>Do not use the word “essentially” to mean “approximately” or “effectively”.</w:t>
      </w:r>
    </w:p>
    <w:p w:rsidR="009303D9" w:rsidRPr="005B520E" w:rsidRDefault="009303D9" w:rsidP="00E7596C">
      <w:pPr>
        <w:pStyle w:val="bulletlist"/>
      </w:pPr>
      <w:r w:rsidRPr="005B520E">
        <w:t>In your paper title, if the words “that uses” can accurately replace the word “using”, capitalize the “u”; if not, keep using lower-cased.</w:t>
      </w:r>
    </w:p>
    <w:p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rsidR="009303D9" w:rsidRPr="005B520E" w:rsidRDefault="009303D9" w:rsidP="00E7596C">
      <w:pPr>
        <w:pStyle w:val="bulletlist"/>
      </w:pPr>
      <w:r w:rsidRPr="005B520E">
        <w:t>Do not confuse “imply” and “infer”.</w:t>
      </w:r>
    </w:p>
    <w:p w:rsidR="009303D9" w:rsidRPr="005B520E" w:rsidRDefault="009303D9" w:rsidP="00E7596C">
      <w:pPr>
        <w:pStyle w:val="bulletlist"/>
      </w:pPr>
      <w:r w:rsidRPr="005B520E">
        <w:t>The prefix “non” is not a word; it should be joined to the word it modifies, usually without a hyphen.</w:t>
      </w:r>
    </w:p>
    <w:p w:rsidR="009303D9" w:rsidRPr="005B520E" w:rsidRDefault="009303D9" w:rsidP="00E7596C">
      <w:pPr>
        <w:pStyle w:val="bulletlist"/>
      </w:pPr>
      <w:r w:rsidRPr="005B520E">
        <w:t>There is no period after the “et” in the Latin abbreviation “et al.”.</w:t>
      </w:r>
    </w:p>
    <w:p w:rsidR="009303D9" w:rsidRPr="005B520E" w:rsidRDefault="009303D9" w:rsidP="00E7596C">
      <w:pPr>
        <w:pStyle w:val="bulletlist"/>
      </w:pPr>
      <w:r w:rsidRPr="005B520E">
        <w:t>The abbreviation “i.e.” means “that is”, and the abbreviation “e.g.” means “for example”.</w:t>
      </w:r>
    </w:p>
    <w:p w:rsidR="009303D9" w:rsidRPr="005B520E" w:rsidRDefault="009303D9" w:rsidP="00E7596C">
      <w:pPr>
        <w:pStyle w:val="BodyText"/>
      </w:pPr>
      <w:r w:rsidRPr="005B520E">
        <w:t>An excellent style manual for science writers is [7].</w:t>
      </w:r>
    </w:p>
    <w:p w:rsidR="009303D9" w:rsidRDefault="009303D9" w:rsidP="006B6B66">
      <w:pPr>
        <w:pStyle w:val="Heading1"/>
      </w:pPr>
      <w:r>
        <w:t xml:space="preserve">Using the </w:t>
      </w:r>
      <w:r w:rsidRPr="005B520E">
        <w:t>Template</w:t>
      </w:r>
    </w:p>
    <w:p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w:t>
      </w:r>
      <w:r w:rsidR="00D7522C">
        <w:t>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w:t>
      </w:r>
      <w:r w:rsidRPr="005B520E">
        <w:lastRenderedPageBreak/>
        <w:t>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3D9" w:rsidRDefault="009303D9" w:rsidP="00A059B3">
      <w:pPr>
        <w:pStyle w:val="Heading5"/>
      </w:pPr>
      <w:r w:rsidRPr="005B520E">
        <w:t>References</w:t>
      </w:r>
    </w:p>
    <w:p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accepted for publication should be cited as “in press” [5]. </w:t>
      </w:r>
      <w:r w:rsidRPr="005B520E">
        <w:t>Capitalize only the first word in a paper title, except for proper nouns and element symbols.</w:t>
      </w:r>
    </w:p>
    <w:p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rsidR="009303D9" w:rsidRPr="005B520E" w:rsidRDefault="009303D9"/>
    <w:p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rsidR="009303D9" w:rsidRDefault="009303D9" w:rsidP="0004781E">
      <w:pPr>
        <w:pStyle w:val="references"/>
        <w:ind w:start="17.70pt" w:hanging="17.70pt"/>
      </w:pPr>
      <w:r>
        <w:t>J. Clerk Maxwell, A Treatise on Electricity and Magnetism, 3rd ed., vol. 2. Oxford: Clarendon, 1892, pp.68–73.</w:t>
      </w:r>
    </w:p>
    <w:p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rsidR="009303D9" w:rsidRDefault="009303D9" w:rsidP="0004781E">
      <w:pPr>
        <w:pStyle w:val="references"/>
        <w:ind w:start="17.70pt" w:hanging="17.70pt"/>
      </w:pPr>
      <w:r>
        <w:t>K. Elissa, “Title of paper if known,” unpublished.</w:t>
      </w:r>
    </w:p>
    <w:p w:rsidR="009303D9" w:rsidRDefault="009303D9" w:rsidP="0004781E">
      <w:pPr>
        <w:pStyle w:val="references"/>
        <w:ind w:start="17.70pt" w:hanging="17.70pt"/>
      </w:pPr>
      <w:r>
        <w:t>R. Nicole, “Title of paper with only first word capitalized,” J. Name Stand. Abbrev., in press.</w:t>
      </w:r>
    </w:p>
    <w:p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rsidR="009303D9" w:rsidRDefault="009303D9" w:rsidP="0004781E">
      <w:pPr>
        <w:pStyle w:val="references"/>
        <w:ind w:start="17.70pt" w:hanging="17.70pt"/>
      </w:pPr>
      <w:r>
        <w:t>M. Young, The Technical Writer</w:t>
      </w:r>
      <w:r w:rsidR="00E7596C">
        <w:t>’</w:t>
      </w:r>
      <w:r>
        <w:t>s Handbook. Mill Valley, CA: University Science, 1989.</w:t>
      </w:r>
    </w:p>
    <w:p w:rsidR="009303D9" w:rsidRDefault="009303D9" w:rsidP="00836367">
      <w:pPr>
        <w:pStyle w:val="references"/>
        <w:numPr>
          <w:ilvl w:val="0"/>
          <w:numId w:val="0"/>
        </w:numPr>
        <w:ind w:start="18pt" w:hanging="18pt"/>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BA57A9" w:rsidRDefault="00BA57A9" w:rsidP="001A3B3D">
      <w:r>
        <w:separator/>
      </w:r>
    </w:p>
  </w:endnote>
  <w:endnote w:type="continuationSeparator" w:id="0">
    <w:p w:rsidR="00BA57A9" w:rsidRDefault="00BA57A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BA57A9" w:rsidRDefault="00BA57A9" w:rsidP="001A3B3D">
      <w:r>
        <w:separator/>
      </w:r>
    </w:p>
  </w:footnote>
  <w:footnote w:type="continuationSeparator" w:id="0">
    <w:p w:rsidR="00BA57A9" w:rsidRDefault="00BA57A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C1E68"/>
    <w:rsid w:val="000E55F2"/>
    <w:rsid w:val="001A2EFD"/>
    <w:rsid w:val="001A3B3D"/>
    <w:rsid w:val="001B67DC"/>
    <w:rsid w:val="002254A9"/>
    <w:rsid w:val="00233D97"/>
    <w:rsid w:val="002347A2"/>
    <w:rsid w:val="00263C27"/>
    <w:rsid w:val="00270703"/>
    <w:rsid w:val="002844ED"/>
    <w:rsid w:val="002850E3"/>
    <w:rsid w:val="002D69EE"/>
    <w:rsid w:val="00300EA8"/>
    <w:rsid w:val="0034319C"/>
    <w:rsid w:val="00354FCF"/>
    <w:rsid w:val="00362447"/>
    <w:rsid w:val="003A19E2"/>
    <w:rsid w:val="003A5D94"/>
    <w:rsid w:val="003B2B40"/>
    <w:rsid w:val="003B4E04"/>
    <w:rsid w:val="003F5A08"/>
    <w:rsid w:val="00420716"/>
    <w:rsid w:val="004325FB"/>
    <w:rsid w:val="004432BA"/>
    <w:rsid w:val="0044407E"/>
    <w:rsid w:val="00447BB9"/>
    <w:rsid w:val="0046031D"/>
    <w:rsid w:val="00473AC9"/>
    <w:rsid w:val="004B5DCD"/>
    <w:rsid w:val="004C4068"/>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36367"/>
    <w:rsid w:val="0083717D"/>
    <w:rsid w:val="00850CAD"/>
    <w:rsid w:val="00873603"/>
    <w:rsid w:val="00893DF4"/>
    <w:rsid w:val="008A2C7D"/>
    <w:rsid w:val="008B496E"/>
    <w:rsid w:val="008B6524"/>
    <w:rsid w:val="008C4B23"/>
    <w:rsid w:val="008F6E2C"/>
    <w:rsid w:val="00912736"/>
    <w:rsid w:val="009303D9"/>
    <w:rsid w:val="00933C64"/>
    <w:rsid w:val="00972203"/>
    <w:rsid w:val="009B4761"/>
    <w:rsid w:val="009F1D79"/>
    <w:rsid w:val="00A059B3"/>
    <w:rsid w:val="00A30047"/>
    <w:rsid w:val="00A451AE"/>
    <w:rsid w:val="00A479B3"/>
    <w:rsid w:val="00A937D7"/>
    <w:rsid w:val="00AA16B8"/>
    <w:rsid w:val="00AE3409"/>
    <w:rsid w:val="00B11A60"/>
    <w:rsid w:val="00B22613"/>
    <w:rsid w:val="00B44A76"/>
    <w:rsid w:val="00B63F4F"/>
    <w:rsid w:val="00B768D1"/>
    <w:rsid w:val="00B86724"/>
    <w:rsid w:val="00BA1025"/>
    <w:rsid w:val="00BA57A9"/>
    <w:rsid w:val="00BC3420"/>
    <w:rsid w:val="00BD670B"/>
    <w:rsid w:val="00BE7D3C"/>
    <w:rsid w:val="00BF5FF6"/>
    <w:rsid w:val="00C0207F"/>
    <w:rsid w:val="00C16117"/>
    <w:rsid w:val="00C3075A"/>
    <w:rsid w:val="00C65209"/>
    <w:rsid w:val="00C919A4"/>
    <w:rsid w:val="00CA4392"/>
    <w:rsid w:val="00CC393F"/>
    <w:rsid w:val="00D2176E"/>
    <w:rsid w:val="00D4584B"/>
    <w:rsid w:val="00D619A1"/>
    <w:rsid w:val="00D632BE"/>
    <w:rsid w:val="00D72D06"/>
    <w:rsid w:val="00D7522C"/>
    <w:rsid w:val="00D7536F"/>
    <w:rsid w:val="00D758D4"/>
    <w:rsid w:val="00D76668"/>
    <w:rsid w:val="00DA4D42"/>
    <w:rsid w:val="00DD38BC"/>
    <w:rsid w:val="00E07383"/>
    <w:rsid w:val="00E1312F"/>
    <w:rsid w:val="00E165BC"/>
    <w:rsid w:val="00E23DF8"/>
    <w:rsid w:val="00E61E12"/>
    <w:rsid w:val="00E7596C"/>
    <w:rsid w:val="00E878F2"/>
    <w:rsid w:val="00ED0149"/>
    <w:rsid w:val="00EF7DE3"/>
    <w:rsid w:val="00F03103"/>
    <w:rsid w:val="00F20805"/>
    <w:rsid w:val="00F271DE"/>
    <w:rsid w:val="00F51484"/>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F92BD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B9C85D19-FD4E-E54C-B16D-B2B8ECFBC9D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TotalTime>
  <Pages>4</Pages>
  <Words>2970</Words>
  <Characters>16929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8</cp:revision>
  <dcterms:created xsi:type="dcterms:W3CDTF">2026-09-29T16:06:00Z</dcterms:created>
  <dcterms:modified xsi:type="dcterms:W3CDTF">2026-09-29T16:16:00Z</dcterms:modified>
</cp:coreProperties>
</file>