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conformance="strict">
  <w:body>
    <w:p w:rsidR="009303D9" w:rsidRPr="008B6524" w:rsidRDefault="009303D9" w:rsidP="008B6524">
      <w:pPr>
        <w:pStyle w:val="papertitle"/>
        <w:spacing w:before="5pt" w:beforeAutospacing="1" w:after="5pt" w:afterAutospacing="1"/>
        <w:rPr>
          <w:kern w:val="48"/>
        </w:rPr>
      </w:pPr>
      <w:r w:rsidRPr="008B6524">
        <w:rPr>
          <w:kern w:val="48"/>
        </w:rPr>
        <w:t>Paper Title</w:t>
      </w:r>
      <w:r w:rsidR="00E7596C" w:rsidRPr="008B6524">
        <w:rPr>
          <w:kern w:val="48"/>
        </w:rPr>
        <w:t>*</w:t>
      </w:r>
      <w:r w:rsidRPr="008B6524">
        <w:rPr>
          <w:kern w:val="48"/>
        </w:rPr>
        <w:t xml:space="preserve"> (use style: </w:t>
      </w:r>
      <w:r w:rsidRPr="008B6524">
        <w:rPr>
          <w:iCs/>
          <w:kern w:val="48"/>
        </w:rPr>
        <w:t>paper title</w:t>
      </w:r>
      <w:r w:rsidRPr="008B6524">
        <w:rPr>
          <w:kern w:val="48"/>
        </w:rPr>
        <w:t>)</w:t>
      </w:r>
    </w:p>
    <w:p w:rsidR="009303D9" w:rsidRDefault="00D7522C" w:rsidP="008B6524">
      <w:pPr>
        <w:pStyle w:val="Author"/>
        <w:spacing w:before="5pt" w:beforeAutospacing="1" w:after="5pt" w:afterAutospacing="1"/>
        <w:rPr>
          <w:sz w:val="16"/>
          <w:szCs w:val="16"/>
        </w:rPr>
      </w:pPr>
      <w:r>
        <w:rPr>
          <w:sz w:val="16"/>
          <w:szCs w:val="16"/>
        </w:rPr>
        <w:t>*</w:t>
      </w:r>
      <w:r w:rsidR="00CA4392" w:rsidRPr="00CA4392">
        <w:rPr>
          <w:sz w:val="16"/>
          <w:szCs w:val="16"/>
        </w:rPr>
        <w:t>Note: Sub-titles are not captured in Xplore and should not be used</w:t>
      </w:r>
    </w:p>
    <w:p w:rsidR="00D7522C" w:rsidRDefault="00D7522C" w:rsidP="003B4E04">
      <w:pPr>
        <w:pStyle w:val="Author"/>
        <w:spacing w:before="5pt" w:beforeAutospacing="1" w:after="5pt" w:afterAutospacing="1" w:line="6pt" w:lineRule="auto"/>
        <w:rPr>
          <w:sz w:val="16"/>
          <w:szCs w:val="16"/>
        </w:rPr>
      </w:pPr>
    </w:p>
    <w:p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rsidR="00BD670B" w:rsidRDefault="009303D9" w:rsidP="00BD670B">
      <w:pPr>
        <w:pStyle w:val="Author"/>
        <w:spacing w:before="5pt" w:beforeAutospacing="1"/>
        <w:rPr>
          <w:sz w:val="18"/>
          <w:szCs w:val="18"/>
        </w:rPr>
      </w:pPr>
      <w:r w:rsidRPr="00F847A6">
        <w:rPr>
          <w:sz w:val="18"/>
          <w:szCs w:val="18"/>
        </w:rPr>
        <w:t>line 1</w:t>
      </w:r>
      <w:r w:rsidR="001A3B3D" w:rsidRPr="00F847A6">
        <w:rPr>
          <w:sz w:val="18"/>
          <w:szCs w:val="18"/>
        </w:rPr>
        <w:t>: 1</w:t>
      </w:r>
      <w:r w:rsidR="001A3B3D" w:rsidRPr="00F847A6">
        <w:rPr>
          <w:sz w:val="18"/>
          <w:szCs w:val="18"/>
          <w:vertAlign w:val="superscript"/>
        </w:rPr>
        <w:t>st</w:t>
      </w:r>
      <w:r w:rsidR="001A3B3D" w:rsidRPr="00F847A6">
        <w:rPr>
          <w:sz w:val="18"/>
          <w:szCs w:val="18"/>
        </w:rPr>
        <w:t xml:space="preserve"> </w:t>
      </w:r>
      <w:r w:rsidR="0007602E">
        <w:rPr>
          <w:sz w:val="18"/>
          <w:szCs w:val="18"/>
        </w:rPr>
        <w:t>Odmaa Itgel</w:t>
      </w:r>
      <w:r w:rsidR="001A3B3D" w:rsidRPr="00F847A6">
        <w:rPr>
          <w:sz w:val="18"/>
          <w:szCs w:val="18"/>
        </w:rPr>
        <w:br/>
        <w:t>line 2:</w:t>
      </w:r>
      <w:r w:rsidRPr="00F847A6">
        <w:rPr>
          <w:sz w:val="18"/>
          <w:szCs w:val="18"/>
        </w:rPr>
        <w:t xml:space="preserve"> </w:t>
      </w:r>
      <w:r w:rsidRPr="0007602E">
        <w:rPr>
          <w:i/>
          <w:color w:val="FF0000"/>
          <w:sz w:val="18"/>
          <w:szCs w:val="18"/>
        </w:rPr>
        <w:t>dept. name of organization</w:t>
      </w:r>
      <w:r w:rsidR="001A3B3D" w:rsidRPr="0007602E">
        <w:rPr>
          <w:i/>
          <w:color w:val="FF0000"/>
          <w:sz w:val="18"/>
          <w:szCs w:val="18"/>
        </w:rPr>
        <w:t xml:space="preserve"> </w:t>
      </w:r>
      <w:r w:rsidR="007B6DDA" w:rsidRPr="0007602E">
        <w:rPr>
          <w:i/>
          <w:color w:val="FF0000"/>
          <w:sz w:val="18"/>
          <w:szCs w:val="18"/>
        </w:rPr>
        <w:br/>
      </w:r>
      <w:r w:rsidR="001A3B3D" w:rsidRPr="0007602E">
        <w:rPr>
          <w:i/>
          <w:color w:val="FF0000"/>
          <w:sz w:val="18"/>
          <w:szCs w:val="18"/>
        </w:rPr>
        <w:t xml:space="preserve">(of </w:t>
      </w:r>
      <w:r w:rsidR="001A3B3D" w:rsidRPr="0007602E">
        <w:rPr>
          <w:i/>
          <w:iCs/>
          <w:color w:val="FF0000"/>
          <w:sz w:val="18"/>
          <w:szCs w:val="18"/>
        </w:rPr>
        <w:t>Affiliation</w:t>
      </w:r>
      <w:r w:rsidR="001A3B3D" w:rsidRPr="0007602E">
        <w:rPr>
          <w:i/>
          <w:color w:val="FF0000"/>
          <w:sz w:val="18"/>
          <w:szCs w:val="18"/>
        </w:rPr>
        <w:t>)</w:t>
      </w:r>
      <w:r w:rsidR="00D72D06" w:rsidRPr="0007602E">
        <w:rPr>
          <w:color w:val="FF0000"/>
          <w:sz w:val="18"/>
          <w:szCs w:val="18"/>
        </w:rPr>
        <w:br/>
      </w:r>
      <w:r w:rsidR="00645D22" w:rsidRPr="0007602E">
        <w:rPr>
          <w:color w:val="FF0000"/>
          <w:sz w:val="18"/>
          <w:szCs w:val="18"/>
        </w:rPr>
        <w:t>li</w:t>
      </w:r>
      <w:r w:rsidRPr="0007602E">
        <w:rPr>
          <w:color w:val="FF0000"/>
          <w:sz w:val="18"/>
          <w:szCs w:val="18"/>
        </w:rPr>
        <w:t xml:space="preserve">ne </w:t>
      </w:r>
      <w:r w:rsidR="001A3B3D" w:rsidRPr="0007602E">
        <w:rPr>
          <w:color w:val="FF0000"/>
          <w:sz w:val="18"/>
          <w:szCs w:val="18"/>
        </w:rPr>
        <w:t>3</w:t>
      </w:r>
      <w:r w:rsidRPr="0007602E">
        <w:rPr>
          <w:color w:val="FF0000"/>
          <w:sz w:val="18"/>
          <w:szCs w:val="18"/>
        </w:rPr>
        <w:t xml:space="preserve">: </w:t>
      </w:r>
      <w:r w:rsidRPr="0007602E">
        <w:rPr>
          <w:i/>
          <w:color w:val="FF0000"/>
          <w:sz w:val="18"/>
          <w:szCs w:val="18"/>
        </w:rPr>
        <w:t xml:space="preserve">name of organization </w:t>
      </w:r>
      <w:r w:rsidR="007B6DDA" w:rsidRPr="0007602E">
        <w:rPr>
          <w:i/>
          <w:color w:val="FF0000"/>
          <w:sz w:val="18"/>
          <w:szCs w:val="18"/>
        </w:rPr>
        <w:br/>
      </w:r>
      <w:r w:rsidR="001A3B3D" w:rsidRPr="0007602E">
        <w:rPr>
          <w:i/>
          <w:color w:val="FF0000"/>
          <w:sz w:val="18"/>
          <w:szCs w:val="18"/>
        </w:rPr>
        <w:t>(of Affiliation)</w:t>
      </w:r>
      <w:r w:rsidR="001A3B3D" w:rsidRPr="0007602E">
        <w:rPr>
          <w:i/>
          <w:color w:val="FF0000"/>
          <w:sz w:val="18"/>
          <w:szCs w:val="18"/>
        </w:rPr>
        <w:br/>
      </w:r>
      <w:r w:rsidRPr="0007602E">
        <w:rPr>
          <w:color w:val="FF0000"/>
          <w:sz w:val="18"/>
          <w:szCs w:val="18"/>
        </w:rPr>
        <w:t xml:space="preserve">line </w:t>
      </w:r>
      <w:r w:rsidR="001A3B3D" w:rsidRPr="0007602E">
        <w:rPr>
          <w:color w:val="FF0000"/>
          <w:sz w:val="18"/>
          <w:szCs w:val="18"/>
        </w:rPr>
        <w:t>4</w:t>
      </w:r>
      <w:r w:rsidRPr="0007602E">
        <w:rPr>
          <w:color w:val="FF0000"/>
          <w:sz w:val="18"/>
          <w:szCs w:val="18"/>
        </w:rPr>
        <w:t>: City, Country</w:t>
      </w:r>
      <w:r w:rsidR="001A3B3D" w:rsidRPr="00F847A6">
        <w:rPr>
          <w:sz w:val="18"/>
          <w:szCs w:val="18"/>
        </w:rPr>
        <w:br/>
      </w:r>
      <w:r w:rsidRPr="00F847A6">
        <w:rPr>
          <w:sz w:val="18"/>
          <w:szCs w:val="18"/>
        </w:rPr>
        <w:t xml:space="preserve">line </w:t>
      </w:r>
      <w:r w:rsidR="001A3B3D" w:rsidRPr="00F847A6">
        <w:rPr>
          <w:sz w:val="18"/>
          <w:szCs w:val="18"/>
        </w:rPr>
        <w:t xml:space="preserve">5: </w:t>
      </w:r>
      <w:r w:rsidR="0007602E">
        <w:rPr>
          <w:sz w:val="18"/>
          <w:szCs w:val="18"/>
        </w:rPr>
        <w:t>2026129@student.cct.ie</w:t>
      </w:r>
    </w:p>
    <w:p w:rsidR="00447BB9" w:rsidRDefault="00BD670B" w:rsidP="0007602E">
      <w:pPr>
        <w:pStyle w:val="Author"/>
        <w:spacing w:before="5pt" w:beforeAutospacing="1"/>
        <w:jc w:val="both"/>
      </w:pPr>
      <w:r>
        <w:rPr>
          <w:sz w:val="18"/>
          <w:szCs w:val="18"/>
        </w:rPr>
        <w:br w:type="column"/>
      </w:r>
      <w:r w:rsidR="00447BB9">
        <w:t xml:space="preserve"> </w:t>
      </w:r>
    </w:p>
    <w:p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rsidR="004D72B5" w:rsidRDefault="009303D9" w:rsidP="00972203">
      <w:pPr>
        <w:pStyle w:val="Abstract"/>
        <w:rPr>
          <w:i/>
          <w:iCs/>
        </w:rPr>
      </w:pPr>
      <w:r>
        <w:rPr>
          <w:i/>
          <w:iCs/>
        </w:rPr>
        <w:t>Abstract</w:t>
      </w:r>
      <w:r>
        <w:t>—</w:t>
      </w:r>
      <w:r w:rsidR="005B0344" w:rsidRPr="005B0344">
        <w:t xml:space="preserve">This electronic document is a “live” template and already defines the components of your paper [title, text, heads, etc.] in its style sheet. </w:t>
      </w:r>
      <w:r w:rsidR="005B0344" w:rsidRPr="0056610F">
        <w:t xml:space="preserve"> </w:t>
      </w:r>
      <w:r w:rsidR="00E7596C" w:rsidRPr="0056610F">
        <w:rPr>
          <w:i/>
        </w:rPr>
        <w:t>*</w:t>
      </w:r>
      <w:r w:rsidR="005B0344" w:rsidRPr="0056610F">
        <w:rPr>
          <w:i/>
        </w:rPr>
        <w:t>CRITICAL:  Do</w:t>
      </w:r>
      <w:r w:rsidR="005B0344" w:rsidRPr="0056610F">
        <w:rPr>
          <w:rFonts w:eastAsia="Times New Roman"/>
          <w:i/>
        </w:rPr>
        <w:t xml:space="preserve"> </w:t>
      </w:r>
      <w:r w:rsidR="005B0344" w:rsidRPr="0056610F">
        <w:rPr>
          <w:i/>
        </w:rPr>
        <w:t>Not</w:t>
      </w:r>
      <w:r w:rsidR="005B0344" w:rsidRPr="0056610F">
        <w:rPr>
          <w:rFonts w:eastAsia="Times New Roman"/>
          <w:i/>
        </w:rPr>
        <w:t xml:space="preserve"> </w:t>
      </w:r>
      <w:r w:rsidR="005B0344" w:rsidRPr="0056610F">
        <w:rPr>
          <w:i/>
        </w:rPr>
        <w:t>Use</w:t>
      </w:r>
      <w:r w:rsidR="005B0344" w:rsidRPr="0056610F">
        <w:rPr>
          <w:rFonts w:eastAsia="Times New Roman"/>
          <w:i/>
        </w:rPr>
        <w:t xml:space="preserve"> </w:t>
      </w:r>
      <w:r w:rsidR="005B0344" w:rsidRPr="0056610F">
        <w:rPr>
          <w:i/>
        </w:rPr>
        <w:t>Symbols,</w:t>
      </w:r>
      <w:r w:rsidR="005B0344" w:rsidRPr="0056610F">
        <w:rPr>
          <w:rFonts w:eastAsia="Times New Roman"/>
          <w:i/>
        </w:rPr>
        <w:t xml:space="preserve"> </w:t>
      </w:r>
      <w:r w:rsidR="005B0344" w:rsidRPr="0056610F">
        <w:rPr>
          <w:i/>
        </w:rPr>
        <w:t>Special</w:t>
      </w:r>
      <w:r w:rsidR="005B0344" w:rsidRPr="0056610F">
        <w:rPr>
          <w:rFonts w:eastAsia="Times New Roman"/>
          <w:i/>
        </w:rPr>
        <w:t xml:space="preserve"> </w:t>
      </w:r>
      <w:r w:rsidR="005B0344" w:rsidRPr="0056610F">
        <w:rPr>
          <w:i/>
        </w:rPr>
        <w:t>Characters,</w:t>
      </w:r>
      <w:r w:rsidR="005B0344" w:rsidRPr="0056610F">
        <w:rPr>
          <w:rFonts w:eastAsia="Times New Roman"/>
          <w:i/>
        </w:rPr>
        <w:t xml:space="preserve"> </w:t>
      </w:r>
      <w:r w:rsidR="00D7522C">
        <w:rPr>
          <w:rFonts w:eastAsia="Times New Roman"/>
          <w:i/>
        </w:rPr>
        <w:t xml:space="preserve">Footnotes, </w:t>
      </w:r>
      <w:r w:rsidR="005B0344" w:rsidRPr="0056610F">
        <w:rPr>
          <w:i/>
        </w:rPr>
        <w:t>or</w:t>
      </w:r>
      <w:r w:rsidR="005B0344" w:rsidRPr="0056610F">
        <w:rPr>
          <w:rFonts w:eastAsia="Times New Roman"/>
          <w:i/>
        </w:rPr>
        <w:t xml:space="preserve"> </w:t>
      </w:r>
      <w:r w:rsidR="005B0344" w:rsidRPr="0056610F">
        <w:rPr>
          <w:i/>
        </w:rPr>
        <w:t>Math</w:t>
      </w:r>
      <w:r w:rsidR="005B0344" w:rsidRPr="0056610F">
        <w:rPr>
          <w:rFonts w:eastAsia="Times New Roman"/>
          <w:i/>
        </w:rPr>
        <w:t xml:space="preserve"> </w:t>
      </w:r>
      <w:r w:rsidR="005B0344" w:rsidRPr="0056610F">
        <w:rPr>
          <w:i/>
        </w:rPr>
        <w:t>in</w:t>
      </w:r>
      <w:r w:rsidR="005B0344" w:rsidRPr="0056610F">
        <w:rPr>
          <w:rFonts w:eastAsia="Times New Roman"/>
          <w:i/>
        </w:rPr>
        <w:t xml:space="preserve"> Paper </w:t>
      </w:r>
      <w:r w:rsidR="005B0344" w:rsidRPr="0056610F">
        <w:rPr>
          <w:i/>
        </w:rPr>
        <w:t>Title</w:t>
      </w:r>
      <w:r w:rsidR="005B0344" w:rsidRPr="0056610F">
        <w:rPr>
          <w:rFonts w:eastAsia="Times New Roman"/>
          <w:i/>
        </w:rPr>
        <w:t xml:space="preserve"> o</w:t>
      </w:r>
      <w:r w:rsidR="005B0344" w:rsidRPr="0056610F">
        <w:rPr>
          <w:i/>
        </w:rPr>
        <w:t>r</w:t>
      </w:r>
      <w:r w:rsidR="005B0344" w:rsidRPr="0056610F">
        <w:rPr>
          <w:rFonts w:eastAsia="Times New Roman"/>
          <w:i/>
        </w:rPr>
        <w:t xml:space="preserve"> </w:t>
      </w:r>
      <w:r w:rsidR="005B0344" w:rsidRPr="0056610F">
        <w:rPr>
          <w:i/>
        </w:rPr>
        <w:t>Abstract</w:t>
      </w:r>
      <w:r w:rsidRPr="0056610F">
        <w:t xml:space="preserve">. </w:t>
      </w:r>
      <w:r w:rsidRPr="007C0308">
        <w:rPr>
          <w:iCs/>
        </w:rPr>
        <w:t>(</w:t>
      </w:r>
      <w:r w:rsidRPr="005B0344">
        <w:rPr>
          <w:b w:val="0"/>
          <w:i/>
          <w:iCs/>
        </w:rPr>
        <w:t>Abstract</w:t>
      </w:r>
      <w:r w:rsidRPr="007C0308">
        <w:rPr>
          <w:iCs/>
        </w:rPr>
        <w:t>)</w:t>
      </w:r>
    </w:p>
    <w:p w:rsidR="009303D9" w:rsidRPr="004D72B5" w:rsidRDefault="004D72B5" w:rsidP="00972203">
      <w:pPr>
        <w:pStyle w:val="Keywords"/>
      </w:pPr>
      <w:r w:rsidRPr="004D72B5">
        <w:t>Keywords—</w:t>
      </w:r>
      <w:r w:rsidR="009303D9" w:rsidRPr="004D72B5">
        <w:t>component</w:t>
      </w:r>
      <w:r w:rsidR="00D7522C">
        <w:t>,</w:t>
      </w:r>
      <w:r w:rsidR="009303D9" w:rsidRPr="004D72B5">
        <w:t xml:space="preserve"> formatting</w:t>
      </w:r>
      <w:r w:rsidR="00D7522C">
        <w:t>,</w:t>
      </w:r>
      <w:r w:rsidR="009303D9" w:rsidRPr="004D72B5">
        <w:t xml:space="preserve"> style</w:t>
      </w:r>
      <w:r w:rsidR="00D7522C">
        <w:t>,</w:t>
      </w:r>
      <w:r w:rsidR="009303D9" w:rsidRPr="004D72B5">
        <w:t xml:space="preserve"> styling</w:t>
      </w:r>
      <w:r w:rsidR="00D7522C">
        <w:t>,</w:t>
      </w:r>
      <w:r w:rsidR="009303D9" w:rsidRPr="004D72B5">
        <w:t xml:space="preserve"> insert (</w:t>
      </w:r>
      <w:r w:rsidR="009303D9" w:rsidRPr="005B0344">
        <w:rPr>
          <w:b w:val="0"/>
        </w:rPr>
        <w:t>key words</w:t>
      </w:r>
      <w:r w:rsidR="009303D9" w:rsidRPr="004D72B5">
        <w:t>)</w:t>
      </w:r>
    </w:p>
    <w:p w:rsidR="009303D9" w:rsidRPr="00D632BE" w:rsidRDefault="009303D9" w:rsidP="006B6B66">
      <w:pPr>
        <w:pStyle w:val="Heading1"/>
      </w:pPr>
      <w:r w:rsidRPr="00D632BE">
        <w:t>Introduction (</w:t>
      </w:r>
      <w:r w:rsidR="005B0344" w:rsidRPr="00EA506F">
        <w:rPr>
          <w:rFonts w:eastAsia="MS Mincho"/>
          <w:i/>
        </w:rPr>
        <w:t>Heading 1</w:t>
      </w:r>
      <w:r w:rsidRPr="00D632BE">
        <w:t>)</w:t>
      </w:r>
    </w:p>
    <w:p w:rsidR="00850CAD" w:rsidRDefault="00850CAD" w:rsidP="00E7596C">
      <w:pPr>
        <w:pStyle w:val="BodyText"/>
        <w:rPr>
          <w:lang w:val="en-IE"/>
        </w:rPr>
      </w:pPr>
      <w:r>
        <w:rPr>
          <w:lang w:val="en-IE"/>
        </w:rPr>
        <w:t xml:space="preserve">Neural networks are data-hungry, and the data that feeds them increasingly lives in data lakes: large collections of files on open formats held on cheap storage. A common response is to export data from the lake to a separate training environment, which adds copies, delays and governance risk. </w:t>
      </w:r>
      <w:sdt>
        <w:sdtPr>
          <w:rPr>
            <w:lang w:val="en-IE"/>
          </w:rPr>
          <w:id w:val="2038390378"/>
          <w:citation/>
        </w:sdtPr>
        <w:sdtContent>
          <w:r w:rsidR="002844ED">
            <w:rPr>
              <w:lang w:val="en-IE"/>
            </w:rPr>
            <w:fldChar w:fldCharType="begin"/>
          </w:r>
          <w:r w:rsidR="002844ED">
            <w:rPr>
              <w:highlight w:val="yellow"/>
              <w:lang w:val="en-IE"/>
            </w:rPr>
            <w:instrText xml:space="preserve"> CITATION Arm21 \l</w:instrText>
          </w:r>
          <w:r w:rsidR="00907A9F">
            <w:rPr>
              <w:highlight w:val="yellow"/>
              <w:lang w:val="en-IE"/>
            </w:rPr>
            <w:instrText xml:space="preserve"> en-IE </w:instrText>
          </w:r>
          <w:r w:rsidR="002844ED">
            <w:rPr>
              <w:lang w:val="en-IE"/>
            </w:rPr>
            <w:fldChar w:fldCharType="separate"/>
          </w:r>
          <w:r w:rsidR="002844ED" w:rsidRPr="002844ED">
            <w:rPr>
              <w:noProof/>
              <w:highlight w:val="yellow"/>
              <w:lang w:val="en-IE"/>
            </w:rPr>
            <w:t>(Armbrust, 2021)</w:t>
          </w:r>
          <w:r w:rsidR="002844ED">
            <w:rPr>
              <w:lang w:val="en-IE"/>
            </w:rPr>
            <w:fldChar w:fldCharType="end"/>
          </w:r>
        </w:sdtContent>
      </w:sdt>
      <w:r>
        <w:rPr>
          <w:lang w:val="en-IE"/>
        </w:rPr>
        <w:t xml:space="preserve">2021) </w:t>
      </w:r>
      <w:r w:rsidRPr="0034319C">
        <w:rPr>
          <w:lang w:val="en-GB"/>
        </w:rPr>
        <w:t>argue</w:t>
      </w:r>
      <w:r>
        <w:rPr>
          <w:lang w:val="en-IE"/>
        </w:rPr>
        <w:t xml:space="preserve"> that </w:t>
      </w:r>
      <w:proofErr w:type="spellStart"/>
      <w:r w:rsidR="0034319C">
        <w:rPr>
          <w:lang w:val="en-IE"/>
        </w:rPr>
        <w:t>lakehouse</w:t>
      </w:r>
      <w:proofErr w:type="spellEnd"/>
      <w:r w:rsidR="0034319C">
        <w:rPr>
          <w:lang w:val="en-IE"/>
        </w:rPr>
        <w:t xml:space="preserve">, which puts warehouse-style management on open formats such as Parquet, exists partly because machine-learning code needs direct access to large data rather than access through SQL interfaces. </w:t>
      </w:r>
      <w:r w:rsidR="00362447">
        <w:rPr>
          <w:lang w:val="en-IE"/>
        </w:rPr>
        <w:t>Apache Spark is the most widely used engine for that kind of access, and it ships with a neural-network classifier, so it is natural to ask what it really costs and delivers to train a neural network where the data already sits.</w:t>
      </w:r>
    </w:p>
    <w:p w:rsidR="00893DF4" w:rsidRDefault="00893DF4" w:rsidP="00E7596C">
      <w:pPr>
        <w:pStyle w:val="BodyText"/>
        <w:rPr>
          <w:lang w:val="en-IE"/>
        </w:rPr>
      </w:pPr>
      <w:r>
        <w:rPr>
          <w:lang w:val="en-IE"/>
        </w:rPr>
        <w:t xml:space="preserve">The published literature describes systems </w:t>
      </w:r>
      <w:r w:rsidRPr="00893DF4">
        <w:rPr>
          <w:highlight w:val="yellow"/>
          <w:lang w:val="en-IE"/>
        </w:rPr>
        <w:t xml:space="preserve">(Dai et al., 2019; </w:t>
      </w:r>
      <w:proofErr w:type="spellStart"/>
      <w:r w:rsidRPr="00893DF4">
        <w:rPr>
          <w:highlight w:val="yellow"/>
          <w:lang w:val="en-IE"/>
        </w:rPr>
        <w:t>Sergeev</w:t>
      </w:r>
      <w:proofErr w:type="spellEnd"/>
      <w:r w:rsidRPr="00893DF4">
        <w:rPr>
          <w:highlight w:val="yellow"/>
          <w:lang w:val="en-IE"/>
        </w:rPr>
        <w:t xml:space="preserve"> and Del </w:t>
      </w:r>
      <w:proofErr w:type="spellStart"/>
      <w:r w:rsidRPr="00893DF4">
        <w:rPr>
          <w:highlight w:val="yellow"/>
          <w:lang w:val="en-IE"/>
        </w:rPr>
        <w:t>Balso</w:t>
      </w:r>
      <w:proofErr w:type="spellEnd"/>
      <w:r w:rsidRPr="00893DF4">
        <w:rPr>
          <w:highlight w:val="yellow"/>
          <w:lang w:val="en-IE"/>
        </w:rPr>
        <w:t>, 2018</w:t>
      </w:r>
      <w:r>
        <w:rPr>
          <w:lang w:val="en-IE"/>
        </w:rPr>
        <w:t>) and measures configuration effects (</w:t>
      </w:r>
      <w:proofErr w:type="spellStart"/>
      <w:r w:rsidRPr="00893DF4">
        <w:rPr>
          <w:highlight w:val="yellow"/>
          <w:lang w:val="en-IE"/>
        </w:rPr>
        <w:t>Djebrouni</w:t>
      </w:r>
      <w:proofErr w:type="spellEnd"/>
      <w:r w:rsidRPr="00893DF4">
        <w:rPr>
          <w:highlight w:val="yellow"/>
          <w:lang w:val="en-IE"/>
        </w:rPr>
        <w:t xml:space="preserve"> et al., 2023</w:t>
      </w:r>
      <w:r>
        <w:rPr>
          <w:lang w:val="en-IE"/>
        </w:rPr>
        <w:t>), but it seldom documents the sequence of design decisions that a practitioner faces. Which matters more for accuracy: the storage format, the way attributes are prepared, or the size of network? Which of these choices is expensive to change? Answers to the questions are needed to justify architecture choices to stakeholders, which is the purpose of critical evaluation.</w:t>
      </w:r>
    </w:p>
    <w:p w:rsidR="003A5D94" w:rsidRDefault="003A5D94" w:rsidP="00E7596C">
      <w:pPr>
        <w:pStyle w:val="BodyText"/>
        <w:rPr>
          <w:lang w:val="en-IE"/>
        </w:rPr>
      </w:pPr>
      <w:r>
        <w:rPr>
          <w:lang w:val="en-IE"/>
        </w:rPr>
        <w:t>Legacy approaches each fall short in a different way. Disk-oriented batch engines such as MapReduce (</w:t>
      </w:r>
      <w:r w:rsidRPr="003A5D94">
        <w:rPr>
          <w:highlight w:val="yellow"/>
          <w:lang w:val="en-IE"/>
        </w:rPr>
        <w:t>Dean</w:t>
      </w:r>
      <w:r>
        <w:rPr>
          <w:lang w:val="en-IE"/>
        </w:rPr>
        <w:t xml:space="preserve"> and Ghemawat, 2004) are poorly suited to iterative training. </w:t>
      </w:r>
      <w:r w:rsidR="00300EA8">
        <w:rPr>
          <w:lang w:val="en-IE"/>
        </w:rPr>
        <w:t xml:space="preserve">Row-oriented text format such as CSV force every query to read every column. Data warehouses offer strong management but, as </w:t>
      </w:r>
      <w:proofErr w:type="spellStart"/>
      <w:r w:rsidR="00300EA8" w:rsidRPr="00300EA8">
        <w:rPr>
          <w:highlight w:val="yellow"/>
          <w:lang w:val="en-IE"/>
        </w:rPr>
        <w:t>Armsbrust</w:t>
      </w:r>
      <w:proofErr w:type="spellEnd"/>
      <w:r w:rsidR="00300EA8">
        <w:rPr>
          <w:lang w:val="en-IE"/>
        </w:rPr>
        <w:t xml:space="preserve"> et al.(2021) note, expose data to machine-learning code through interfaces that are inefficient for large scans. </w:t>
      </w:r>
      <w:r w:rsidR="005677B9">
        <w:rPr>
          <w:lang w:val="en-IE"/>
        </w:rPr>
        <w:t xml:space="preserve">Stand-alone training environments avoid these problems but duplicate data and break lineage. </w:t>
      </w:r>
    </w:p>
    <w:p w:rsidR="005C5232" w:rsidRDefault="005C5232" w:rsidP="005C5232">
      <w:pPr>
        <w:pStyle w:val="BodyText"/>
        <w:ind w:firstLine="0pt"/>
        <w:rPr>
          <w:lang w:val="en-IE"/>
        </w:rPr>
      </w:pPr>
      <w:r>
        <w:rPr>
          <w:lang w:val="en-IE"/>
        </w:rPr>
        <w:t>Evaluating these limitations against a concrete alternative is the basis for the critical stance taken in this paper.</w:t>
      </w:r>
    </w:p>
    <w:p w:rsidR="005C5232" w:rsidRDefault="005C5232" w:rsidP="005C5232">
      <w:pPr>
        <w:pStyle w:val="BodyText"/>
        <w:ind w:firstLine="0pt"/>
        <w:rPr>
          <w:lang w:val="en-IE"/>
        </w:rPr>
      </w:pPr>
      <w:r>
        <w:rPr>
          <w:lang w:val="en-IE"/>
        </w:rPr>
        <w:tab/>
      </w:r>
      <w:r>
        <w:rPr>
          <w:b/>
          <w:bCs/>
          <w:lang w:val="en-IE"/>
        </w:rPr>
        <w:t xml:space="preserve">Objective. </w:t>
      </w:r>
      <w:r>
        <w:rPr>
          <w:lang w:val="en-IE"/>
        </w:rPr>
        <w:t>The objective is to critically evaluate how neural networks can be integrated with Apache Spark and open columnar storage, and to quantify, through a reproducible and fully logged experiment, which design decisions most influence accuracy, cost and scalability.</w:t>
      </w:r>
    </w:p>
    <w:p w:rsidR="005C5232" w:rsidRDefault="006B0685" w:rsidP="005C5232">
      <w:pPr>
        <w:pStyle w:val="BodyText"/>
        <w:ind w:firstLine="0pt"/>
        <w:rPr>
          <w:lang w:val="en-IE"/>
        </w:rPr>
      </w:pPr>
      <w:r>
        <w:rPr>
          <w:b/>
          <w:bCs/>
          <w:lang w:val="en-IE"/>
        </w:rPr>
        <w:t xml:space="preserve">Research question. </w:t>
      </w:r>
      <w:r w:rsidR="00A937D7">
        <w:rPr>
          <w:lang w:val="en-IE"/>
        </w:rPr>
        <w:t>To what extend to storage format, data preparation and network architecture affect the accuracy and computational cost of a neural-network classifier built on Spark over Parquet data, and what do published Spark-based deep-learning systems imply for scaling that design?</w:t>
      </w:r>
    </w:p>
    <w:p w:rsidR="00362447" w:rsidRPr="00850CAD" w:rsidRDefault="007450DD" w:rsidP="007450DD">
      <w:pPr>
        <w:pStyle w:val="BodyText"/>
        <w:ind w:firstLine="0pt"/>
        <w:rPr>
          <w:lang w:val="en-IE"/>
        </w:rPr>
      </w:pPr>
      <w:r>
        <w:rPr>
          <w:lang w:val="en-IE"/>
        </w:rPr>
        <w:tab/>
      </w:r>
      <w:r w:rsidRPr="007450DD">
        <w:rPr>
          <w:color w:val="FF0000"/>
          <w:lang w:val="en-IE"/>
        </w:rPr>
        <w:t xml:space="preserve">The contributions are threefold: a structured review of Spark-based deep </w:t>
      </w:r>
    </w:p>
    <w:p w:rsidR="009303D9" w:rsidRPr="006B6B66" w:rsidRDefault="007450DD" w:rsidP="006B6B66">
      <w:pPr>
        <w:pStyle w:val="Heading1"/>
      </w:pPr>
      <w:r>
        <w:t>Literature Review and State of the Art</w:t>
      </w:r>
    </w:p>
    <w:p w:rsidR="009303D9" w:rsidRDefault="007450DD" w:rsidP="00ED0149">
      <w:pPr>
        <w:pStyle w:val="Heading2"/>
      </w:pPr>
      <w:r>
        <w:t>Spark as the processing substrate</w:t>
      </w:r>
    </w:p>
    <w:p w:rsidR="00604978" w:rsidRDefault="007450DD" w:rsidP="006A7B45">
      <w:pPr>
        <w:pStyle w:val="BodyText"/>
        <w:rPr>
          <w:lang w:val="en-IE"/>
        </w:rPr>
      </w:pPr>
      <w:r>
        <w:rPr>
          <w:lang w:val="en-IE"/>
        </w:rPr>
        <w:t>Early large-scale analytics relied on MapReduce, which writes intermediate results to disk between stages (</w:t>
      </w:r>
      <w:r w:rsidRPr="007450DD">
        <w:rPr>
          <w:highlight w:val="yellow"/>
          <w:lang w:val="en-IE"/>
        </w:rPr>
        <w:t>Dean</w:t>
      </w:r>
      <w:r>
        <w:rPr>
          <w:lang w:val="en-IE"/>
        </w:rPr>
        <w:t xml:space="preserve"> and Ghemawat, 2004). That design is robust but expensive for </w:t>
      </w:r>
      <w:r w:rsidR="00604978">
        <w:rPr>
          <w:lang w:val="en-IE"/>
        </w:rPr>
        <w:t>iterative workloads such as neural-network training, where the same data set is scanned hundreds of times. Resilient distributed datasets (RDDs) address this by keeping working sets in memory and recovering lost partitions from their lineage rather than from replicas (</w:t>
      </w:r>
      <w:proofErr w:type="spellStart"/>
      <w:r w:rsidR="00604978">
        <w:rPr>
          <w:lang w:val="en-IE"/>
        </w:rPr>
        <w:t>Zaharia</w:t>
      </w:r>
      <w:proofErr w:type="spellEnd"/>
      <w:r w:rsidR="00604978">
        <w:rPr>
          <w:lang w:val="en-IE"/>
        </w:rPr>
        <w:t xml:space="preserve"> et al., 2012).</w:t>
      </w:r>
      <w:r w:rsidR="006A7B45">
        <w:rPr>
          <w:lang w:val="en-IE"/>
        </w:rPr>
        <w:t xml:space="preserve"> </w:t>
      </w:r>
      <w:proofErr w:type="spellStart"/>
      <w:r w:rsidR="006A7B45">
        <w:rPr>
          <w:lang w:val="en-IE"/>
        </w:rPr>
        <w:t>Zaharia</w:t>
      </w:r>
      <w:proofErr w:type="spellEnd"/>
      <w:r w:rsidR="006A7B45">
        <w:rPr>
          <w:lang w:val="en-IE"/>
        </w:rPr>
        <w:t xml:space="preserve"> et al. (2016) later </w:t>
      </w:r>
      <w:r w:rsidR="006778C6">
        <w:rPr>
          <w:lang w:val="en-IE"/>
        </w:rPr>
        <w:t>described Spark as a unified engine in which batch, SQL, streaming, machine learning and graph processing share one runtime, which is the property that makes it attractive as a host for end-to-end neural-network pipelines.</w:t>
      </w:r>
    </w:p>
    <w:p w:rsidR="00DD38BC" w:rsidRDefault="00DD38BC" w:rsidP="006A7B45">
      <w:pPr>
        <w:pStyle w:val="BodyText"/>
        <w:rPr>
          <w:lang w:val="en-IE"/>
        </w:rPr>
      </w:pPr>
      <w:r>
        <w:rPr>
          <w:lang w:val="en-IE"/>
        </w:rPr>
        <w:t xml:space="preserve">Three subsequent components share how a neural network can be embedded. Spark SQL added a </w:t>
      </w:r>
      <w:proofErr w:type="spellStart"/>
      <w:r>
        <w:rPr>
          <w:lang w:val="en-IE"/>
        </w:rPr>
        <w:t>DataFrame</w:t>
      </w:r>
      <w:proofErr w:type="spellEnd"/>
      <w:r>
        <w:rPr>
          <w:lang w:val="en-IE"/>
        </w:rPr>
        <w:t xml:space="preserve"> API that mixes relational and procedural code, with the Catalyst optimiser rewriting queries (</w:t>
      </w:r>
      <w:proofErr w:type="spellStart"/>
      <w:r w:rsidRPr="00A451AE">
        <w:rPr>
          <w:highlight w:val="yellow"/>
          <w:lang w:val="en-IE"/>
        </w:rPr>
        <w:t>Armbrust</w:t>
      </w:r>
      <w:proofErr w:type="spellEnd"/>
      <w:r>
        <w:rPr>
          <w:lang w:val="en-IE"/>
        </w:rPr>
        <w:t xml:space="preserve"> et al., 2015). </w:t>
      </w:r>
      <w:r w:rsidR="00A451AE">
        <w:rPr>
          <w:lang w:val="en-IE"/>
        </w:rPr>
        <w:t xml:space="preserve">Structured Streaming provides a declarative API that automatically </w:t>
      </w:r>
      <w:proofErr w:type="spellStart"/>
      <w:r w:rsidR="00A451AE">
        <w:rPr>
          <w:lang w:val="en-IE"/>
        </w:rPr>
        <w:t>incrementalises</w:t>
      </w:r>
      <w:proofErr w:type="spellEnd"/>
      <w:r w:rsidR="00A451AE">
        <w:rPr>
          <w:lang w:val="en-IE"/>
        </w:rPr>
        <w:t xml:space="preserve"> a static relational query, so that the same code serves batch and streaming (</w:t>
      </w:r>
      <w:proofErr w:type="spellStart"/>
      <w:r w:rsidR="00A451AE">
        <w:rPr>
          <w:lang w:val="en-IE"/>
        </w:rPr>
        <w:t>Armbrust</w:t>
      </w:r>
      <w:proofErr w:type="spellEnd"/>
      <w:r w:rsidR="00A451AE">
        <w:rPr>
          <w:lang w:val="en-IE"/>
        </w:rPr>
        <w:t xml:space="preserve"> et al., 2018); its authors report throughput advantages over Apache </w:t>
      </w:r>
      <w:proofErr w:type="spellStart"/>
      <w:r w:rsidR="00A451AE">
        <w:rPr>
          <w:lang w:val="en-IE"/>
        </w:rPr>
        <w:t>Flink</w:t>
      </w:r>
      <w:proofErr w:type="spellEnd"/>
      <w:r w:rsidR="00A451AE">
        <w:rPr>
          <w:lang w:val="en-IE"/>
        </w:rPr>
        <w:t xml:space="preserve"> and Kafka Streams and production deployments processing more than 1 PB per month, although these are vendor-side measurements. </w:t>
      </w:r>
      <w:proofErr w:type="spellStart"/>
      <w:r w:rsidR="0083717D">
        <w:rPr>
          <w:lang w:val="en-IE"/>
        </w:rPr>
        <w:t>MLlib</w:t>
      </w:r>
      <w:proofErr w:type="spellEnd"/>
      <w:r w:rsidR="0083717D">
        <w:rPr>
          <w:lang w:val="en-IE"/>
        </w:rPr>
        <w:t xml:space="preserve"> supplies pipeline abstractions and distributed learners (</w:t>
      </w:r>
      <w:r w:rsidR="0083717D" w:rsidRPr="0083717D">
        <w:rPr>
          <w:highlight w:val="yellow"/>
          <w:lang w:val="en-IE"/>
        </w:rPr>
        <w:t>Meng</w:t>
      </w:r>
      <w:r w:rsidR="0083717D">
        <w:rPr>
          <w:lang w:val="en-IE"/>
        </w:rPr>
        <w:t xml:space="preserve"> et al., 2016), and </w:t>
      </w:r>
      <w:proofErr w:type="spellStart"/>
      <w:r w:rsidR="0083717D" w:rsidRPr="0083717D">
        <w:rPr>
          <w:highlight w:val="yellow"/>
          <w:lang w:val="en-IE"/>
        </w:rPr>
        <w:t>Verbraeken</w:t>
      </w:r>
      <w:proofErr w:type="spellEnd"/>
      <w:r w:rsidR="0083717D">
        <w:rPr>
          <w:lang w:val="en-IE"/>
        </w:rPr>
        <w:t xml:space="preserve"> et al. (2020) note in their survey that in inherits Spark’s scale-out and fault-tolerance behaviour. </w:t>
      </w:r>
      <w:proofErr w:type="spellStart"/>
      <w:r w:rsidR="0083717D">
        <w:rPr>
          <w:lang w:val="en-IE"/>
        </w:rPr>
        <w:t>MLlib’s</w:t>
      </w:r>
      <w:proofErr w:type="spellEnd"/>
      <w:r w:rsidR="0083717D">
        <w:rPr>
          <w:lang w:val="en-IE"/>
        </w:rPr>
        <w:t xml:space="preserve"> neural-network support is, however, limited to a feed-forward classifier, which frames the trade-offs explored later in this paper.</w:t>
      </w:r>
    </w:p>
    <w:p w:rsidR="009303D9" w:rsidRPr="005B520E" w:rsidRDefault="006D2D6D" w:rsidP="00ED0149">
      <w:pPr>
        <w:pStyle w:val="Heading2"/>
      </w:pPr>
      <w:r>
        <w:t>Neural networks with and on Spark</w:t>
      </w:r>
    </w:p>
    <w:p w:rsidR="00AA16B8" w:rsidRDefault="004B5DCD" w:rsidP="00E7596C">
      <w:pPr>
        <w:pStyle w:val="BodyText"/>
        <w:rPr>
          <w:lang w:val="en-IE"/>
        </w:rPr>
      </w:pPr>
      <w:r>
        <w:rPr>
          <w:lang w:val="en-IE"/>
        </w:rPr>
        <w:t xml:space="preserve">Two philosophies dominate the literature. The first executes training inside Spark’s own execution model. </w:t>
      </w:r>
      <w:proofErr w:type="spellStart"/>
      <w:r>
        <w:rPr>
          <w:lang w:val="en-IE"/>
        </w:rPr>
        <w:t>SparkNet</w:t>
      </w:r>
      <w:proofErr w:type="spellEnd"/>
      <w:r>
        <w:rPr>
          <w:lang w:val="en-IE"/>
        </w:rPr>
        <w:t xml:space="preserve"> embeds an existing deep-learning engine in Spark workers and periodically averages parameters (</w:t>
      </w:r>
      <w:r w:rsidRPr="004B5DCD">
        <w:rPr>
          <w:highlight w:val="yellow"/>
          <w:lang w:val="en-IE"/>
        </w:rPr>
        <w:t>Moritz</w:t>
      </w:r>
      <w:r>
        <w:rPr>
          <w:lang w:val="en-IE"/>
        </w:rPr>
        <w:t xml:space="preserve"> et al., 2015). </w:t>
      </w:r>
      <w:proofErr w:type="spellStart"/>
      <w:r>
        <w:rPr>
          <w:lang w:val="en-IE"/>
        </w:rPr>
        <w:t>BigDL</w:t>
      </w:r>
      <w:proofErr w:type="spellEnd"/>
      <w:r>
        <w:rPr>
          <w:lang w:val="en-IE"/>
        </w:rPr>
        <w:t xml:space="preserve"> goes further by implementing synchronous data-parallel training directly </w:t>
      </w:r>
      <w:r w:rsidR="00D758D4">
        <w:rPr>
          <w:lang w:val="en-IE"/>
        </w:rPr>
        <w:t xml:space="preserve">on Spark’s functional, coarse-grained compute model, so that deep learning runs on the Hadoop or Spark clusters where production data already sits </w:t>
      </w:r>
      <w:r w:rsidR="00D758D4">
        <w:rPr>
          <w:lang w:val="en-IE"/>
        </w:rPr>
        <w:lastRenderedPageBreak/>
        <w:t>(</w:t>
      </w:r>
      <w:r w:rsidR="00D758D4" w:rsidRPr="00D758D4">
        <w:rPr>
          <w:highlight w:val="yellow"/>
          <w:lang w:val="en-IE"/>
        </w:rPr>
        <w:t>Dai</w:t>
      </w:r>
      <w:r w:rsidR="00D758D4">
        <w:rPr>
          <w:lang w:val="en-IE"/>
        </w:rPr>
        <w:t xml:space="preserve"> et al., 2019). Its authors are candid that the paper also shares production experience, which is useful practical evidence but not a controlled comparison. </w:t>
      </w:r>
    </w:p>
    <w:p w:rsidR="00A30047" w:rsidRDefault="00A30047" w:rsidP="00E7596C">
      <w:pPr>
        <w:pStyle w:val="BodyText"/>
        <w:rPr>
          <w:lang w:val="en-IE"/>
        </w:rPr>
      </w:pPr>
      <w:r>
        <w:rPr>
          <w:lang w:val="en-IE"/>
        </w:rPr>
        <w:t>The second philosophy</w:t>
      </w:r>
      <w:r w:rsidR="007E4AAA">
        <w:rPr>
          <w:lang w:val="en-IE"/>
        </w:rPr>
        <w:t xml:space="preserve"> uses Spark for data prepar</w:t>
      </w:r>
      <w:r w:rsidR="005D1972">
        <w:rPr>
          <w:lang w:val="en-IE"/>
        </w:rPr>
        <w:t>a</w:t>
      </w:r>
      <w:r w:rsidR="007E4AAA">
        <w:rPr>
          <w:lang w:val="en-IE"/>
        </w:rPr>
        <w:t>tion</w:t>
      </w:r>
      <w:r w:rsidR="005D1972">
        <w:rPr>
          <w:lang w:val="en-IE"/>
        </w:rPr>
        <w:t xml:space="preserve"> and delegates training to a specialised framework. </w:t>
      </w:r>
      <w:proofErr w:type="spellStart"/>
      <w:r w:rsidR="005D1972" w:rsidRPr="005D1972">
        <w:rPr>
          <w:highlight w:val="yellow"/>
          <w:lang w:val="en-IE"/>
        </w:rPr>
        <w:t>Horovod</w:t>
      </w:r>
      <w:proofErr w:type="spellEnd"/>
      <w:r w:rsidR="005D1972">
        <w:rPr>
          <w:lang w:val="en-IE"/>
        </w:rPr>
        <w:t xml:space="preserve"> applies ring all-reduce to make multi-GPU training efficient while requiring only a few lines of change to user code (</w:t>
      </w:r>
      <w:proofErr w:type="spellStart"/>
      <w:r w:rsidR="005D1972">
        <w:rPr>
          <w:lang w:val="en-IE"/>
        </w:rPr>
        <w:t>Sergeev</w:t>
      </w:r>
      <w:proofErr w:type="spellEnd"/>
      <w:r w:rsidR="005D1972">
        <w:rPr>
          <w:lang w:val="en-IE"/>
        </w:rPr>
        <w:t xml:space="preserve"> and Del </w:t>
      </w:r>
      <w:proofErr w:type="spellStart"/>
      <w:r w:rsidR="005D1972">
        <w:rPr>
          <w:lang w:val="en-IE"/>
        </w:rPr>
        <w:t>Balso</w:t>
      </w:r>
      <w:proofErr w:type="spellEnd"/>
      <w:r w:rsidR="005D1972">
        <w:rPr>
          <w:lang w:val="en-IE"/>
        </w:rPr>
        <w:t xml:space="preserve">, 2018). </w:t>
      </w:r>
      <w:r w:rsidR="00263C27" w:rsidRPr="00263C27">
        <w:rPr>
          <w:highlight w:val="yellow"/>
          <w:lang w:val="en-IE"/>
        </w:rPr>
        <w:t>Migliorini</w:t>
      </w:r>
      <w:r w:rsidR="00263C27">
        <w:rPr>
          <w:lang w:val="en-IE"/>
        </w:rPr>
        <w:t xml:space="preserve"> et al. (2020)</w:t>
      </w:r>
      <w:r w:rsidR="005D1972">
        <w:rPr>
          <w:lang w:val="en-IE"/>
        </w:rPr>
        <w:t xml:space="preserve"> </w:t>
      </w:r>
      <w:r w:rsidR="00263C27">
        <w:rPr>
          <w:lang w:val="en-IE"/>
        </w:rPr>
        <w:t xml:space="preserve">combine both ideas in a high-energy-physics pipeline: Spark ingests and engineers features and stores results as Parquet, </w:t>
      </w:r>
      <w:proofErr w:type="spellStart"/>
      <w:r w:rsidR="00263C27">
        <w:rPr>
          <w:lang w:val="en-IE"/>
        </w:rPr>
        <w:t>Keras</w:t>
      </w:r>
      <w:proofErr w:type="spellEnd"/>
      <w:r w:rsidR="00263C27">
        <w:rPr>
          <w:lang w:val="en-IE"/>
        </w:rPr>
        <w:t xml:space="preserve"> models are trained with </w:t>
      </w:r>
      <w:proofErr w:type="spellStart"/>
      <w:r w:rsidR="00263C27">
        <w:rPr>
          <w:lang w:val="en-IE"/>
        </w:rPr>
        <w:t>BigDL</w:t>
      </w:r>
      <w:proofErr w:type="spellEnd"/>
      <w:r w:rsidR="00263C27">
        <w:rPr>
          <w:lang w:val="en-IE"/>
        </w:rPr>
        <w:t xml:space="preserve"> or TensorFlow, and hyper-parameters are tuned by grid search. </w:t>
      </w:r>
      <w:r w:rsidR="00D619A1">
        <w:rPr>
          <w:lang w:val="en-IE"/>
        </w:rPr>
        <w:t xml:space="preserve">Their </w:t>
      </w:r>
      <w:proofErr w:type="spellStart"/>
      <w:r w:rsidR="00D619A1">
        <w:rPr>
          <w:lang w:val="en-IE"/>
        </w:rPr>
        <w:t>ent</w:t>
      </w:r>
      <w:proofErr w:type="spellEnd"/>
      <w:r w:rsidR="00D619A1">
        <w:rPr>
          <w:lang w:val="en-IE"/>
        </w:rPr>
        <w:t>-to-end structure closely resembles the pipeline evaluated here, but in a domain with far larger volume</w:t>
      </w:r>
      <w:r w:rsidR="00676DAA">
        <w:rPr>
          <w:lang w:val="en-IE"/>
        </w:rPr>
        <w:t>s</w:t>
      </w:r>
      <w:r w:rsidR="00D619A1">
        <w:rPr>
          <w:lang w:val="en-IE"/>
        </w:rPr>
        <w:t>.</w:t>
      </w:r>
    </w:p>
    <w:p w:rsidR="00D619A1" w:rsidRDefault="00676DAA" w:rsidP="00E7596C">
      <w:pPr>
        <w:pStyle w:val="BodyText"/>
        <w:rPr>
          <w:lang w:val="en-IE"/>
        </w:rPr>
      </w:pPr>
      <w:r>
        <w:rPr>
          <w:lang w:val="en-IE"/>
        </w:rPr>
        <w:t xml:space="preserve">Performance studies temper the enthusiasm. </w:t>
      </w:r>
      <w:proofErr w:type="spellStart"/>
      <w:r w:rsidRPr="00676DAA">
        <w:rPr>
          <w:highlight w:val="yellow"/>
        </w:rPr>
        <w:t>Dünner</w:t>
      </w:r>
      <w:proofErr w:type="spellEnd"/>
      <w:r>
        <w:t xml:space="preserve"> et al. (2016)</w:t>
      </w:r>
      <w:r>
        <w:rPr>
          <w:lang w:val="en-IE"/>
        </w:rPr>
        <w:t xml:space="preserve"> start from the observation that Spark’s abstractions carry poorly understood communication and data-management overheads, and they separate framework overhead from computation by comparing Spark and MPI implementations of the same learner. </w:t>
      </w:r>
      <w:proofErr w:type="spellStart"/>
      <w:r>
        <w:t>Djebrouni</w:t>
      </w:r>
      <w:proofErr w:type="spellEnd"/>
      <w:r>
        <w:t xml:space="preserve"> et al. (2023)</w:t>
      </w:r>
      <w:r>
        <w:rPr>
          <w:lang w:val="en-IE"/>
        </w:rPr>
        <w:t xml:space="preserve"> ran 13 learning methods on six real data sets across two clusters and analysed the interplay between data-science hyper-parameters and platform configuration, which highlights that model quality and system settings cannot be tuned independently. </w:t>
      </w:r>
    </w:p>
    <w:p w:rsidR="00E23DF8" w:rsidRDefault="00E23DF8" w:rsidP="00E23DF8">
      <w:pPr>
        <w:pStyle w:val="Heading2"/>
      </w:pPr>
      <w:r>
        <w:t>Data lakes and lakehouse storage</w:t>
      </w:r>
    </w:p>
    <w:p w:rsidR="008B496E" w:rsidRPr="008B496E" w:rsidRDefault="008B496E" w:rsidP="008B496E">
      <w:pPr>
        <w:ind w:firstLine="14.40pt"/>
        <w:jc w:val="both"/>
      </w:pPr>
      <w:proofErr w:type="spellStart"/>
      <w:r w:rsidRPr="008B496E">
        <w:rPr>
          <w:highlight w:val="yellow"/>
        </w:rPr>
        <w:t>Armbrust</w:t>
      </w:r>
      <w:proofErr w:type="spellEnd"/>
      <w:r>
        <w:t xml:space="preserve"> et al. (2021) argue that warehouses serve machine learning poorly because TensorFlow, </w:t>
      </w:r>
      <w:proofErr w:type="spellStart"/>
      <w:r>
        <w:t>PyTorch</w:t>
      </w:r>
      <w:proofErr w:type="spellEnd"/>
      <w:r>
        <w:t xml:space="preserve"> and </w:t>
      </w:r>
      <w:proofErr w:type="spellStart"/>
      <w:r>
        <w:t>XGBoost</w:t>
      </w:r>
      <w:proofErr w:type="spellEnd"/>
      <w:r>
        <w:t xml:space="preserve"> must process large data with non-SQL code, and reading through ODBC or JDBC is inefficient. They propose the </w:t>
      </w:r>
      <w:proofErr w:type="spellStart"/>
      <w:r>
        <w:t>lakehouse</w:t>
      </w:r>
      <w:proofErr w:type="spellEnd"/>
      <w:r>
        <w:t xml:space="preserve">: open, directly accessible formats such as Parquet with warehouse-style management on top. </w:t>
      </w:r>
      <w:r w:rsidR="00680542">
        <w:t>Delta Lake realizes this by keeping a transaction log in the object store alongside Parquet data, giving ACID transactions, time travel and faster metadata operations (</w:t>
      </w:r>
      <w:proofErr w:type="spellStart"/>
      <w:r w:rsidR="00680542" w:rsidRPr="00680542">
        <w:rPr>
          <w:highlight w:val="yellow"/>
        </w:rPr>
        <w:t>Armbrust</w:t>
      </w:r>
      <w:proofErr w:type="spellEnd"/>
      <w:r w:rsidR="00680542">
        <w:t xml:space="preserve"> et al., 2020). </w:t>
      </w:r>
      <w:r w:rsidR="00DA4D42" w:rsidRPr="00DA4D42">
        <w:rPr>
          <w:highlight w:val="yellow"/>
        </w:rPr>
        <w:t>Jain</w:t>
      </w:r>
      <w:r w:rsidR="00DA4D42">
        <w:t xml:space="preserve"> et al. (2023)</w:t>
      </w:r>
      <w:r>
        <w:t xml:space="preserve"> </w:t>
      </w:r>
      <w:r w:rsidR="00DA4D42">
        <w:t xml:space="preserve">compare </w:t>
      </w:r>
      <w:proofErr w:type="spellStart"/>
      <w:r w:rsidR="00DA4D42">
        <w:t>lakehouse</w:t>
      </w:r>
      <w:proofErr w:type="spellEnd"/>
      <w:r w:rsidR="00DA4D42">
        <w:t xml:space="preserve"> storage systems empirically, and </w:t>
      </w:r>
      <w:proofErr w:type="spellStart"/>
      <w:r w:rsidR="00DA4D42" w:rsidRPr="00DA4D42">
        <w:rPr>
          <w:highlight w:val="yellow"/>
        </w:rPr>
        <w:t>Harby</w:t>
      </w:r>
      <w:proofErr w:type="spellEnd"/>
      <w:r w:rsidR="00DA4D42" w:rsidRPr="00DA4D42">
        <w:rPr>
          <w:highlight w:val="yellow"/>
        </w:rPr>
        <w:t xml:space="preserve"> and </w:t>
      </w:r>
      <w:proofErr w:type="spellStart"/>
      <w:r w:rsidR="00DA4D42" w:rsidRPr="00DA4D42">
        <w:rPr>
          <w:highlight w:val="yellow"/>
        </w:rPr>
        <w:t>Zulkernine</w:t>
      </w:r>
      <w:proofErr w:type="spellEnd"/>
      <w:r w:rsidR="00DA4D42">
        <w:t xml:space="preserve"> (2022) review the shift from warehouses to </w:t>
      </w:r>
      <w:proofErr w:type="spellStart"/>
      <w:r w:rsidR="00DA4D42">
        <w:t>lakehouses</w:t>
      </w:r>
      <w:proofErr w:type="spellEnd"/>
      <w:r w:rsidR="00DA4D42">
        <w:t>. These studies concentrate on query workloads; effect of storage format on the machine-learning path is discussed mostly qualitatively.</w:t>
      </w:r>
    </w:p>
    <w:p w:rsidR="00E23DF8" w:rsidRPr="00E23DF8" w:rsidRDefault="00E23DF8" w:rsidP="00E23DF8">
      <w:pPr>
        <w:jc w:val="both"/>
      </w:pPr>
    </w:p>
    <w:p w:rsidR="00E23DF8" w:rsidRDefault="00E23DF8" w:rsidP="00E23DF8">
      <w:pPr>
        <w:pStyle w:val="BodyText"/>
        <w:ind w:firstLine="0pt"/>
        <w:rPr>
          <w:lang w:val="en-IE"/>
        </w:rPr>
      </w:pPr>
    </w:p>
    <w:p w:rsidR="00E23DF8" w:rsidRPr="00676DAA" w:rsidRDefault="00E23DF8" w:rsidP="00E7596C">
      <w:pPr>
        <w:pStyle w:val="BodyText"/>
        <w:rPr>
          <w:lang w:val="en-IE"/>
        </w:rPr>
      </w:pPr>
    </w:p>
    <w:p w:rsidR="004B5DCD" w:rsidRPr="004B5DCD" w:rsidRDefault="004B5DCD" w:rsidP="00E7596C">
      <w:pPr>
        <w:pStyle w:val="BodyText"/>
        <w:rPr>
          <w:lang w:val="en-IE"/>
        </w:rPr>
      </w:pPr>
      <w:r>
        <w:rPr>
          <w:lang w:val="en-IE"/>
        </w:rPr>
        <w:t xml:space="preserve"> </w:t>
      </w:r>
    </w:p>
    <w:p w:rsidR="004B5DCD" w:rsidRDefault="004B5DCD" w:rsidP="00E7596C">
      <w:pPr>
        <w:pStyle w:val="BodyText"/>
      </w:pPr>
    </w:p>
    <w:p w:rsidR="009303D9" w:rsidRPr="005B520E" w:rsidRDefault="009303D9" w:rsidP="00E7596C">
      <w:pPr>
        <w:pStyle w:val="BodyText"/>
      </w:pPr>
      <w:r w:rsidRPr="005B520E">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rsidR="009303D9" w:rsidRDefault="009303D9" w:rsidP="006B6B66">
      <w:pPr>
        <w:pStyle w:val="Heading1"/>
      </w:pPr>
      <w:r>
        <w:t xml:space="preserve">Prepare Your Paper </w:t>
      </w:r>
      <w:r w:rsidRPr="005B520E">
        <w:t>Before</w:t>
      </w:r>
      <w:r>
        <w:t xml:space="preserve"> Styling</w:t>
      </w:r>
    </w:p>
    <w:p w:rsidR="00D7522C" w:rsidRPr="00D7522C" w:rsidRDefault="009303D9" w:rsidP="00E7596C">
      <w:pPr>
        <w:pStyle w:val="BodyText"/>
        <w:rPr>
          <w:lang w:val="en-US"/>
        </w:rPr>
      </w:pPr>
      <w:r w:rsidRPr="00E7596C">
        <w:t>Before</w:t>
      </w:r>
      <w:r w:rsidRPr="005B520E">
        <w:t xml:space="preserve"> you begin to format your paper, first write and save the content as a separate text file. </w:t>
      </w:r>
      <w:r w:rsidR="00D7522C">
        <w:rPr>
          <w:lang w:val="en-US"/>
        </w:rPr>
        <w:t xml:space="preserve">Complete all content and organizational editing before formatting. Please note sections </w:t>
      </w:r>
      <w:r w:rsidR="00D7522C">
        <w:rPr>
          <w:lang w:val="en-US"/>
        </w:rPr>
        <w:t>A-D below for more information on proofreading, spelling and grammar.</w:t>
      </w:r>
    </w:p>
    <w:p w:rsidR="009303D9" w:rsidRPr="005B520E" w:rsidRDefault="009303D9" w:rsidP="00E7596C">
      <w:pPr>
        <w:pStyle w:val="BodyText"/>
      </w:pPr>
      <w:r w:rsidRPr="005B520E">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rsidR="009303D9" w:rsidRDefault="009303D9" w:rsidP="00ED0149">
      <w:pPr>
        <w:pStyle w:val="Heading2"/>
      </w:pPr>
      <w:r w:rsidRPr="00ED0149">
        <w:t>Abbreviations</w:t>
      </w:r>
      <w:r>
        <w:t xml:space="preserve"> and Acronyms</w:t>
      </w:r>
    </w:p>
    <w:p w:rsidR="009303D9" w:rsidRPr="005B520E" w:rsidRDefault="009303D9" w:rsidP="00E7596C">
      <w:pPr>
        <w:pStyle w:val="BodyText"/>
      </w:pPr>
      <w:r w:rsidRPr="005B520E">
        <w:t xml:space="preserve">Define abbreviations and acronyms the first time they are used in the text, even after they have been defined in the abstract. Abbreviations such as IEEE, SI, MKS, CGS, </w:t>
      </w:r>
      <w:proofErr w:type="spellStart"/>
      <w:r w:rsidRPr="005B520E">
        <w:t>sc</w:t>
      </w:r>
      <w:proofErr w:type="spellEnd"/>
      <w:r w:rsidRPr="005B520E">
        <w:t>, dc, and rms do not have to be defined. Do not use abbreviations in the title or heads unless they are unavoidable.</w:t>
      </w:r>
    </w:p>
    <w:p w:rsidR="009303D9" w:rsidRDefault="009303D9" w:rsidP="00ED0149">
      <w:pPr>
        <w:pStyle w:val="Heading2"/>
      </w:pPr>
      <w:r>
        <w:t>Units</w:t>
      </w:r>
    </w:p>
    <w:p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rsidR="009303D9" w:rsidRPr="005B520E" w:rsidRDefault="009303D9" w:rsidP="00E7596C">
      <w:pPr>
        <w:pStyle w:val="bulletlist"/>
      </w:pPr>
      <w:r w:rsidRPr="005B520E">
        <w:t xml:space="preserve">Avoid combining SI and CGS units, such as current in amperes and magnetic field in </w:t>
      </w:r>
      <w:proofErr w:type="spellStart"/>
      <w:r w:rsidRPr="005B520E">
        <w:t>oersteds</w:t>
      </w:r>
      <w:proofErr w:type="spellEnd"/>
      <w:r w:rsidRPr="005B520E">
        <w:t>. This often leads to confusion because equations do not balance dimensionally. If you must use mixed units, clearly state the units for each quantity that you use in an equation.</w:t>
      </w:r>
    </w:p>
    <w:p w:rsidR="009303D9" w:rsidRPr="005B520E" w:rsidRDefault="009303D9" w:rsidP="00E7596C">
      <w:pPr>
        <w:pStyle w:val="bulletlist"/>
      </w:pPr>
      <w:r w:rsidRPr="005B520E">
        <w:t>Do not mix complete spellings and abbreviations of units: “Wb/m2” or “</w:t>
      </w:r>
      <w:proofErr w:type="spellStart"/>
      <w:r w:rsidRPr="005B520E">
        <w:t>webers</w:t>
      </w:r>
      <w:proofErr w:type="spellEnd"/>
      <w:r w:rsidRPr="005B520E">
        <w:t xml:space="preserve"> per square meter”, not “</w:t>
      </w:r>
      <w:proofErr w:type="spellStart"/>
      <w:r w:rsidRPr="005B520E">
        <w:t>webers</w:t>
      </w:r>
      <w:proofErr w:type="spellEnd"/>
      <w:r w:rsidRPr="005B520E">
        <w:t xml:space="preserve">/m2”.  Spell out units when they appear in text: “. . . a few </w:t>
      </w:r>
      <w:proofErr w:type="spellStart"/>
      <w:r w:rsidRPr="005B520E">
        <w:t>henries</w:t>
      </w:r>
      <w:proofErr w:type="spellEnd"/>
      <w:r w:rsidRPr="005B520E">
        <w:t>”, not “. . . a few H”.</w:t>
      </w:r>
    </w:p>
    <w:p w:rsidR="003B4E04" w:rsidRDefault="003B4E04" w:rsidP="003B4E04">
      <w:pPr>
        <w:pStyle w:val="sponsors"/>
        <w:framePr w:wrap="auto" w:vAnchor="page" w:hAnchor="page" w:x="45.90pt" w:y="756.05pt"/>
        <w:ind w:firstLine="14.45pt"/>
      </w:pPr>
      <w:r>
        <w:t>Identif</w:t>
      </w:r>
      <w:r w:rsidRPr="007C0308">
        <w:t xml:space="preserve">y applicable </w:t>
      </w:r>
      <w:r>
        <w:t>funding agency</w:t>
      </w:r>
      <w:r w:rsidRPr="007C0308">
        <w:t xml:space="preserve"> here. </w:t>
      </w:r>
      <w:r>
        <w:rPr>
          <w:iCs/>
        </w:rPr>
        <w:t>If none, delete this text box</w:t>
      </w:r>
      <w:r w:rsidRPr="007C0308">
        <w:rPr>
          <w:iCs/>
        </w:rPr>
        <w:t>.</w:t>
      </w:r>
    </w:p>
    <w:p w:rsidR="009303D9" w:rsidRPr="005B520E" w:rsidRDefault="009303D9" w:rsidP="00E7596C">
      <w:pPr>
        <w:pStyle w:val="bulletlist"/>
      </w:pPr>
      <w:r w:rsidRPr="005B520E">
        <w:t xml:space="preserve">Use a zero before decimal points: “0.25”, not “.25”. Use “cm3”, not “cc”. </w:t>
      </w:r>
      <w:r w:rsidRPr="007C0308">
        <w:t>(</w:t>
      </w:r>
      <w:r w:rsidRPr="005B0344">
        <w:rPr>
          <w:i/>
          <w:iCs/>
        </w:rPr>
        <w:t>bullet list</w:t>
      </w:r>
      <w:r w:rsidRPr="007C0308">
        <w:t>)</w:t>
      </w:r>
    </w:p>
    <w:p w:rsidR="009303D9" w:rsidRPr="005B520E" w:rsidRDefault="009303D9" w:rsidP="00ED0149">
      <w:pPr>
        <w:pStyle w:val="Heading2"/>
      </w:pPr>
      <w:r w:rsidRPr="005B520E">
        <w:t>Equations</w:t>
      </w:r>
    </w:p>
    <w:p w:rsidR="009303D9" w:rsidRPr="005B520E" w:rsidRDefault="009303D9" w:rsidP="00E7596C">
      <w:pPr>
        <w:pStyle w:val="BodyText"/>
      </w:pPr>
      <w:r w:rsidRPr="005B520E">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rsidR="009303D9" w:rsidRPr="00D7522C" w:rsidRDefault="009303D9" w:rsidP="00E7596C">
      <w:pPr>
        <w:pStyle w:val="BodyText"/>
        <w:rPr>
          <w:lang w:val="en-US"/>
        </w:rPr>
      </w:pPr>
      <w:r w:rsidRPr="005B520E">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rsidR="009303D9" w:rsidRPr="005B520E" w:rsidRDefault="009303D9" w:rsidP="003A19E2">
      <w:pPr>
        <w:pStyle w:val="equation"/>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rsidR="009303D9" w:rsidRDefault="009303D9" w:rsidP="00E7596C">
      <w:pPr>
        <w:pStyle w:val="BodyText"/>
      </w:pPr>
      <w:r>
        <w:t>Note that the equation is centered using a center tab stop. Be sure that the symbols in your equation have been defined before or immediately following the equation. Use “(1)”, not “Eq. (1)” or “equation (1)”, except at the beginning of a sentence: “Equation (1) is . . .”</w:t>
      </w:r>
    </w:p>
    <w:p w:rsidR="009303D9" w:rsidRDefault="009303D9" w:rsidP="00ED0149">
      <w:pPr>
        <w:pStyle w:val="Heading2"/>
      </w:pPr>
      <w:r>
        <w:t>Some Common Mistakes</w:t>
      </w:r>
    </w:p>
    <w:p w:rsidR="009303D9" w:rsidRPr="005B520E" w:rsidRDefault="009303D9" w:rsidP="00E7596C">
      <w:pPr>
        <w:pStyle w:val="bulletlist"/>
      </w:pPr>
      <w:r w:rsidRPr="005B520E">
        <w:t>The word “data” is plural, not singular.</w:t>
      </w:r>
    </w:p>
    <w:p w:rsidR="009303D9" w:rsidRPr="005B520E" w:rsidRDefault="009303D9" w:rsidP="00E7596C">
      <w:pPr>
        <w:pStyle w:val="bulletlist"/>
      </w:pPr>
      <w:r w:rsidRPr="005B520E">
        <w:lastRenderedPageBreak/>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rsidR="009303D9" w:rsidRPr="005B520E" w:rsidRDefault="009303D9" w:rsidP="00E7596C">
      <w:pPr>
        <w:pStyle w:val="bulletlist"/>
      </w:pPr>
      <w:r w:rsidRPr="005B520E">
        <w:t xml:space="preserve">In American </w:t>
      </w:r>
      <w:r w:rsidR="002850E3">
        <w:t>English, commas, semi</w:t>
      </w:r>
      <w:r w:rsidRPr="005B520E">
        <w:t>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rsidR="009303D9" w:rsidRPr="005B520E" w:rsidRDefault="009303D9" w:rsidP="00E7596C">
      <w:pPr>
        <w:pStyle w:val="bulletlist"/>
      </w:pPr>
      <w:r w:rsidRPr="005B520E">
        <w:t>Do not use the word “essentially” to mean “approximately” or “effectively”.</w:t>
      </w:r>
    </w:p>
    <w:p w:rsidR="009303D9" w:rsidRPr="005B520E" w:rsidRDefault="009303D9" w:rsidP="00E7596C">
      <w:pPr>
        <w:pStyle w:val="bulletlist"/>
      </w:pPr>
      <w:r w:rsidRPr="005B520E">
        <w:t>In your paper title, if the words “that uses” can accurately replace the word “using”, capitalize the “u”; if not, keep using lower-cased.</w:t>
      </w:r>
    </w:p>
    <w:p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rsidR="009303D9" w:rsidRPr="005B520E" w:rsidRDefault="009303D9" w:rsidP="00E7596C">
      <w:pPr>
        <w:pStyle w:val="bulletlist"/>
      </w:pPr>
      <w:r w:rsidRPr="005B520E">
        <w:t>Do not confuse “imply” and “infer”.</w:t>
      </w:r>
    </w:p>
    <w:p w:rsidR="009303D9" w:rsidRPr="005B520E" w:rsidRDefault="009303D9" w:rsidP="00E7596C">
      <w:pPr>
        <w:pStyle w:val="bulletlist"/>
      </w:pPr>
      <w:r w:rsidRPr="005B520E">
        <w:t>The prefix “non” is not a word; it should be joined to the word it modifies, usually without a hyphen.</w:t>
      </w:r>
    </w:p>
    <w:p w:rsidR="009303D9" w:rsidRPr="005B520E" w:rsidRDefault="009303D9" w:rsidP="00E7596C">
      <w:pPr>
        <w:pStyle w:val="bulletlist"/>
      </w:pPr>
      <w:r w:rsidRPr="005B520E">
        <w:t>There is no period after the “et” in the Latin abbreviation “et al.”.</w:t>
      </w:r>
    </w:p>
    <w:p w:rsidR="009303D9" w:rsidRPr="005B520E" w:rsidRDefault="009303D9" w:rsidP="00E7596C">
      <w:pPr>
        <w:pStyle w:val="bulletlist"/>
      </w:pPr>
      <w:r w:rsidRPr="005B520E">
        <w:t>The abbreviation “i.e.” means “that is”, and the abbreviation “e.g.” means “for example”.</w:t>
      </w:r>
    </w:p>
    <w:p w:rsidR="009303D9" w:rsidRPr="005B520E" w:rsidRDefault="009303D9" w:rsidP="00E7596C">
      <w:pPr>
        <w:pStyle w:val="BodyText"/>
      </w:pPr>
      <w:r w:rsidRPr="005B520E">
        <w:t>An excellent style manual for science writers is [7].</w:t>
      </w:r>
    </w:p>
    <w:p w:rsidR="009303D9" w:rsidRDefault="009303D9" w:rsidP="006B6B66">
      <w:pPr>
        <w:pStyle w:val="Heading1"/>
      </w:pPr>
      <w:r>
        <w:t xml:space="preserve">Using the </w:t>
      </w:r>
      <w:r w:rsidRPr="005B520E">
        <w:t>Template</w:t>
      </w:r>
    </w:p>
    <w:p w:rsidR="009303D9" w:rsidRPr="005B520E" w:rsidRDefault="009303D9" w:rsidP="00E7596C">
      <w:pPr>
        <w:pStyle w:val="BodyText"/>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rsidR="009303D9" w:rsidRDefault="009303D9" w:rsidP="00ED0149">
      <w:pPr>
        <w:pStyle w:val="Heading2"/>
      </w:pPr>
      <w:r w:rsidRPr="005B520E">
        <w:t>Authors</w:t>
      </w:r>
      <w:r>
        <w:t xml:space="preserve"> and Affiliations</w:t>
      </w:r>
    </w:p>
    <w:p w:rsidR="009303D9" w:rsidRPr="005B520E" w:rsidRDefault="009303D9" w:rsidP="00E7596C">
      <w:pPr>
        <w:pStyle w:val="BodyText"/>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2850E3">
        <w:rPr>
          <w:b/>
          <w:lang w:val="en-US"/>
        </w:rPr>
        <w:t>six</w:t>
      </w:r>
      <w:r w:rsidR="00354FCF" w:rsidRPr="0056610F">
        <w:rPr>
          <w:b/>
          <w:lang w:val="en-US"/>
        </w:rPr>
        <w:t xml:space="preserve"> authors.</w:t>
      </w:r>
      <w:r w:rsidR="00354FCF">
        <w:rPr>
          <w:lang w:val="en-US"/>
        </w:rPr>
        <w:t xml:space="preserve"> </w:t>
      </w:r>
      <w:r w:rsidR="007D6232">
        <w:rPr>
          <w:lang w:val="en-US"/>
        </w:rPr>
        <w:t xml:space="preserve">A minimum of one author is required for all conference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rsidR="002850E3" w:rsidRDefault="002850E3" w:rsidP="00794804">
      <w:pPr>
        <w:pStyle w:val="Heading3"/>
      </w:pPr>
      <w:r>
        <w:t xml:space="preserve">For papers with more than six authors: </w:t>
      </w:r>
      <w:r>
        <w:rPr>
          <w:i w:val="0"/>
        </w:rPr>
        <w:t>Add author names horizontally, moving to a third row if needed for more than 8 authors.</w:t>
      </w:r>
    </w:p>
    <w:p w:rsidR="009303D9" w:rsidRPr="005B520E" w:rsidRDefault="009303D9" w:rsidP="00794804">
      <w:pPr>
        <w:pStyle w:val="Heading3"/>
      </w:pPr>
      <w:r w:rsidRPr="005B520E">
        <w:t xml:space="preserve">For </w:t>
      </w:r>
      <w:r w:rsidR="00354FCF">
        <w:t xml:space="preserve">papers with less than </w:t>
      </w:r>
      <w:r w:rsidR="002850E3">
        <w:t>six</w:t>
      </w:r>
      <w:r w:rsidR="00354FCF">
        <w:t xml:space="preserve"> authors</w:t>
      </w:r>
      <w:r w:rsidRPr="005B520E">
        <w:t xml:space="preserve">: </w:t>
      </w:r>
      <w:r w:rsidRPr="00FA4C32">
        <w:rPr>
          <w:i w:val="0"/>
        </w:rPr>
        <w:t>To change the default, adjust the template as follows.</w:t>
      </w:r>
    </w:p>
    <w:p w:rsidR="009303D9" w:rsidRPr="005B520E" w:rsidRDefault="009303D9" w:rsidP="00794804">
      <w:pPr>
        <w:pStyle w:val="Heading4"/>
      </w:pPr>
      <w:r w:rsidRPr="00794804">
        <w:t>Selection</w:t>
      </w:r>
      <w:r w:rsidRPr="005B520E">
        <w:t xml:space="preserve">: </w:t>
      </w:r>
      <w:r w:rsidRPr="00FA4C32">
        <w:rPr>
          <w:i w:val="0"/>
        </w:rPr>
        <w:t>Highlight all author and affiliation lines.</w:t>
      </w:r>
    </w:p>
    <w:p w:rsidR="009303D9" w:rsidRPr="005B520E" w:rsidRDefault="009303D9" w:rsidP="00794804">
      <w:pPr>
        <w:pStyle w:val="Heading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rsidR="007D6232" w:rsidRDefault="009303D9" w:rsidP="007D6232">
      <w:pPr>
        <w:pStyle w:val="Heading4"/>
        <w:rPr>
          <w:i w:val="0"/>
        </w:rPr>
      </w:pPr>
      <w:r w:rsidRPr="005B520E">
        <w:t xml:space="preserve">Deletion: </w:t>
      </w:r>
      <w:r w:rsidRPr="00FA4C32">
        <w:rPr>
          <w:i w:val="0"/>
        </w:rPr>
        <w:t xml:space="preserve">Delete the author and affiliation lines for the </w:t>
      </w:r>
      <w:r w:rsidR="00354FCF">
        <w:rPr>
          <w:i w:val="0"/>
        </w:rPr>
        <w:t>extra authors.</w:t>
      </w:r>
    </w:p>
    <w:p w:rsidR="006F6D3D" w:rsidRDefault="006F6D3D" w:rsidP="006F6D3D">
      <w:pPr>
        <w:jc w:val="start"/>
        <w:rPr>
          <w:i/>
          <w:iCs/>
          <w:noProof/>
        </w:rPr>
      </w:pPr>
    </w:p>
    <w:p w:rsidR="009303D9" w:rsidRDefault="009303D9" w:rsidP="00ED0149">
      <w:pPr>
        <w:pStyle w:val="Heading2"/>
      </w:pPr>
      <w:r w:rsidRPr="005B520E">
        <w:t>Identify</w:t>
      </w:r>
      <w:r>
        <w:t xml:space="preserve"> the Headings</w:t>
      </w:r>
    </w:p>
    <w:p w:rsidR="009303D9" w:rsidRPr="005B520E" w:rsidRDefault="009303D9" w:rsidP="00E7596C">
      <w:pPr>
        <w:pStyle w:val="BodyText"/>
      </w:pPr>
      <w:r w:rsidRPr="005B520E">
        <w:t>Headings, or heads, are organizational devices that guide the reader through your paper. There are two types: component heads and text heads.</w:t>
      </w:r>
    </w:p>
    <w:p w:rsidR="009303D9" w:rsidRPr="005B520E" w:rsidRDefault="009303D9" w:rsidP="00E7596C">
      <w:pPr>
        <w:pStyle w:val="BodyText"/>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rsidR="009303D9" w:rsidRPr="005B520E" w:rsidRDefault="009303D9" w:rsidP="00E7596C">
      <w:pPr>
        <w:pStyle w:val="BodyText"/>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rsidR="009303D9" w:rsidRDefault="009303D9" w:rsidP="00ED0149">
      <w:pPr>
        <w:pStyle w:val="Heading2"/>
      </w:pPr>
      <w:r>
        <w:t>Figures and Tables</w:t>
      </w:r>
    </w:p>
    <w:p w:rsidR="009303D9" w:rsidRDefault="0004781E" w:rsidP="00FA4C32">
      <w:pPr>
        <w:pStyle w:val="Heading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rsidR="009303D9" w:rsidRPr="005B520E" w:rsidRDefault="009303D9">
      <w:pPr>
        <w:pStyle w:val="tablehead"/>
      </w:pPr>
      <w:r>
        <w:t>Table Type Styles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trPr>
          <w:cantSplit/>
          <w:trHeight w:val="240"/>
          <w:tblHeader/>
          <w:jc w:val="center"/>
        </w:trPr>
        <w:tc>
          <w:tcPr>
            <w:tcW w:w="36pt" w:type="dxa"/>
            <w:vMerge w:val="restart"/>
            <w:vAlign w:val="center"/>
          </w:tcPr>
          <w:p w:rsidR="009303D9" w:rsidRDefault="009303D9">
            <w:pPr>
              <w:pStyle w:val="tablecolhead"/>
            </w:pPr>
            <w:r>
              <w:t>Table Head</w:t>
            </w:r>
          </w:p>
        </w:tc>
        <w:tc>
          <w:tcPr>
            <w:tcW w:w="207pt" w:type="dxa"/>
            <w:gridSpan w:val="3"/>
            <w:vAlign w:val="center"/>
          </w:tcPr>
          <w:p w:rsidR="009303D9" w:rsidRDefault="009303D9">
            <w:pPr>
              <w:pStyle w:val="tablecolhead"/>
            </w:pPr>
            <w:r>
              <w:t>Table Column Head</w:t>
            </w:r>
          </w:p>
        </w:tc>
      </w:tr>
      <w:tr w:rsidR="009303D9">
        <w:trPr>
          <w:cantSplit/>
          <w:trHeight w:val="240"/>
          <w:tblHeader/>
          <w:jc w:val="center"/>
        </w:trPr>
        <w:tc>
          <w:tcPr>
            <w:tcW w:w="36pt" w:type="dxa"/>
            <w:vMerge/>
          </w:tcPr>
          <w:p w:rsidR="009303D9" w:rsidRDefault="009303D9">
            <w:pPr>
              <w:rPr>
                <w:sz w:val="16"/>
                <w:szCs w:val="16"/>
              </w:rPr>
            </w:pPr>
          </w:p>
        </w:tc>
        <w:tc>
          <w:tcPr>
            <w:tcW w:w="117pt" w:type="dxa"/>
            <w:vAlign w:val="center"/>
          </w:tcPr>
          <w:p w:rsidR="009303D9" w:rsidRDefault="009303D9">
            <w:pPr>
              <w:pStyle w:val="tablecolsubhead"/>
            </w:pPr>
            <w:r>
              <w:t>Table column subhead</w:t>
            </w:r>
          </w:p>
        </w:tc>
        <w:tc>
          <w:tcPr>
            <w:tcW w:w="45pt" w:type="dxa"/>
            <w:vAlign w:val="center"/>
          </w:tcPr>
          <w:p w:rsidR="009303D9" w:rsidRDefault="009303D9">
            <w:pPr>
              <w:pStyle w:val="tablecolsubhead"/>
            </w:pPr>
            <w:r>
              <w:t>Subhead</w:t>
            </w:r>
          </w:p>
        </w:tc>
        <w:tc>
          <w:tcPr>
            <w:tcW w:w="45pt" w:type="dxa"/>
            <w:vAlign w:val="center"/>
          </w:tcPr>
          <w:p w:rsidR="009303D9" w:rsidRDefault="009303D9">
            <w:pPr>
              <w:pStyle w:val="tablecolsubhead"/>
            </w:pPr>
            <w:r>
              <w:t>Subhead</w:t>
            </w:r>
          </w:p>
        </w:tc>
      </w:tr>
      <w:tr w:rsidR="009303D9">
        <w:trPr>
          <w:trHeight w:val="320"/>
          <w:jc w:val="center"/>
        </w:trPr>
        <w:tc>
          <w:tcPr>
            <w:tcW w:w="36pt" w:type="dxa"/>
            <w:vAlign w:val="center"/>
          </w:tcPr>
          <w:p w:rsidR="009303D9" w:rsidRDefault="009303D9">
            <w:pPr>
              <w:pStyle w:val="tablecopy"/>
              <w:rPr>
                <w:sz w:val="8"/>
                <w:szCs w:val="8"/>
              </w:rPr>
            </w:pPr>
            <w:r>
              <w:t>copy</w:t>
            </w:r>
          </w:p>
        </w:tc>
        <w:tc>
          <w:tcPr>
            <w:tcW w:w="117pt" w:type="dxa"/>
            <w:vAlign w:val="center"/>
          </w:tcPr>
          <w:p w:rsidR="009303D9" w:rsidRDefault="009303D9">
            <w:pPr>
              <w:pStyle w:val="tablecopy"/>
            </w:pPr>
            <w:r>
              <w:t>More table copy</w:t>
            </w:r>
            <w:r>
              <w:rPr>
                <w:vertAlign w:val="superscript"/>
              </w:rPr>
              <w:t>a</w:t>
            </w:r>
          </w:p>
        </w:tc>
        <w:tc>
          <w:tcPr>
            <w:tcW w:w="45pt" w:type="dxa"/>
            <w:vAlign w:val="center"/>
          </w:tcPr>
          <w:p w:rsidR="009303D9" w:rsidRDefault="009303D9">
            <w:pPr>
              <w:rPr>
                <w:sz w:val="16"/>
                <w:szCs w:val="16"/>
              </w:rPr>
            </w:pPr>
          </w:p>
        </w:tc>
        <w:tc>
          <w:tcPr>
            <w:tcW w:w="45pt" w:type="dxa"/>
            <w:vAlign w:val="center"/>
          </w:tcPr>
          <w:p w:rsidR="009303D9" w:rsidRDefault="009303D9">
            <w:pPr>
              <w:rPr>
                <w:sz w:val="16"/>
                <w:szCs w:val="16"/>
              </w:rPr>
            </w:pPr>
          </w:p>
        </w:tc>
      </w:tr>
    </w:tbl>
    <w:p w:rsidR="009303D9" w:rsidRPr="005B520E" w:rsidRDefault="009303D9" w:rsidP="005E2800">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p>
    <w:p w:rsidR="005B0344" w:rsidRDefault="005B0344" w:rsidP="003A19E2">
      <w:pPr>
        <w:pStyle w:val="figurecaption"/>
      </w:pPr>
      <w:r>
        <w:t xml:space="preserve">Example of a figure </w:t>
      </w:r>
      <w:r w:rsidRPr="005B520E">
        <w:t>caption</w:t>
      </w:r>
      <w:r>
        <w:t xml:space="preserve">. </w:t>
      </w:r>
      <w:r w:rsidRPr="00575BCA">
        <w:rPr>
          <w:iCs/>
        </w:rPr>
        <w:t>(</w:t>
      </w:r>
      <w:r w:rsidRPr="005B0344">
        <w:rPr>
          <w:i/>
          <w:iCs/>
        </w:rPr>
        <w:t>figure caption</w:t>
      </w:r>
      <w:r w:rsidRPr="00575BCA">
        <w:rPr>
          <w:iCs/>
        </w:rPr>
        <w:t>)</w:t>
      </w:r>
    </w:p>
    <w:p w:rsidR="0080791D" w:rsidRPr="005B520E" w:rsidRDefault="009303D9" w:rsidP="00E7596C">
      <w:pPr>
        <w:pStyle w:val="BodyText"/>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rsidR="0080791D" w:rsidRDefault="0080791D" w:rsidP="0080791D">
      <w:pPr>
        <w:pStyle w:val="Heading5"/>
      </w:pPr>
      <w:r w:rsidRPr="005B520E">
        <w:lastRenderedPageBreak/>
        <w:t>Acknowledgment</w:t>
      </w:r>
      <w:r>
        <w:t xml:space="preserve"> </w:t>
      </w:r>
      <w:r>
        <w:rPr>
          <w:i/>
          <w:iCs/>
        </w:rPr>
        <w:t>(</w:t>
      </w:r>
      <w:r w:rsidRPr="00651A08">
        <w:rPr>
          <w:i/>
          <w:iCs/>
          <w:smallCaps w:val="0"/>
        </w:rPr>
        <w:t>Heading 5</w:t>
      </w:r>
      <w:r>
        <w:rPr>
          <w:i/>
          <w:iCs/>
        </w:rPr>
        <w:t>)</w:t>
      </w:r>
    </w:p>
    <w:p w:rsidR="00575BCA" w:rsidRDefault="0080791D" w:rsidP="00836367">
      <w:pPr>
        <w:pStyle w:val="BodyText"/>
      </w:pPr>
      <w:r w:rsidRPr="005B520E">
        <w:t>The preferred spelling of the word “acknowledgment” in America is without an “e” after the “g</w:t>
      </w:r>
      <w:r w:rsidR="00AE3409">
        <w:t>”. Avoid the stilted expression “</w:t>
      </w:r>
      <w:proofErr w:type="spellStart"/>
      <w:r w:rsidR="00AE3409">
        <w:rPr>
          <w:lang w:val="en-US"/>
        </w:rPr>
        <w:t>o</w:t>
      </w:r>
      <w:r w:rsidRPr="005B520E">
        <w:t>ne</w:t>
      </w:r>
      <w:proofErr w:type="spellEnd"/>
      <w:r w:rsidRPr="005B520E">
        <w:t xml:space="preserv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rsidR="009303D9" w:rsidRDefault="009303D9" w:rsidP="00A059B3">
      <w:pPr>
        <w:pStyle w:val="Heading5"/>
      </w:pPr>
      <w:r w:rsidRPr="005B520E">
        <w:t>References</w:t>
      </w:r>
    </w:p>
    <w:p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rsidR="009303D9" w:rsidRPr="005B520E" w:rsidRDefault="009303D9" w:rsidP="00E7596C">
      <w:pPr>
        <w:pStyle w:val="BodyText"/>
      </w:pPr>
      <w:r w:rsidRPr="005B520E">
        <w:t>Unless there are six au</w:t>
      </w:r>
      <w:r w:rsidR="00C919A4">
        <w:t>thors or more give all authors</w:t>
      </w:r>
      <w:r w:rsidR="00C919A4">
        <w:rPr>
          <w:lang w:val="en-US"/>
        </w:rPr>
        <w:t xml:space="preserve">’ </w:t>
      </w:r>
      <w:r w:rsidRPr="005B520E">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rsidR="009303D9" w:rsidRPr="005B520E" w:rsidRDefault="009303D9" w:rsidP="00E7596C">
      <w:pPr>
        <w:pStyle w:val="BodyText"/>
      </w:pPr>
      <w:r w:rsidRPr="005B520E">
        <w:t xml:space="preserve">For </w:t>
      </w:r>
      <w:r w:rsidRPr="00C919A4">
        <w:t>papers</w:t>
      </w:r>
      <w:r w:rsidRPr="005B520E">
        <w:t xml:space="preserve"> published in translation journals, please give the English citation first, followed by the original foreign-language citation [6].</w:t>
      </w:r>
    </w:p>
    <w:p w:rsidR="009303D9" w:rsidRPr="005B520E" w:rsidRDefault="009303D9"/>
    <w:p w:rsidR="009303D9" w:rsidRDefault="009303D9" w:rsidP="0004781E">
      <w:pPr>
        <w:pStyle w:val="references"/>
        <w:ind w:start="17.70pt" w:hanging="17.70pt"/>
      </w:pPr>
      <w:r>
        <w:t xml:space="preserve">G. Eason, B. Noble, and I. N. Sneddon, “On certain integrals of Lipschitz-Hankel type involving products of Bessel functions,” Phil. Trans. Roy. Soc. London, vol. A247, pp. 529–551, April 1955. </w:t>
      </w:r>
      <w:r>
        <w:rPr>
          <w:i/>
          <w:iCs/>
        </w:rPr>
        <w:t>(references)</w:t>
      </w:r>
    </w:p>
    <w:p w:rsidR="009303D9" w:rsidRDefault="009303D9" w:rsidP="0004781E">
      <w:pPr>
        <w:pStyle w:val="references"/>
        <w:ind w:start="17.70pt" w:hanging="17.70pt"/>
      </w:pPr>
      <w:r>
        <w:t>J. Clerk Maxwell, A Treatise on Electricity and Magnetism, 3rd ed., vol. 2. Oxford: Clarendon, 1892, pp.68–73.</w:t>
      </w:r>
    </w:p>
    <w:p w:rsidR="009303D9" w:rsidRDefault="009303D9" w:rsidP="0004781E">
      <w:pPr>
        <w:pStyle w:val="references"/>
        <w:ind w:start="17.70pt" w:hanging="17.70pt"/>
      </w:pPr>
      <w:r>
        <w:t>I. S. Jacobs and C. P. Bean, “Fine particles, thin films and exchange anisotropy,” in Magnetism, vol. III, G. T. Rado and H. Suhl, Eds. New York: Academic, 1963, pp. 271–350.</w:t>
      </w:r>
    </w:p>
    <w:p w:rsidR="009303D9" w:rsidRDefault="009303D9" w:rsidP="0004781E">
      <w:pPr>
        <w:pStyle w:val="references"/>
        <w:ind w:start="17.70pt" w:hanging="17.70pt"/>
      </w:pPr>
      <w:r>
        <w:t>K. Elissa, “Title of paper if known,” unpublished.</w:t>
      </w:r>
    </w:p>
    <w:p w:rsidR="009303D9" w:rsidRDefault="009303D9" w:rsidP="0004781E">
      <w:pPr>
        <w:pStyle w:val="references"/>
        <w:ind w:start="17.70pt" w:hanging="17.70pt"/>
      </w:pPr>
      <w:r>
        <w:t>R. Nicole, “Title of paper with only first word capitalized,” J. Name Stand. Abbrev., in press.</w:t>
      </w:r>
    </w:p>
    <w:p w:rsidR="009303D9" w:rsidRDefault="009303D9" w:rsidP="0004781E">
      <w:pPr>
        <w:pStyle w:val="references"/>
        <w:ind w:start="17.70pt" w:hanging="17.70pt"/>
      </w:pPr>
      <w:r>
        <w:t>Y. Yorozu, M. Hirano, K. Oka, and Y. Tagawa, “Electron spectroscopy studies on magneto-optical media and plastic substrate interface,” IEEE Transl. J. Magn. Japan, vol. 2, pp. 740–741, August 1987 [Digests 9th Annual Conf. Magnetics Japan, p. 301, 1982].</w:t>
      </w:r>
    </w:p>
    <w:p w:rsidR="009303D9" w:rsidRDefault="009303D9" w:rsidP="0004781E">
      <w:pPr>
        <w:pStyle w:val="references"/>
        <w:ind w:start="17.70pt" w:hanging="17.70pt"/>
      </w:pPr>
      <w:r>
        <w:t>M. Young, The Technical Writer</w:t>
      </w:r>
      <w:r w:rsidR="00E7596C">
        <w:t>’</w:t>
      </w:r>
      <w:r>
        <w:t>s Handbook. Mill Valley, CA: University Science, 1989.</w:t>
      </w:r>
    </w:p>
    <w:p w:rsidR="009303D9" w:rsidRDefault="009303D9" w:rsidP="00836367">
      <w:pPr>
        <w:pStyle w:val="references"/>
        <w:numPr>
          <w:ilvl w:val="0"/>
          <w:numId w:val="0"/>
        </w:numPr>
        <w:ind w:start="18pt" w:hanging="18pt"/>
      </w:pPr>
    </w:p>
    <w:p w:rsidR="00836367" w:rsidRPr="00F96569" w:rsidRDefault="00836367" w:rsidP="008B6524">
      <w:pPr>
        <w:pStyle w:val="references"/>
        <w:numPr>
          <w:ilvl w:val="0"/>
          <w:numId w:val="0"/>
        </w:numPr>
        <w:spacing w:line="12pt" w:lineRule="auto"/>
        <w:ind w:start="18pt" w:hanging="18pt"/>
        <w:jc w:val="center"/>
        <w:rPr>
          <w:rFonts w:eastAsia="SimSun"/>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r w:rsidRPr="00F96569">
        <w:rPr>
          <w:rFonts w:eastAsia="SimSun"/>
          <w:b/>
          <w:noProof w:val="0"/>
          <w:color w:val="FF0000"/>
          <w:spacing w:val="-1"/>
          <w:sz w:val="20"/>
          <w:szCs w:val="20"/>
          <w:lang w:val="x-none"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sidR="00E165BC">
        <w:rPr>
          <w:rFonts w:eastAsia="SimSun"/>
          <w:b/>
          <w:noProof w:val="0"/>
          <w:color w:val="FF0000"/>
          <w:spacing w:val="-1"/>
          <w:sz w:val="20"/>
          <w:szCs w:val="20"/>
          <w:lang w:eastAsia="x-none"/>
        </w:rPr>
        <w:t>may</w:t>
      </w:r>
      <w:r w:rsidRPr="00F96569">
        <w:rPr>
          <w:rFonts w:eastAsia="SimSun"/>
          <w:b/>
          <w:noProof w:val="0"/>
          <w:color w:val="FF0000"/>
          <w:spacing w:val="-1"/>
          <w:sz w:val="20"/>
          <w:szCs w:val="20"/>
          <w:lang w:val="x-none" w:eastAsia="x-none"/>
        </w:rPr>
        <w:t xml:space="preserve"> result in your paper not being published.</w:t>
      </w:r>
    </w:p>
    <w:p w:rsidR="009303D9" w:rsidRDefault="003B2B40" w:rsidP="005B520E">
      <w:r>
        <w:rPr>
          <w:noProof/>
        </w:rPr>
        <w:drawing>
          <wp:anchor distT="0" distB="0" distL="114300" distR="114300" simplePos="0" relativeHeight="251657728" behindDoc="1" locked="0" layoutInCell="1" allowOverlap="1">
            <wp:simplePos x="0" y="0"/>
            <wp:positionH relativeFrom="margin">
              <wp:align>left</wp:align>
            </wp:positionH>
            <wp:positionV relativeFrom="paragraph">
              <wp:posOffset>251460</wp:posOffset>
            </wp:positionV>
            <wp:extent cx="3200400" cy="1143000"/>
            <wp:effectExtent l="10795" t="5080" r="8255" b="13970"/>
            <wp:wrapTight wrapText="bothSides">
              <wp:wrapPolygon edited="0">
                <wp:start x="-64" y="0"/>
                <wp:lineTo x="-64" y="21600"/>
                <wp:lineTo x="21664" y="21600"/>
                <wp:lineTo x="21664" y="0"/>
                <wp:lineTo x="-64"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3000"/>
                    </a:xfrm>
                    <a:prstGeom prst="rect">
                      <a:avLst/>
                    </a:prstGeom>
                    <a:solidFill>
                      <a:srgbClr val="FFFFFF"/>
                    </a:solidFill>
                    <a:ln w="9525">
                      <a:solidFill>
                        <a:srgbClr val="000000"/>
                      </a:solidFill>
                      <a:miter lim="800%"/>
                      <a:headEnd/>
                      <a:tailEnd/>
                    </a:ln>
                  </wp:spPr>
                  <wp:txbx>
                    <wne:txbxContent>
                      <w:p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rsidR="0080791D" w:rsidRDefault="0080791D" w:rsidP="00E7596C">
                        <w:pPr>
                          <w:pStyle w:val="BodyText"/>
                        </w:pPr>
                        <w:r>
                          <w:t>To have non-visible rules on your frame, use the MSWord “Format” pull-down menu, select Text Box &gt; Colors and Lines to choose No Fill and No Line.</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endnote w:type="separator" w:id="-1">
    <w:p w:rsidR="00907A9F" w:rsidRDefault="00907A9F" w:rsidP="001A3B3D">
      <w:r>
        <w:separator/>
      </w:r>
    </w:p>
  </w:endnote>
  <w:endnote w:type="continuationSeparator" w:id="0">
    <w:p w:rsidR="00907A9F" w:rsidRDefault="00907A9F"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characterSet="iso-8859-1"/>
    <w:family w:val="decorative"/>
    <w:pitch w:val="variable"/>
    <w:sig w:usb0="00000003" w:usb1="10000000" w:usb2="00000000" w:usb3="00000000" w:csb0="80000001"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family w:val="modern"/>
    <w:pitch w:val="fixed"/>
    <w:sig w:usb0="E0002AFF" w:usb1="C0007843" w:usb2="00000009" w:usb3="00000000" w:csb0="000001FF" w:csb1="00000000"/>
  </w:font>
  <w:font w:name="Wingdings">
    <w:panose1 w:val="05000000000000000000"/>
    <w:charset w:characterSet="macintosh"/>
    <w:family w:val="decorative"/>
    <w:pitch w:val="variable"/>
    <w:sig w:usb0="00000003" w:usb1="00000000" w:usb2="00000000" w:usb3="00000000" w:csb0="80000001" w:csb1="00000000"/>
  </w:font>
  <w:font w:name="SimSun">
    <w:altName w:val="宋体"/>
    <w:panose1 w:val="02010600030101010101"/>
    <w:charset w:characterSet="GBK"/>
    <w:family w:val="auto"/>
    <w:pitch w:val="variable"/>
    <w:sig w:usb0="000000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0002A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p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footnote w:type="separator" w:id="-1">
    <w:p w:rsidR="00907A9F" w:rsidRDefault="00907A9F" w:rsidP="001A3B3D">
      <w:r>
        <w:separator/>
      </w:r>
    </w:p>
  </w:footnote>
  <w:footnote w:type="continuationSeparator" w:id="0">
    <w:p w:rsidR="00907A9F" w:rsidRDefault="00907A9F"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93%"/>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7602E"/>
    <w:rsid w:val="0008758A"/>
    <w:rsid w:val="000C1E68"/>
    <w:rsid w:val="000E55F2"/>
    <w:rsid w:val="001A2EFD"/>
    <w:rsid w:val="001A3B3D"/>
    <w:rsid w:val="001B67DC"/>
    <w:rsid w:val="002254A9"/>
    <w:rsid w:val="00233D97"/>
    <w:rsid w:val="002347A2"/>
    <w:rsid w:val="00263C27"/>
    <w:rsid w:val="00270703"/>
    <w:rsid w:val="002844ED"/>
    <w:rsid w:val="002850E3"/>
    <w:rsid w:val="00300EA8"/>
    <w:rsid w:val="0034319C"/>
    <w:rsid w:val="00354FCF"/>
    <w:rsid w:val="00362447"/>
    <w:rsid w:val="003A19E2"/>
    <w:rsid w:val="003A5D94"/>
    <w:rsid w:val="003B2B40"/>
    <w:rsid w:val="003B4E04"/>
    <w:rsid w:val="003F5A08"/>
    <w:rsid w:val="00420716"/>
    <w:rsid w:val="004325FB"/>
    <w:rsid w:val="004432BA"/>
    <w:rsid w:val="0044407E"/>
    <w:rsid w:val="00447BB9"/>
    <w:rsid w:val="0046031D"/>
    <w:rsid w:val="00473AC9"/>
    <w:rsid w:val="004B5DCD"/>
    <w:rsid w:val="004D72B5"/>
    <w:rsid w:val="00551B7F"/>
    <w:rsid w:val="0056610F"/>
    <w:rsid w:val="005677B9"/>
    <w:rsid w:val="00575BCA"/>
    <w:rsid w:val="00581ADF"/>
    <w:rsid w:val="005B0344"/>
    <w:rsid w:val="005B520E"/>
    <w:rsid w:val="005C5232"/>
    <w:rsid w:val="005D1972"/>
    <w:rsid w:val="005E2800"/>
    <w:rsid w:val="00604978"/>
    <w:rsid w:val="00605825"/>
    <w:rsid w:val="00645D22"/>
    <w:rsid w:val="00651A08"/>
    <w:rsid w:val="00654204"/>
    <w:rsid w:val="00670434"/>
    <w:rsid w:val="00676DAA"/>
    <w:rsid w:val="006778C6"/>
    <w:rsid w:val="00680542"/>
    <w:rsid w:val="006A7B45"/>
    <w:rsid w:val="006B0685"/>
    <w:rsid w:val="006B6B66"/>
    <w:rsid w:val="006D2D6D"/>
    <w:rsid w:val="006E0DC8"/>
    <w:rsid w:val="006F6D3D"/>
    <w:rsid w:val="00715BEA"/>
    <w:rsid w:val="00740EEA"/>
    <w:rsid w:val="007450DD"/>
    <w:rsid w:val="00794804"/>
    <w:rsid w:val="007B33F1"/>
    <w:rsid w:val="007B6DDA"/>
    <w:rsid w:val="007C0308"/>
    <w:rsid w:val="007C2FF2"/>
    <w:rsid w:val="007D6232"/>
    <w:rsid w:val="007E4AAA"/>
    <w:rsid w:val="007F1F99"/>
    <w:rsid w:val="007F768F"/>
    <w:rsid w:val="0080791D"/>
    <w:rsid w:val="00836367"/>
    <w:rsid w:val="0083717D"/>
    <w:rsid w:val="00850CAD"/>
    <w:rsid w:val="00873603"/>
    <w:rsid w:val="00893DF4"/>
    <w:rsid w:val="008A2C7D"/>
    <w:rsid w:val="008B496E"/>
    <w:rsid w:val="008B6524"/>
    <w:rsid w:val="008C4B23"/>
    <w:rsid w:val="008F6E2C"/>
    <w:rsid w:val="00907A9F"/>
    <w:rsid w:val="00912736"/>
    <w:rsid w:val="009303D9"/>
    <w:rsid w:val="00933C64"/>
    <w:rsid w:val="00972203"/>
    <w:rsid w:val="009F1D79"/>
    <w:rsid w:val="00A059B3"/>
    <w:rsid w:val="00A30047"/>
    <w:rsid w:val="00A451AE"/>
    <w:rsid w:val="00A479B3"/>
    <w:rsid w:val="00A937D7"/>
    <w:rsid w:val="00AA16B8"/>
    <w:rsid w:val="00AE3409"/>
    <w:rsid w:val="00B11A60"/>
    <w:rsid w:val="00B22613"/>
    <w:rsid w:val="00B44A76"/>
    <w:rsid w:val="00B768D1"/>
    <w:rsid w:val="00B86724"/>
    <w:rsid w:val="00BA1025"/>
    <w:rsid w:val="00BC3420"/>
    <w:rsid w:val="00BD670B"/>
    <w:rsid w:val="00BE7D3C"/>
    <w:rsid w:val="00BF5FF6"/>
    <w:rsid w:val="00C0207F"/>
    <w:rsid w:val="00C16117"/>
    <w:rsid w:val="00C3075A"/>
    <w:rsid w:val="00C919A4"/>
    <w:rsid w:val="00CA4392"/>
    <w:rsid w:val="00CC393F"/>
    <w:rsid w:val="00D2176E"/>
    <w:rsid w:val="00D4584B"/>
    <w:rsid w:val="00D619A1"/>
    <w:rsid w:val="00D632BE"/>
    <w:rsid w:val="00D72D06"/>
    <w:rsid w:val="00D7522C"/>
    <w:rsid w:val="00D7536F"/>
    <w:rsid w:val="00D758D4"/>
    <w:rsid w:val="00D76668"/>
    <w:rsid w:val="00DA4D42"/>
    <w:rsid w:val="00DD38BC"/>
    <w:rsid w:val="00E07383"/>
    <w:rsid w:val="00E165BC"/>
    <w:rsid w:val="00E23DF8"/>
    <w:rsid w:val="00E61E12"/>
    <w:rsid w:val="00E7596C"/>
    <w:rsid w:val="00E878F2"/>
    <w:rsid w:val="00ED0149"/>
    <w:rsid w:val="00EF7DE3"/>
    <w:rsid w:val="00F03103"/>
    <w:rsid w:val="00F20805"/>
    <w:rsid w:val="00F271DE"/>
    <w:rsid w:val="00F51484"/>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21F92BD1"/>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73511370">
      <w:bodyDiv w:val="1"/>
      <w:marLeft w:val="0pt"/>
      <w:marRight w:val="0pt"/>
      <w:marTop w:val="0pt"/>
      <w:marBottom w:val="0pt"/>
      <w:divBdr>
        <w:top w:val="none" w:sz="0" w:space="0" w:color="auto"/>
        <w:left w:val="none" w:sz="0" w:space="0" w:color="auto"/>
        <w:bottom w:val="none" w:sz="0" w:space="0" w:color="auto"/>
        <w:right w:val="none" w:sz="0" w:space="0" w:color="auto"/>
      </w:divBdr>
    </w:div>
    <w:div w:id="761147451">
      <w:bodyDiv w:val="1"/>
      <w:marLeft w:val="0pt"/>
      <w:marRight w:val="0pt"/>
      <w:marTop w:val="0pt"/>
      <w:marBottom w:val="0pt"/>
      <w:divBdr>
        <w:top w:val="none" w:sz="0" w:space="0" w:color="auto"/>
        <w:left w:val="none" w:sz="0" w:space="0" w:color="auto"/>
        <w:bottom w:val="none" w:sz="0" w:space="0" w:color="auto"/>
        <w:right w:val="none" w:sz="0" w:space="0" w:color="auto"/>
      </w:divBdr>
    </w:div>
    <w:div w:id="882324905">
      <w:bodyDiv w:val="1"/>
      <w:marLeft w:val="0pt"/>
      <w:marRight w:val="0pt"/>
      <w:marTop w:val="0pt"/>
      <w:marBottom w:val="0pt"/>
      <w:divBdr>
        <w:top w:val="none" w:sz="0" w:space="0" w:color="auto"/>
        <w:left w:val="none" w:sz="0" w:space="0" w:color="auto"/>
        <w:bottom w:val="none" w:sz="0" w:space="0" w:color="auto"/>
        <w:right w:val="none" w:sz="0" w:space="0" w:color="auto"/>
      </w:divBdr>
    </w:div>
    <w:div w:id="1457261866">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5" Type="http://purl.oclc.org/ooxml/officeDocument/relationships/webSettings" Target="webSettings.xml"/><Relationship Id="rId10" Type="http://purl.oclc.org/ooxml/officeDocument/relationships/theme" Target="theme/theme1.xml"/><Relationship Id="rId4" Type="http://purl.oclc.org/ooxml/officeDocument/relationships/settings" Target="settings.xml"/><Relationship Id="rId9"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Arm21</b:Tag>
    <b:SourceType>Report</b:SourceType>
    <b:Guid>{EFC7BD6C-15AE-BB42-864B-4CBE070EEE21}</b:Guid>
    <b:Title>Lakehouse: A New Generation of Open Platforms that Unify Data Warehousing and Advanced Analytics</b:Title>
    <b:Year>2021</b:Year>
    <b:Author>
      <b:Author>
        <b:NameList>
          <b:Person>
            <b:Last>Armbrust</b:Last>
            <b:First>Michael</b:First>
          </b:Person>
        </b:NameList>
      </b:Author>
    </b:Author>
    <b:Publisher>CIDR</b:Publisher>
    <b:RefOrder>1</b:RefOrder>
  </b:Source>
</b:Sources>
</file>

<file path=customXml/itemProps1.xml><?xml version="1.0" encoding="utf-8"?>
<ds:datastoreItem xmlns:ds="http://purl.oclc.org/ooxml/officeDocument/customXml" ds:itemID="{0116A07E-3E9D-AA49-A0A5-3172DD2141BD}">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1</TotalTime>
  <Pages>4</Pages>
  <Words>2858</Words>
  <Characters>16296</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19116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Microsoft Office User</cp:lastModifiedBy>
  <cp:revision>2</cp:revision>
  <dcterms:created xsi:type="dcterms:W3CDTF">2026-09-29T16:06:00Z</dcterms:created>
  <dcterms:modified xsi:type="dcterms:W3CDTF">2026-09-29T16:06:00Z</dcterms:modified>
</cp:coreProperties>
</file>