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color w:val="000000"/>
        </w:rPr>
      </w:pPr>
      <w:r>
        <w:rPr>
          <w:color w:val="000000"/>
        </w:rPr>
      </w:r>
    </w:p>
    <w:p>
      <w:pPr>
        <w:pStyle w:val="Normal"/>
        <w:bidi w:val="0"/>
        <w:rPr>
          <w:color w:val="000000"/>
          <w:u w:val="single"/>
        </w:rPr>
      </w:pPr>
      <w:r>
        <w:rPr>
          <w:color w:val="000000"/>
          <w:u w:val="single"/>
        </w:rPr>
        <w:t>v</w:t>
      </w:r>
      <w:r>
        <w:rPr>
          <w:rFonts w:cs="Arial" w:ascii="Arial" w:hAnsi="Arial"/>
          <w:b/>
          <w:color w:val="000000"/>
          <w:sz w:val="36"/>
          <w:szCs w:val="36"/>
          <w:u w:val="single"/>
        </w:rPr>
        <w:t>Assessment Cover Page</w:t>
      </w:r>
    </w:p>
    <w:p>
      <w:pPr>
        <w:pStyle w:val="Normal"/>
        <w:bidi w:val="0"/>
        <w:rPr>
          <w:rFonts w:ascii="Arial" w:hAnsi="Arial" w:cs="Arial"/>
          <w:b/>
          <w:color w:val="000000"/>
          <w:sz w:val="36"/>
          <w:szCs w:val="36"/>
        </w:rPr>
      </w:pPr>
      <w:r>
        <w:rPr>
          <w:rFonts w:cs="Arial" w:ascii="Arial" w:hAnsi="Arial"/>
          <w:b/>
          <w:color w:val="000000"/>
          <w:sz w:val="36"/>
          <w:szCs w:val="36"/>
        </w:rPr>
      </w:r>
    </w:p>
    <w:p>
      <w:pPr>
        <w:pStyle w:val="Normal"/>
        <w:bidi w:val="0"/>
        <w:rPr>
          <w:rFonts w:ascii="Arial" w:hAnsi="Arial" w:cs="Arial"/>
          <w:b/>
          <w:color w:val="000000"/>
          <w:sz w:val="36"/>
          <w:szCs w:val="36"/>
        </w:rPr>
      </w:pPr>
      <w:r>
        <w:rPr>
          <w:rFonts w:cs="Arial" w:ascii="Arial" w:hAnsi="Arial"/>
          <w:b/>
          <w:color w:val="000000"/>
          <w:sz w:val="36"/>
          <w:szCs w:val="36"/>
        </w:rPr>
      </w:r>
    </w:p>
    <w:tbl>
      <w:tblPr>
        <w:tblW w:w="13176" w:type="dxa"/>
        <w:jc w:val="start"/>
        <w:tblInd w:w="96" w:type="dxa"/>
        <w:tblLayout w:type="fixed"/>
        <w:tblCellMar>
          <w:top w:w="0" w:type="dxa"/>
          <w:start w:w="108" w:type="dxa"/>
          <w:bottom w:w="0" w:type="dxa"/>
          <w:end w:w="108" w:type="dxa"/>
        </w:tblCellMar>
        <w:tblLook w:val="0400" w:firstRow="0" w:noVBand="1" w:lastRow="0" w:firstColumn="0" w:lastColumn="0" w:noHBand="0"/>
      </w:tblPr>
      <w:tblGrid>
        <w:gridCol w:w="13176"/>
      </w:tblGrid>
      <w:tr>
        <w:trPr/>
        <w:tc>
          <w:tcPr>
            <w:tcW w:w="13176" w:type="dxa"/>
            <w:tcBorders/>
          </w:tcPr>
          <w:p>
            <w:pPr>
              <w:pStyle w:val="Normal"/>
              <w:bidi w:val="0"/>
              <w:spacing w:lineRule="auto" w:line="480"/>
              <w:ind w:end="-3378"/>
              <w:jc w:val="both"/>
              <w:rPr>
                <w:rFonts w:ascii="Arial" w:hAnsi="Arial" w:cs="Arial"/>
                <w:b w:val="false"/>
                <w:bCs w:val="false"/>
                <w:i w:val="false"/>
                <w:iCs w:val="false"/>
                <w:color w:val="156082"/>
                <w:sz w:val="28"/>
                <w:szCs w:val="28"/>
              </w:rPr>
            </w:pPr>
            <w:r>
              <w:rPr>
                <w:rFonts w:cs="Arial" w:ascii="Arial" w:hAnsi="Arial"/>
                <w:b/>
                <w:bCs/>
                <w:i/>
                <w:color w:val="000000"/>
                <w:sz w:val="28"/>
                <w:szCs w:val="28"/>
              </w:rPr>
              <w:t>Student Full Name:</w:t>
            </w:r>
            <w:r>
              <w:rPr>
                <w:rFonts w:cs="Arial" w:ascii="Arial" w:hAnsi="Arial"/>
                <w:i/>
                <w:color w:val="000000"/>
                <w:sz w:val="28"/>
                <w:szCs w:val="28"/>
              </w:rPr>
              <w:t xml:space="preserve">  </w:t>
            </w:r>
            <w:r>
              <w:rPr>
                <w:rFonts w:cs="Arial" w:ascii="Arial" w:hAnsi="Arial"/>
                <w:b w:val="false"/>
                <w:bCs w:val="false"/>
                <w:i w:val="false"/>
                <w:iCs w:val="false"/>
                <w:color w:val="000000"/>
                <w:sz w:val="28"/>
                <w:szCs w:val="28"/>
              </w:rPr>
              <w:t>Fabiana Scanferla Sandoval</w:t>
            </w:r>
          </w:p>
        </w:tc>
      </w:tr>
      <w:tr>
        <w:trPr/>
        <w:tc>
          <w:tcPr>
            <w:tcW w:w="13176" w:type="dxa"/>
            <w:tcBorders/>
          </w:tcPr>
          <w:p>
            <w:pPr>
              <w:pStyle w:val="Normal"/>
              <w:bidi w:val="0"/>
              <w:spacing w:lineRule="auto" w:line="480"/>
              <w:jc w:val="both"/>
              <w:rPr>
                <w:rFonts w:ascii="Arial" w:hAnsi="Arial" w:cs="Arial"/>
                <w:i/>
                <w:color w:val="156082"/>
                <w:sz w:val="28"/>
                <w:szCs w:val="28"/>
              </w:rPr>
            </w:pPr>
            <w:r>
              <w:rPr>
                <w:rFonts w:cs="Arial" w:ascii="Arial" w:hAnsi="Arial"/>
                <w:b/>
                <w:bCs/>
                <w:i/>
                <w:color w:val="000000"/>
                <w:sz w:val="28"/>
                <w:szCs w:val="28"/>
              </w:rPr>
              <w:t xml:space="preserve">Student Number: </w:t>
            </w:r>
            <w:r>
              <w:rPr>
                <w:rFonts w:cs="Arial" w:ascii="Arial" w:hAnsi="Arial"/>
                <w:i/>
                <w:color w:val="000000"/>
                <w:sz w:val="28"/>
                <w:szCs w:val="28"/>
              </w:rPr>
              <w:t>2026334</w:t>
            </w:r>
          </w:p>
        </w:tc>
      </w:tr>
      <w:tr>
        <w:trPr/>
        <w:tc>
          <w:tcPr>
            <w:tcW w:w="13176" w:type="dxa"/>
            <w:tcBorders/>
          </w:tcPr>
          <w:p>
            <w:pPr>
              <w:pStyle w:val="Normal"/>
              <w:bidi w:val="0"/>
              <w:spacing w:lineRule="auto" w:line="480"/>
              <w:jc w:val="both"/>
              <w:rPr>
                <w:rFonts w:ascii="Arial" w:hAnsi="Arial" w:cs="Arial"/>
                <w:i/>
                <w:color w:val="156082"/>
                <w:sz w:val="28"/>
                <w:szCs w:val="28"/>
              </w:rPr>
            </w:pPr>
            <w:r>
              <w:rPr>
                <w:rFonts w:cs="Arial" w:ascii="Arial" w:hAnsi="Arial"/>
                <w:b/>
                <w:bCs/>
                <w:i/>
                <w:color w:val="000000"/>
                <w:sz w:val="28"/>
                <w:szCs w:val="28"/>
              </w:rPr>
              <w:t xml:space="preserve">Module Title: </w:t>
            </w:r>
            <w:r>
              <w:rPr>
                <w:rFonts w:cs="Arial" w:ascii="Arial" w:hAnsi="Arial"/>
                <w:i/>
                <w:color w:val="000000"/>
                <w:sz w:val="28"/>
                <w:szCs w:val="28"/>
              </w:rPr>
              <w:t xml:space="preserve">Statisticfal Techniques for Data Analysis </w:t>
            </w:r>
          </w:p>
        </w:tc>
      </w:tr>
      <w:tr>
        <w:trPr/>
        <w:tc>
          <w:tcPr>
            <w:tcW w:w="13176" w:type="dxa"/>
            <w:tcBorders/>
          </w:tcPr>
          <w:p>
            <w:pPr>
              <w:pStyle w:val="Normal"/>
              <w:bidi w:val="0"/>
              <w:spacing w:lineRule="auto" w:line="480"/>
              <w:jc w:val="both"/>
              <w:rPr>
                <w:rFonts w:ascii="Arial" w:hAnsi="Arial" w:cs="Arial"/>
                <w:i/>
                <w:color w:val="156082"/>
                <w:sz w:val="28"/>
                <w:szCs w:val="28"/>
              </w:rPr>
            </w:pPr>
            <w:r>
              <w:rPr>
                <w:rFonts w:cs="Arial" w:ascii="Arial" w:hAnsi="Arial"/>
                <w:b/>
                <w:bCs/>
                <w:i/>
                <w:color w:val="000000"/>
                <w:sz w:val="28"/>
                <w:szCs w:val="28"/>
              </w:rPr>
              <w:t>Assessment Title:</w:t>
            </w:r>
            <w:r>
              <w:rPr>
                <w:rFonts w:cs="Arial" w:ascii="Arial" w:hAnsi="Arial"/>
                <w:i/>
                <w:color w:val="000000"/>
                <w:sz w:val="28"/>
                <w:szCs w:val="28"/>
              </w:rPr>
              <w:t xml:space="preserve"> </w:t>
            </w:r>
            <w:r>
              <w:rPr>
                <w:rFonts w:cs="Arial" w:ascii="Arial" w:hAnsi="Arial"/>
                <w:i/>
                <w:color w:val="000000"/>
                <w:sz w:val="28"/>
                <w:szCs w:val="28"/>
              </w:rPr>
              <w:t xml:space="preserve">Application of Statistical Techniques to Online Retail </w:t>
            </w:r>
            <w:r>
              <w:rPr>
                <w:color w:val="000000"/>
              </w:rPr>
              <w:t>II Data</w:t>
            </w:r>
          </w:p>
        </w:tc>
      </w:tr>
      <w:tr>
        <w:trPr/>
        <w:tc>
          <w:tcPr>
            <w:tcW w:w="13176" w:type="dxa"/>
            <w:tcBorders/>
          </w:tcPr>
          <w:p>
            <w:pPr>
              <w:pStyle w:val="Normal"/>
              <w:bidi w:val="0"/>
              <w:spacing w:lineRule="auto" w:line="480"/>
              <w:jc w:val="both"/>
              <w:rPr>
                <w:rFonts w:ascii="Arial" w:hAnsi="Arial" w:cs="Arial"/>
                <w:i/>
                <w:color w:val="156082"/>
                <w:sz w:val="28"/>
                <w:szCs w:val="28"/>
              </w:rPr>
            </w:pPr>
            <w:r>
              <w:rPr>
                <w:rFonts w:cs="Arial" w:ascii="Arial" w:hAnsi="Arial"/>
                <w:b/>
                <w:bCs/>
                <w:i/>
                <w:color w:val="000000"/>
                <w:sz w:val="28"/>
                <w:szCs w:val="28"/>
              </w:rPr>
              <w:t xml:space="preserve">Lecturer/Supervisor: </w:t>
            </w:r>
            <w:r>
              <w:rPr>
                <w:rFonts w:cs="Arial" w:ascii="Arial" w:hAnsi="Arial"/>
                <w:i/>
                <w:color w:val="000000"/>
                <w:sz w:val="28"/>
                <w:szCs w:val="28"/>
              </w:rPr>
              <w:t>Taufique Ahmed</w:t>
            </w:r>
          </w:p>
        </w:tc>
      </w:tr>
      <w:tr>
        <w:trPr/>
        <w:tc>
          <w:tcPr>
            <w:tcW w:w="13176" w:type="dxa"/>
            <w:tcBorders/>
          </w:tcPr>
          <w:p>
            <w:pPr>
              <w:pStyle w:val="Normal"/>
              <w:bidi w:val="0"/>
              <w:spacing w:lineRule="auto" w:line="480"/>
              <w:jc w:val="both"/>
              <w:rPr>
                <w:rFonts w:ascii="Arial" w:hAnsi="Arial" w:cs="Arial"/>
                <w:i/>
                <w:color w:val="156082"/>
                <w:sz w:val="28"/>
                <w:szCs w:val="28"/>
              </w:rPr>
            </w:pPr>
            <w:r>
              <w:rPr>
                <w:rFonts w:cs="Arial" w:ascii="Arial" w:hAnsi="Arial"/>
                <w:b/>
                <w:bCs/>
                <w:i/>
                <w:color w:val="000000"/>
                <w:sz w:val="28"/>
                <w:szCs w:val="28"/>
              </w:rPr>
              <w:t>Assessment Due Date:</w:t>
            </w:r>
            <w:r>
              <w:rPr>
                <w:rFonts w:cs="Arial" w:ascii="Arial" w:hAnsi="Arial"/>
                <w:i/>
                <w:color w:val="000000"/>
                <w:sz w:val="28"/>
                <w:szCs w:val="28"/>
              </w:rPr>
              <w:t xml:space="preserve"> </w:t>
            </w:r>
            <w:r>
              <w:rPr>
                <w:rFonts w:cs="Arial" w:ascii="Arial" w:hAnsi="Arial"/>
                <w:i/>
                <w:color w:val="000000"/>
                <w:sz w:val="28"/>
                <w:szCs w:val="28"/>
              </w:rPr>
              <w:t>01/11/2026</w:t>
            </w:r>
          </w:p>
        </w:tc>
      </w:tr>
      <w:tr>
        <w:trPr/>
        <w:tc>
          <w:tcPr>
            <w:tcW w:w="13176" w:type="dxa"/>
            <w:tcBorders/>
          </w:tcPr>
          <w:p>
            <w:pPr>
              <w:pStyle w:val="Normal"/>
              <w:bidi w:val="0"/>
              <w:spacing w:lineRule="auto" w:line="480"/>
              <w:jc w:val="both"/>
              <w:rPr>
                <w:rFonts w:ascii="Arial" w:hAnsi="Arial" w:cs="Arial"/>
                <w:i/>
                <w:color w:val="156082"/>
                <w:sz w:val="28"/>
                <w:szCs w:val="28"/>
              </w:rPr>
            </w:pPr>
            <w:r>
              <w:rPr>
                <w:rFonts w:cs="Arial" w:ascii="Arial" w:hAnsi="Arial"/>
                <w:b/>
                <w:bCs/>
                <w:i/>
                <w:color w:val="000000"/>
                <w:sz w:val="28"/>
                <w:szCs w:val="28"/>
              </w:rPr>
              <w:t>Date of Submission:</w:t>
            </w:r>
            <w:r>
              <w:rPr>
                <w:rFonts w:cs="Arial" w:ascii="Arial" w:hAnsi="Arial"/>
                <w:i/>
                <w:color w:val="000000"/>
                <w:sz w:val="28"/>
                <w:szCs w:val="28"/>
              </w:rPr>
              <w:t xml:space="preserve"> </w:t>
            </w:r>
            <w:r>
              <w:rPr>
                <w:rFonts w:cs="Arial" w:ascii="Arial" w:hAnsi="Arial"/>
                <w:i/>
                <w:color w:val="000000"/>
                <w:sz w:val="28"/>
                <w:szCs w:val="28"/>
              </w:rPr>
              <w:t>01/11/26</w:t>
            </w:r>
          </w:p>
        </w:tc>
      </w:tr>
    </w:tbl>
    <w:p>
      <w:pPr>
        <w:pStyle w:val="Normal"/>
        <w:bidi w:val="0"/>
        <w:rPr>
          <w:color w:val="000000"/>
        </w:rPr>
      </w:pPr>
      <w:r>
        <w:rPr>
          <w:color w:val="000000"/>
        </w:rPr>
        <w:drawing>
          <wp:anchor distT="0" distB="0" distL="114300" distR="114300" simplePos="0" relativeHeight="2" behindDoc="0" locked="0" layoutInCell="0" allowOverlap="1">
            <wp:simplePos x="0" y="0"/>
            <wp:positionH relativeFrom="margin">
              <wp:posOffset>4174490</wp:posOffset>
            </wp:positionH>
            <wp:positionV relativeFrom="margin">
              <wp:posOffset>-276225</wp:posOffset>
            </wp:positionV>
            <wp:extent cx="2206625" cy="762000"/>
            <wp:effectExtent l="0" t="0" r="0" b="0"/>
            <wp:wrapSquare wrapText="bothSides"/>
            <wp:docPr id="1" name="image1.png"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logo for college computing&#10;&#10;Description automatically generated"/>
                    <pic:cNvPicPr>
                      <a:picLocks noChangeAspect="1" noChangeArrowheads="1"/>
                    </pic:cNvPicPr>
                  </pic:nvPicPr>
                  <pic:blipFill>
                    <a:blip r:embed="rId2"/>
                    <a:stretch>
                      <a:fillRect/>
                    </a:stretch>
                  </pic:blipFill>
                  <pic:spPr bwMode="auto">
                    <a:xfrm>
                      <a:off x="0" y="0"/>
                      <a:ext cx="2206625" cy="762000"/>
                    </a:xfrm>
                    <a:prstGeom prst="rect">
                      <a:avLst/>
                    </a:prstGeom>
                    <a:noFill/>
                  </pic:spPr>
                </pic:pic>
              </a:graphicData>
            </a:graphic>
          </wp:anchor>
        </w:drawing>
        <mc:AlternateContent>
          <mc:Choice Requires="wpg">
            <w:drawing>
              <wp:anchor distT="0" distB="0" distL="0" distR="0" simplePos="0" relativeHeight="3" behindDoc="0" locked="0" layoutInCell="0" allowOverlap="1" wp14:anchorId="10541535">
                <wp:simplePos x="0" y="0"/>
                <wp:positionH relativeFrom="page">
                  <wp:posOffset>428625</wp:posOffset>
                </wp:positionH>
                <wp:positionV relativeFrom="margin">
                  <wp:posOffset>-1170305</wp:posOffset>
                </wp:positionV>
                <wp:extent cx="228600" cy="10403205"/>
                <wp:effectExtent l="0" t="0" r="0" b="0"/>
                <wp:wrapNone/>
                <wp:docPr id="2" name="Group 1728545881"/>
                <a:graphic xmlns:a="http://schemas.openxmlformats.org/drawingml/2006/main">
                  <a:graphicData uri="http://schemas.microsoft.com/office/word/2010/wordprocessingGroup">
                    <wpg:wgp>
                      <wpg:cNvGrpSpPr/>
                      <wpg:grpSpPr>
                        <a:xfrm>
                          <a:off x="0" y="0"/>
                          <a:ext cx="228600" cy="10403280"/>
                          <a:chOff x="0" y="0"/>
                          <a:chExt cx="228600" cy="10403280"/>
                        </a:xfrm>
                      </wpg:grpSpPr>
                      <wpg:grpSp>
                        <wpg:cNvGrpSpPr/>
                        <wpg:grpSpPr>
                          <a:xfrm>
                            <a:off x="0" y="0"/>
                            <a:ext cx="228600" cy="10403280"/>
                          </a:xfrm>
                        </wpg:grpSpPr>
                        <wps:wsp>
                          <wps:cNvPr id="3" name="Rectangle 1022607563"/>
                          <wps:cNvSpPr/>
                          <wps:spPr>
                            <a:xfrm>
                              <a:off x="0" y="0"/>
                              <a:ext cx="228600" cy="10402560"/>
                            </a:xfrm>
                            <a:prstGeom prst="rect">
                              <a:avLst/>
                            </a:prstGeom>
                            <a:noFill/>
                            <a:ln w="0">
                              <a:noFill/>
                            </a:ln>
                          </wps:spPr>
                          <wps:style>
                            <a:lnRef idx="0"/>
                            <a:fillRef idx="0"/>
                            <a:effectRef idx="0"/>
                            <a:fontRef idx="minor"/>
                          </wps:style>
                          <wps:txbx>
                            <w:txbxContent>
                              <w:p>
                                <w:pPr>
                                  <w:pStyle w:val="Normal"/>
                                  <w:bidi w:val="0"/>
                                  <w:spacing w:lineRule="auto" w:line="240" w:before="0" w:after="0"/>
                                  <w:rPr/>
                                </w:pPr>
                                <w:r>
                                  <w:rPr/>
                                </w:r>
                              </w:p>
                            </w:txbxContent>
                          </wps:txbx>
                          <wps:bodyPr tIns="91440" bIns="91440" anchor="ctr">
                            <a:noAutofit/>
                          </wps:bodyPr>
                        </wps:wsp>
                        <wps:wsp>
                          <wps:cNvPr id="4" name="Rectangle 645180660"/>
                          <wps:cNvSpPr/>
                          <wps:spPr>
                            <a:xfrm>
                              <a:off x="0" y="0"/>
                              <a:ext cx="228600" cy="9991080"/>
                            </a:xfrm>
                            <a:prstGeom prst="rect">
                              <a:avLst/>
                            </a:prstGeom>
                            <a:solidFill>
                              <a:schemeClr val="accent2"/>
                            </a:solidFill>
                            <a:ln w="0">
                              <a:noFill/>
                            </a:ln>
                          </wps:spPr>
                          <wps:style>
                            <a:lnRef idx="0"/>
                            <a:fillRef idx="0"/>
                            <a:effectRef idx="0"/>
                            <a:fontRef idx="minor"/>
                          </wps:style>
                          <wps:txbx>
                            <w:txbxContent>
                              <w:p>
                                <w:pPr>
                                  <w:pStyle w:val="Normal"/>
                                  <w:bidi w:val="0"/>
                                  <w:spacing w:lineRule="auto" w:line="240" w:before="0" w:after="0"/>
                                  <w:rPr/>
                                </w:pPr>
                                <w:r>
                                  <w:rPr/>
                                </w:r>
                              </w:p>
                            </w:txbxContent>
                          </wps:txbx>
                          <wps:bodyPr tIns="91440" bIns="91440" anchor="ctr">
                            <a:noAutofit/>
                          </wps:bodyPr>
                        </wps:wsp>
                        <wps:wsp>
                          <wps:cNvPr id="5" name="Rectangle 300658735"/>
                          <wps:cNvSpPr/>
                          <wps:spPr>
                            <a:xfrm>
                              <a:off x="0" y="10143360"/>
                              <a:ext cx="228600" cy="259560"/>
                            </a:xfrm>
                            <a:prstGeom prst="rect">
                              <a:avLst/>
                            </a:prstGeom>
                            <a:solidFill>
                              <a:schemeClr val="accent1"/>
                            </a:solidFill>
                            <a:ln w="0">
                              <a:noFill/>
                            </a:ln>
                          </wps:spPr>
                          <wps:style>
                            <a:lnRef idx="0"/>
                            <a:fillRef idx="0"/>
                            <a:effectRef idx="0"/>
                            <a:fontRef idx="minor"/>
                          </wps:style>
                          <wps:txbx>
                            <w:txbxContent>
                              <w:p>
                                <w:pPr>
                                  <w:pStyle w:val="Normal"/>
                                  <w:bidi w:val="0"/>
                                  <w:spacing w:lineRule="auto" w:line="240" w:before="0" w:after="0"/>
                                  <w:rPr/>
                                </w:pPr>
                                <w:r>
                                  <w:rPr/>
                                </w:r>
                              </w:p>
                            </w:txbxContent>
                          </wps:txbx>
                          <wps:bodyPr tIns="91440" bIns="91440" anchor="ctr">
                            <a:noAutofit/>
                          </wps:bodyPr>
                        </wps:wsp>
                      </wpg:grpSp>
                    </wpg:wgp>
                  </a:graphicData>
                </a:graphic>
              </wp:anchor>
            </w:drawing>
          </mc:Choice>
          <mc:Fallback>
            <w:pict>
              <v:group id="shape_0" alt="Group 1728545881" style="position:absolute;margin-left:33.75pt;margin-top:-92.15pt;width:18pt;height:819.15pt" coordorigin="675,-1843" coordsize="360,16383">
                <v:group id="shape_0" style="position:absolute;left:675;top:-1843;width:360;height:16383">
                  <v:rect id="shape_0" stroked="f" o:allowincell="f" style="position:absolute;left:675;top:-1843;width:359;height:16381;mso-wrap-style:none;v-text-anchor:middle;mso-position-horizontal-relative:page;mso-position-vertical-relative:margin">
                    <v:fill o:detectmouseclick="t" on="false"/>
                    <v:stroke color="#3465a4" joinstyle="round" endcap="flat"/>
                    <v:textbox>
                      <w:txbxContent>
                        <w:p>
                          <w:pPr>
                            <w:pStyle w:val="Normal"/>
                            <w:bidi w:val="0"/>
                            <w:spacing w:lineRule="auto" w:line="240" w:before="0" w:after="0"/>
                            <w:rPr/>
                          </w:pPr>
                          <w:r>
                            <w:rPr/>
                          </w:r>
                        </w:p>
                      </w:txbxContent>
                    </v:textbox>
                    <w10:wrap type="none"/>
                  </v:rect>
                  <v:rect id="shape_0" fillcolor="#e97132" stroked="f" o:allowincell="f" style="position:absolute;left:675;top:-1843;width:359;height:15733;mso-wrap-style:none;v-text-anchor:middle;mso-position-horizontal-relative:page;mso-position-vertical-relative:margin">
                    <v:fill o:detectmouseclick="t" type="solid" color2="#168ecd"/>
                    <v:stroke color="#3465a4" joinstyle="round" endcap="flat"/>
                    <v:textbox>
                      <w:txbxContent>
                        <w:p>
                          <w:pPr>
                            <w:pStyle w:val="Normal"/>
                            <w:bidi w:val="0"/>
                            <w:spacing w:lineRule="auto" w:line="240" w:before="0" w:after="0"/>
                            <w:rPr/>
                          </w:pPr>
                          <w:r>
                            <w:rPr/>
                          </w:r>
                        </w:p>
                      </w:txbxContent>
                    </v:textbox>
                    <w10:wrap type="none"/>
                  </v:rect>
                  <v:rect id="shape_0" fillcolor="#156082" stroked="f" o:allowincell="f" style="position:absolute;left:675;top:14131;width:359;height:408;mso-wrap-style:none;v-text-anchor:middle;mso-position-horizontal-relative:page;mso-position-vertical-relative:margin">
                    <v:fill o:detectmouseclick="t" type="solid" color2="#ea9f7d"/>
                    <v:stroke color="#3465a4" joinstyle="round" endcap="flat"/>
                    <v:textbox>
                      <w:txbxContent>
                        <w:p>
                          <w:pPr>
                            <w:pStyle w:val="Normal"/>
                            <w:bidi w:val="0"/>
                            <w:spacing w:lineRule="auto" w:line="240" w:before="0" w:after="0"/>
                            <w:rPr/>
                          </w:pPr>
                          <w:r>
                            <w:rPr/>
                          </w:r>
                        </w:p>
                      </w:txbxContent>
                    </v:textbox>
                    <w10:wrap type="none"/>
                  </v:rect>
                </v:group>
              </v:group>
            </w:pict>
          </mc:Fallback>
        </mc:AlternateContent>
      </w:r>
    </w:p>
    <w:p>
      <w:pPr>
        <w:pStyle w:val="Normal"/>
        <w:bidi w:val="0"/>
        <w:rPr>
          <w:color w:val="000000"/>
        </w:rPr>
      </w:pPr>
      <w:r>
        <w:rPr>
          <w:color w:val="000000"/>
        </w:rPr>
      </w:r>
    </w:p>
    <w:p>
      <w:pPr>
        <w:pStyle w:val="Normal"/>
        <w:bidi w:val="0"/>
        <w:rPr>
          <w:color w:val="000000"/>
        </w:rPr>
      </w:pPr>
      <w:r>
        <w:rPr>
          <w:color w:val="000000"/>
        </w:rPr>
      </w:r>
    </w:p>
    <w:p>
      <w:pPr>
        <w:pStyle w:val="Normal"/>
        <w:bidi w:val="0"/>
        <w:rPr>
          <w:color w:val="000000"/>
        </w:rPr>
      </w:pPr>
      <w:r>
        <w:rPr>
          <w:color w:val="000000"/>
        </w:rPr>
      </w:r>
    </w:p>
    <w:p>
      <w:pPr>
        <w:pStyle w:val="Normal"/>
        <w:bidi w:val="0"/>
        <w:rPr>
          <w:color w:val="000000"/>
        </w:rPr>
      </w:pPr>
      <w:r>
        <w:rPr>
          <w:color w:val="000000"/>
        </w:rPr>
      </w:r>
    </w:p>
    <w:p>
      <w:pPr>
        <w:pStyle w:val="Normal"/>
        <w:bidi w:val="0"/>
        <w:rPr>
          <w:color w:val="000000"/>
        </w:rPr>
      </w:pPr>
      <w:r>
        <w:rPr>
          <w:color w:val="000000"/>
        </w:rPr>
      </w:r>
    </w:p>
    <w:p>
      <w:pPr>
        <w:pStyle w:val="Normal"/>
        <w:bidi w:val="0"/>
        <w:rPr>
          <w:color w:val="000000"/>
        </w:rPr>
      </w:pPr>
      <w:r>
        <w:rPr>
          <w:color w:val="000000"/>
        </w:rPr>
        <mc:AlternateContent>
          <mc:Choice Requires="wpg">
            <w:drawing>
              <wp:anchor distT="0" distB="0" distL="0" distR="0" simplePos="0" relativeHeight="7" behindDoc="0" locked="0" layoutInCell="0" allowOverlap="1" wp14:anchorId="10541535">
                <wp:simplePos x="0" y="0"/>
                <wp:positionH relativeFrom="page">
                  <wp:posOffset>428625</wp:posOffset>
                </wp:positionH>
                <wp:positionV relativeFrom="margin">
                  <wp:posOffset>-1170305</wp:posOffset>
                </wp:positionV>
                <wp:extent cx="228600" cy="10403205"/>
                <wp:effectExtent l="0" t="0" r="0" b="0"/>
                <wp:wrapNone/>
                <wp:docPr id="6" name="Group 1"/>
                <a:graphic xmlns:a="http://schemas.openxmlformats.org/drawingml/2006/main">
                  <a:graphicData uri="http://schemas.microsoft.com/office/word/2010/wordprocessingGroup">
                    <wpg:wgp>
                      <wpg:cNvGrpSpPr/>
                      <wpg:grpSpPr>
                        <a:xfrm>
                          <a:off x="0" y="0"/>
                          <a:ext cx="228600" cy="10403280"/>
                          <a:chOff x="0" y="0"/>
                          <a:chExt cx="228600" cy="10403280"/>
                        </a:xfrm>
                      </wpg:grpSpPr>
                      <wpg:grpSp>
                        <wpg:cNvGrpSpPr/>
                        <wpg:grpSpPr>
                          <a:xfrm>
                            <a:off x="0" y="0"/>
                            <a:ext cx="228600" cy="10403280"/>
                          </a:xfrm>
                        </wpg:grpSpPr>
                        <wps:wsp>
                          <wps:cNvPr id="7" name="Rectangle 1022607563"/>
                          <wps:cNvSpPr/>
                          <wps:spPr>
                            <a:xfrm>
                              <a:off x="0" y="0"/>
                              <a:ext cx="228600" cy="10402560"/>
                            </a:xfrm>
                            <a:prstGeom prst="rect">
                              <a:avLst/>
                            </a:prstGeom>
                            <a:noFill/>
                            <a:ln w="0">
                              <a:noFill/>
                            </a:ln>
                          </wps:spPr>
                          <wps:style>
                            <a:lnRef idx="0"/>
                            <a:fillRef idx="0"/>
                            <a:effectRef idx="0"/>
                            <a:fontRef idx="minor"/>
                          </wps:style>
                          <wps:txbx>
                            <w:txbxContent>
                              <w:p>
                                <w:pPr>
                                  <w:pStyle w:val="Normal"/>
                                  <w:bidi w:val="0"/>
                                  <w:spacing w:lineRule="auto" w:line="240" w:before="0" w:after="0"/>
                                  <w:rPr/>
                                </w:pPr>
                                <w:r>
                                  <w:rPr/>
                                </w:r>
                              </w:p>
                            </w:txbxContent>
                          </wps:txbx>
                          <wps:bodyPr tIns="91440" bIns="91440" anchor="ctr">
                            <a:noAutofit/>
                          </wps:bodyPr>
                        </wps:wsp>
                        <wps:wsp>
                          <wps:cNvPr id="8" name="Rectangle 645180660"/>
                          <wps:cNvSpPr/>
                          <wps:spPr>
                            <a:xfrm>
                              <a:off x="0" y="0"/>
                              <a:ext cx="228600" cy="9991080"/>
                            </a:xfrm>
                            <a:prstGeom prst="rect">
                              <a:avLst/>
                            </a:prstGeom>
                            <a:solidFill>
                              <a:schemeClr val="accent2"/>
                            </a:solidFill>
                            <a:ln w="0">
                              <a:noFill/>
                            </a:ln>
                          </wps:spPr>
                          <wps:style>
                            <a:lnRef idx="0"/>
                            <a:fillRef idx="0"/>
                            <a:effectRef idx="0"/>
                            <a:fontRef idx="minor"/>
                          </wps:style>
                          <wps:txbx>
                            <w:txbxContent>
                              <w:p>
                                <w:pPr>
                                  <w:pStyle w:val="Normal"/>
                                  <w:bidi w:val="0"/>
                                  <w:spacing w:lineRule="auto" w:line="240" w:before="0" w:after="0"/>
                                  <w:rPr/>
                                </w:pPr>
                                <w:r>
                                  <w:rPr/>
                                </w:r>
                              </w:p>
                            </w:txbxContent>
                          </wps:txbx>
                          <wps:bodyPr tIns="91440" bIns="91440" anchor="ctr">
                            <a:noAutofit/>
                          </wps:bodyPr>
                        </wps:wsp>
                        <wps:wsp>
                          <wps:cNvPr id="9" name="Rectangle 300658735"/>
                          <wps:cNvSpPr/>
                          <wps:spPr>
                            <a:xfrm>
                              <a:off x="0" y="10143360"/>
                              <a:ext cx="228600" cy="259560"/>
                            </a:xfrm>
                            <a:prstGeom prst="rect">
                              <a:avLst/>
                            </a:prstGeom>
                            <a:solidFill>
                              <a:schemeClr val="accent1"/>
                            </a:solidFill>
                            <a:ln w="0">
                              <a:noFill/>
                            </a:ln>
                          </wps:spPr>
                          <wps:style>
                            <a:lnRef idx="0"/>
                            <a:fillRef idx="0"/>
                            <a:effectRef idx="0"/>
                            <a:fontRef idx="minor"/>
                          </wps:style>
                          <wps:txbx>
                            <w:txbxContent>
                              <w:p>
                                <w:pPr>
                                  <w:pStyle w:val="Normal"/>
                                  <w:bidi w:val="0"/>
                                  <w:spacing w:lineRule="auto" w:line="240" w:before="0" w:after="0"/>
                                  <w:rPr/>
                                </w:pPr>
                                <w:r>
                                  <w:rPr/>
                                </w:r>
                              </w:p>
                            </w:txbxContent>
                          </wps:txbx>
                          <wps:bodyPr tIns="91440" bIns="91440" anchor="ctr">
                            <a:noAutofit/>
                          </wps:bodyPr>
                        </wps:wsp>
                      </wpg:grpSp>
                    </wpg:wgp>
                  </a:graphicData>
                </a:graphic>
              </wp:anchor>
            </w:drawing>
          </mc:Choice>
          <mc:Fallback>
            <w:pict>
              <v:group id="shape_0" alt="Group 1" style="position:absolute;margin-left:33.75pt;margin-top:-92.15pt;width:18pt;height:819.15pt" coordorigin="675,-1843" coordsize="360,16383">
                <v:group id="shape_0" style="position:absolute;left:675;top:-1843;width:360;height:16383">
                  <v:rect id="shape_0" stroked="f" o:allowincell="f" style="position:absolute;left:675;top:-1843;width:359;height:16381;mso-wrap-style:none;v-text-anchor:middle;mso-position-horizontal-relative:page;mso-position-vertical-relative:margin">
                    <v:fill o:detectmouseclick="t" on="false"/>
                    <v:stroke color="#3465a4" joinstyle="round" endcap="flat"/>
                    <v:textbox>
                      <w:txbxContent>
                        <w:p>
                          <w:pPr>
                            <w:pStyle w:val="Normal"/>
                            <w:bidi w:val="0"/>
                            <w:spacing w:lineRule="auto" w:line="240" w:before="0" w:after="0"/>
                            <w:rPr/>
                          </w:pPr>
                          <w:r>
                            <w:rPr/>
                          </w:r>
                        </w:p>
                      </w:txbxContent>
                    </v:textbox>
                    <w10:wrap type="none"/>
                  </v:rect>
                  <v:rect id="shape_0" fillcolor="#e97132" stroked="f" o:allowincell="f" style="position:absolute;left:675;top:-1843;width:359;height:15733;mso-wrap-style:none;v-text-anchor:middle;mso-position-horizontal-relative:page;mso-position-vertical-relative:margin">
                    <v:fill o:detectmouseclick="t" type="solid" color2="#168ecd"/>
                    <v:stroke color="#3465a4" joinstyle="round" endcap="flat"/>
                    <v:textbox>
                      <w:txbxContent>
                        <w:p>
                          <w:pPr>
                            <w:pStyle w:val="Normal"/>
                            <w:bidi w:val="0"/>
                            <w:spacing w:lineRule="auto" w:line="240" w:before="0" w:after="0"/>
                            <w:rPr/>
                          </w:pPr>
                          <w:r>
                            <w:rPr/>
                          </w:r>
                        </w:p>
                      </w:txbxContent>
                    </v:textbox>
                    <w10:wrap type="none"/>
                  </v:rect>
                  <v:rect id="shape_0" fillcolor="#156082" stroked="f" o:allowincell="f" style="position:absolute;left:675;top:14131;width:359;height:408;mso-wrap-style:none;v-text-anchor:middle;mso-position-horizontal-relative:page;mso-position-vertical-relative:margin">
                    <v:fill o:detectmouseclick="t" type="solid" color2="#ea9f7d"/>
                    <v:stroke color="#3465a4" joinstyle="round" endcap="flat"/>
                    <v:textbox>
                      <w:txbxContent>
                        <w:p>
                          <w:pPr>
                            <w:pStyle w:val="Normal"/>
                            <w:bidi w:val="0"/>
                            <w:spacing w:lineRule="auto" w:line="240" w:before="0" w:after="0"/>
                            <w:rPr/>
                          </w:pPr>
                          <w:r>
                            <w:rPr/>
                          </w:r>
                        </w:p>
                      </w:txbxContent>
                    </v:textbox>
                    <w10:wrap type="none"/>
                  </v:rect>
                </v:group>
              </v:group>
            </w:pict>
          </mc:Fallback>
        </mc:AlternateContent>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spacing w:lineRule="auto" w:line="480"/>
        <w:jc w:val="both"/>
        <w:rPr>
          <w:rFonts w:ascii="Arial" w:hAnsi="Arial" w:cs="Arial"/>
          <w:i/>
          <w:color w:val="156082"/>
          <w:sz w:val="28"/>
          <w:szCs w:val="28"/>
        </w:rPr>
      </w:pPr>
      <w:r>
        <w:rPr>
          <w:b/>
          <w:bCs/>
          <w:i/>
          <w:iCs/>
          <w:sz w:val="42"/>
          <w:szCs w:val="42"/>
          <w:u w:val="single"/>
        </w:rPr>
        <w:t>Application of Statistical Techniques to Online</w:t>
      </w:r>
      <w:r>
        <w:rPr>
          <w:b/>
          <w:bCs/>
          <w:i/>
          <w:iCs/>
          <w:sz w:val="42"/>
          <w:szCs w:val="42"/>
          <w:u w:val="single"/>
        </w:rPr>
        <w:t xml:space="preserve"> Retail II Data</w:t>
      </w:r>
    </w:p>
    <w:p>
      <w:pPr>
        <w:pStyle w:val="Heading2"/>
        <w:bidi w:val="0"/>
        <w:rPr/>
      </w:pPr>
      <w:r>
        <w:rPr/>
        <w:t>Introduction</w:t>
      </w:r>
    </w:p>
    <w:p>
      <w:pPr>
        <w:pStyle w:val="BodyText"/>
        <w:bidi w:val="0"/>
        <w:rPr/>
      </w:pPr>
      <w:r>
        <w:rPr/>
        <w:t>The purpose of this report is to apply statistical techniques to the Online Retail II dataset and explore patterns in online retail transactions. The dataset contains sales records from a UK-based online retailer between 2009 and 2011, including information about invoices, products, quantities, prices, dates and customer locations.</w:t>
      </w:r>
    </w:p>
    <w:p>
      <w:pPr>
        <w:pStyle w:val="BodyText"/>
        <w:bidi w:val="0"/>
        <w:rPr/>
      </w:pPr>
      <w:r>
        <w:rPr/>
        <w:t>Python was used to prepare and analyse the data, calculate descriptive statistics and create visualisations. The analysis also explores three probability distributions: Binomial, Poisson and Normal.</w:t>
      </w:r>
    </w:p>
    <w:p>
      <w:pPr>
        <w:pStyle w:val="BodyText"/>
        <w:bidi w:val="0"/>
        <w:rPr/>
      </w:pPr>
      <w:r>
        <w:rPr/>
        <w:t>The Binomial distribution is used to investigate cancelled invoices, while the Poisson distribution is used to examine the number of daily orders. The Normal distribution will be considered to explore the behaviour of a suitable numerical variable.</w:t>
      </w:r>
    </w:p>
    <w:p>
      <w:pPr>
        <w:pStyle w:val="BodyText"/>
        <w:bidi w:val="0"/>
        <w:rPr/>
      </w:pPr>
      <w:r>
        <w:rPr/>
        <w:t>The objective is to understand customer purchasing patterns, identify variations in the data and evaluate how well different statistical models represent real business information.</w:t>
      </w:r>
    </w:p>
    <w:p>
      <w:pPr>
        <w:pStyle w:val="Normal"/>
        <w:bidi w:val="0"/>
        <w:rPr/>
      </w:pPr>
      <w:r>
        <w:rPr/>
      </w:r>
    </w:p>
    <w:p>
      <w:pPr>
        <w:pStyle w:val="Normal"/>
        <w:bidi w:val="0"/>
        <w:rPr/>
      </w:pPr>
      <w:r>
        <w:rPr/>
      </w:r>
    </w:p>
    <w:p>
      <w:pPr>
        <w:pStyle w:val="Heading2"/>
        <w:bidi w:val="0"/>
        <w:rPr/>
      </w:pPr>
      <w:r>
        <w:rPr/>
        <w:t>Data Preparation</w:t>
      </w:r>
    </w:p>
    <w:p>
      <w:pPr>
        <w:pStyle w:val="BodyText"/>
        <w:bidi w:val="0"/>
        <w:rPr/>
      </w:pPr>
      <w:r>
        <w:rPr/>
        <w:t>Before performing the statistical analysis, the Online Retail II dataset was imported into Python using pandas. The dataset originally contained approximately 1,067,371 transaction records.</w:t>
      </w:r>
    </w:p>
    <w:p>
      <w:pPr>
        <w:pStyle w:val="BodyText"/>
        <w:bidi w:val="0"/>
        <w:rPr/>
      </w:pPr>
      <w:r>
        <w:rPr/>
        <w:t xml:space="preserve">The first step was to explore the structure of the dataset using functions such as </w:t>
      </w:r>
      <w:r>
        <w:rPr>
          <w:rStyle w:val="SourceText"/>
        </w:rPr>
        <w:t>head()</w:t>
      </w:r>
      <w:r>
        <w:rPr/>
        <w:t xml:space="preserve">, </w:t>
      </w:r>
      <w:r>
        <w:rPr>
          <w:rStyle w:val="SourceText"/>
        </w:rPr>
        <w:t>info()</w:t>
      </w:r>
      <w:r>
        <w:rPr/>
        <w:t xml:space="preserve">, </w:t>
      </w:r>
      <w:r>
        <w:rPr>
          <w:rStyle w:val="SourceText"/>
        </w:rPr>
        <w:t>describe()</w:t>
      </w:r>
      <w:r>
        <w:rPr/>
        <w:t xml:space="preserve"> and </w:t>
      </w:r>
      <w:r>
        <w:rPr>
          <w:rStyle w:val="SourceText"/>
        </w:rPr>
        <w:t>isnull().sum()</w:t>
      </w:r>
      <w:r>
        <w:rPr/>
        <w:t>. These functions helped identify the available variables, understand their data types and check for missing values.</w:t>
      </w:r>
    </w:p>
    <w:p>
      <w:pPr>
        <w:pStyle w:val="BodyText"/>
        <w:bidi w:val="0"/>
        <w:rPr/>
      </w:pPr>
      <w:r>
        <w:rPr/>
        <w:t>The data was then cleaned to improve its quality and prepare it for analysis. This included examining missing information, checking transaction quantities and prices, and identifying cancelled invoices.</w:t>
      </w:r>
    </w:p>
    <w:p>
      <w:pPr>
        <w:pStyle w:val="BodyText"/>
        <w:bidi w:val="0"/>
        <w:rPr/>
      </w:pPr>
      <w:r>
        <w:rPr/>
        <w:t>After the preparation process, the dataset contained approximately 1,033,036 records for further analysis.</w:t>
      </w:r>
    </w:p>
    <w:p>
      <w:pPr>
        <w:pStyle w:val="BodyText"/>
        <w:bidi w:val="0"/>
        <w:rPr/>
      </w:pPr>
      <w:r>
        <w:rPr/>
        <w:t>This preparation was important because missing values, cancellations and unusual transactions can influence statistical calculations and lead to misleading conclusions.</w:t>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Heading2"/>
        <w:bidi w:val="0"/>
        <w:rPr/>
      </w:pPr>
      <w:r>
        <w:rPr/>
        <w:t>Descriptive Statistics</w:t>
      </w:r>
    </w:p>
    <w:p>
      <w:pPr>
        <w:pStyle w:val="BodyText"/>
        <w:bidi w:val="0"/>
        <w:rPr/>
      </w:pPr>
      <w:r>
        <w:rPr/>
        <w:t xml:space="preserve">Descriptive statistics were used to understand the main characteristics of the Online Retail II dataset. Python functions such as </w:t>
      </w:r>
      <w:r>
        <w:rPr>
          <w:rStyle w:val="SourceText"/>
        </w:rPr>
        <w:t>describe()</w:t>
      </w:r>
      <w:r>
        <w:rPr/>
        <w:t xml:space="preserve">, </w:t>
      </w:r>
      <w:r>
        <w:rPr>
          <w:rStyle w:val="SourceText"/>
        </w:rPr>
        <w:t>mean()</w:t>
      </w:r>
      <w:r>
        <w:rPr/>
        <w:t xml:space="preserve">, </w:t>
      </w:r>
      <w:r>
        <w:rPr>
          <w:rStyle w:val="SourceText"/>
        </w:rPr>
        <w:t>median()</w:t>
      </w:r>
      <w:r>
        <w:rPr/>
        <w:t xml:space="preserve"> and </w:t>
      </w:r>
      <w:r>
        <w:rPr>
          <w:rStyle w:val="SourceText"/>
        </w:rPr>
        <w:t>std()</w:t>
      </w:r>
      <w:r>
        <w:rPr/>
        <w:t xml:space="preserve"> helped examine the distribution and variability of numerical variables.</w:t>
      </w:r>
    </w:p>
    <w:p>
      <w:pPr>
        <w:pStyle w:val="BodyText"/>
        <w:bidi w:val="0"/>
        <w:rPr/>
      </w:pPr>
      <w:r>
        <w:rPr/>
        <w:t>The analysis focused on transaction quantities, prices and sales revenue. Histograms and boxplots were created to visualise the distribution of the data and identify potential outliers.</w:t>
      </w:r>
    </w:p>
    <w:p>
      <w:pPr>
        <w:pStyle w:val="BodyText"/>
        <w:bidi w:val="0"/>
        <w:rPr/>
      </w:pPr>
      <w:r>
        <w:rPr/>
        <w:t>The results showed that retail transactions were not evenly distributed. Most purchases involved relatively small amounts, while a smaller number of transactions had unusually high values. This produced a positively skewed distribution, where extreme values can influence the mean.</w:t>
      </w:r>
    </w:p>
    <w:p>
      <w:pPr>
        <w:pStyle w:val="BodyText"/>
        <w:bidi w:val="0"/>
        <w:rPr/>
      </w:pPr>
      <w:r>
        <w:rPr/>
        <w:t>The analysis also explored sales patterns across countries and over time. These visualisations helped identify differences in customer purchasing activity and provided a clearer understanding of the retailer's business performance.</w:t>
      </w:r>
    </w:p>
    <w:p>
      <w:pPr>
        <w:pStyle w:val="BodyText"/>
        <w:bidi w:val="0"/>
        <w:rPr/>
      </w:pPr>
      <w:r>
        <w:rPr/>
        <w:t>Overall, descriptive statistics demonstrated the importance of examining the shape, variability and unusual values of the data before applying probability distributions.</w:t>
      </w:r>
    </w:p>
    <w:p>
      <w:pPr>
        <w:pStyle w:val="Normal"/>
        <w:bidi w:val="0"/>
        <w:rPr/>
      </w:pPr>
      <w:r>
        <w:rPr/>
      </w:r>
    </w:p>
    <w:p>
      <w:pPr>
        <w:pStyle w:val="Normal"/>
        <w:bidi w:val="0"/>
        <w:rPr/>
      </w:pPr>
      <w:r>
        <w:rPr/>
      </w:r>
    </w:p>
    <w:p>
      <w:pPr>
        <w:pStyle w:val="Heading2"/>
        <w:bidi w:val="0"/>
        <w:rPr/>
      </w:pPr>
      <w:r>
        <w:rPr/>
        <w:t>Binomial Distribution</w:t>
      </w:r>
    </w:p>
    <w:p>
      <w:pPr>
        <w:pStyle w:val="BodyText"/>
        <w:bidi w:val="0"/>
        <w:rPr/>
      </w:pPr>
      <w:r>
        <w:rPr/>
        <w:t>The Binomial distribution was used to analyse invoice cancellations in the Online Retail II dataset. This distribution is suitable for modelling the number of cancellations in a fixed number of invoices, assuming that each invoice has two possible outcomes: cancelled or not cancelled.</w:t>
      </w:r>
    </w:p>
    <w:p>
      <w:pPr>
        <w:pStyle w:val="BodyText"/>
        <w:bidi w:val="0"/>
        <w:rPr/>
      </w:pPr>
      <w:r>
        <w:rPr/>
        <w:t>The analysis identified 45,336 non-cancelled invoices and 8,292 cancelled invoices. Therefore, the estimated probability of cancellation was 15.46%.</w:t>
      </w:r>
    </w:p>
    <w:p>
      <w:pPr>
        <w:pStyle w:val="BodyText"/>
        <w:bidi w:val="0"/>
        <w:rPr/>
      </w:pPr>
      <w:r>
        <w:rPr/>
        <w:t>Using Python, the Binomial distribution was applied to a sample of 10 invoices. The probability of exactly two cancelled invoices was calculated using the probability mass function (PMF):</w:t>
      </w:r>
    </w:p>
    <w:p>
      <w:pPr>
        <w:pStyle w:val="BodyText"/>
        <w:bidi w:val="0"/>
        <w:rPr/>
      </w:pPr>
      <w:r>
        <w:rPr/>
        <w:t>P(X = 2) = 0.2806 (28.06%).</w:t>
      </w:r>
    </w:p>
    <w:p>
      <w:pPr>
        <w:pStyle w:val="BodyText"/>
        <w:bidi w:val="0"/>
        <w:rPr/>
      </w:pPr>
      <w:r>
        <w:rPr/>
        <w:t>The cumulative distribution function (CDF) was also used to calculate the probability of having at most two cancelled invoices:</w:t>
      </w:r>
    </w:p>
    <w:p>
      <w:pPr>
        <w:pStyle w:val="BodyText"/>
        <w:bidi w:val="0"/>
        <w:rPr/>
      </w:pPr>
      <w:r>
        <w:rPr/>
        <w:t>P(X ≤ 2) = 0.8081 (80.81%).</w:t>
      </w:r>
    </w:p>
    <w:p>
      <w:pPr>
        <w:pStyle w:val="BodyText"/>
        <w:bidi w:val="0"/>
        <w:rPr/>
      </w:pPr>
      <w:r>
        <w:rPr/>
        <w:t>A probability distribution graph was created to visualise the possible number of cancellations. The results show that one cancellation is the most probable outcome among 10 invoices.</w:t>
      </w:r>
    </w:p>
    <w:p>
      <w:pPr>
        <w:pStyle w:val="BodyText"/>
        <w:bidi w:val="0"/>
        <w:rPr/>
      </w:pPr>
      <w:r>
        <w:rPr/>
        <w:t>However, the model assumes that invoice cancellations are independent and have the same probability. In real retail transactions, these assumptions may not always hold.</w:t>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Heading2"/>
        <w:bidi w:val="0"/>
        <w:rPr/>
      </w:pPr>
      <w:r>
        <w:rPr/>
        <w:t>Poisson Distribution</w:t>
      </w:r>
    </w:p>
    <w:p>
      <w:pPr>
        <w:pStyle w:val="BodyText"/>
        <w:bidi w:val="0"/>
        <w:rPr/>
      </w:pPr>
      <w:r>
        <w:rPr/>
        <w:t>The Poisson distribution was used to analyse the number of daily orders in the Online Retail II dataset. This distribution is appropriate for modelling the number of events occurring within a fixed time interval, assuming a constant average rate and independent events.</w:t>
      </w:r>
    </w:p>
    <w:p>
      <w:pPr>
        <w:pStyle w:val="BodyText"/>
        <w:bidi w:val="0"/>
        <w:rPr/>
      </w:pPr>
      <w:r>
        <w:rPr/>
        <w:t>Using Python, the average number of orders per day was calculated as 65.42. This value was used as the Poisson parameter (λ).</w:t>
      </w:r>
    </w:p>
    <w:p>
      <w:pPr>
        <w:pStyle w:val="BodyText"/>
        <w:bidi w:val="0"/>
        <w:rPr/>
      </w:pPr>
      <w:r>
        <w:rPr/>
        <w:t>The probability mass function (PMF) was applied to calculate the probability of observing exactly 65 orders in one day:</w:t>
      </w:r>
    </w:p>
    <w:p>
      <w:pPr>
        <w:pStyle w:val="BodyText"/>
        <w:bidi w:val="0"/>
        <w:rPr/>
      </w:pPr>
      <w:r>
        <w:rPr/>
        <w:t>P(X = 65) = 0.0494 (4.94%).</w:t>
      </w:r>
    </w:p>
    <w:p>
      <w:pPr>
        <w:pStyle w:val="BodyText"/>
        <w:bidi w:val="0"/>
        <w:rPr/>
      </w:pPr>
      <w:r>
        <w:rPr/>
        <w:t>A histogram of the observed daily orders was compared with the theoretical Poisson distribution. The graph showed that the actual data had a wider spread than the theoretical model.</w:t>
      </w:r>
    </w:p>
    <w:p>
      <w:pPr>
        <w:pStyle w:val="BodyText"/>
        <w:bidi w:val="0"/>
        <w:rPr/>
      </w:pPr>
      <w:r>
        <w:rPr/>
        <w:t>To investigate this difference, the mean and variance were compared:</w:t>
      </w:r>
    </w:p>
    <w:p>
      <w:pPr>
        <w:pStyle w:val="BodyText"/>
        <w:bidi w:val="0"/>
        <w:rPr/>
      </w:pPr>
      <w:r>
        <w:rPr/>
        <w:t>Mean = 65.42</w:t>
        <w:br/>
        <w:t>Variance = 598.34</w:t>
      </w:r>
    </w:p>
    <w:p>
      <w:pPr>
        <w:pStyle w:val="BodyText"/>
        <w:bidi w:val="0"/>
        <w:rPr/>
      </w:pPr>
      <w:r>
        <w:rPr/>
        <w:t>In a theoretical Poisson distribution, the mean and variance should be equal. However, the observed variance was considerably higher than the mean, indicating overdispersion.</w:t>
      </w:r>
    </w:p>
    <w:p>
      <w:pPr>
        <w:pStyle w:val="BodyText"/>
        <w:bidi w:val="0"/>
        <w:rPr/>
      </w:pPr>
      <w:r>
        <w:rPr/>
        <w:t>This suggests that the number of daily orders varies more than the Poisson model predicts. Factors such as weekdays, weekends and seasonal shopping patterns may contribute to this variation.</w:t>
      </w:r>
    </w:p>
    <w:p>
      <w:pPr>
        <w:pStyle w:val="BodyText"/>
        <w:bidi w:val="0"/>
        <w:rPr/>
      </w:pPr>
      <w:r>
        <w:rPr/>
        <w:t>Therefore, the Poisson distribution provides a useful theoretical comparison, but it does not perfectly represent the observed daily order counts.</w:t>
      </w:r>
    </w:p>
    <w:p>
      <w:pPr>
        <w:pStyle w:val="Normal"/>
        <w:bidi w:val="0"/>
        <w:rPr/>
      </w:pPr>
      <w:r>
        <w:rPr/>
      </w:r>
    </w:p>
    <w:p>
      <w:pPr>
        <w:pStyle w:val="Normal"/>
        <w:bidi w:val="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Display">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Arial">
    <w:charset w:val="01"/>
    <w:family w:val="swiss"/>
    <w:pitch w:val="variable"/>
  </w:font>
</w:fonts>
</file>

<file path=word/settings.xml><?xml version="1.0" encoding="utf-8"?>
<w:settings xmlns:w="http://schemas.openxmlformats.org/wordprocessingml/2006/main">
  <w:zoom w:percent="55"/>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E" w:eastAsia="zh-CN" w:bidi="hi-IN"/>
    </w:rPr>
  </w:style>
  <w:style w:type="paragraph" w:styleId="Heading1">
    <w:name w:val="heading 1"/>
    <w:basedOn w:val="Normal"/>
    <w:next w:val="Normal"/>
    <w:qFormat/>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LibreOffice/26.8.1.1$Windows_X86_64 LibreOffice_project/bf6ef2662401c7d6dce671ab4deb26ee0af3a7c1</Application>
  <AppVersion>15.0000</AppVersion>
  <Pages>6</Pages>
  <Words>842</Words>
  <Characters>5130</Characters>
  <CharactersWithSpaces>5928</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2026-11-01T14:38:23Z</dcterms:created>
  <dc:creator/>
  <dc:description/>
  <dc:language>en-IE</dc:language>
  <cp:lastModifiedBy/>
  <dcterms:modified xsi:type="dcterms:W3CDTF">2026-11-01T15:06:26Z</dcterms:modified>
  <cp:revision>3</cp:revision>
  <dc:subject/>
  <dc:title/>
</cp:coreProperties>
</file>