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color w:val="000000"/>
        </w:rPr>
      </w:pPr>
      <w:r>
        <w:rPr>
          <w:color w:val="000000"/>
        </w:rPr>
      </w:r>
    </w:p>
    <w:p>
      <w:pPr>
        <w:pStyle w:val="Normal"/>
        <w:bidi w:val="0"/>
        <w:rPr>
          <w:color w:val="000000"/>
          <w:u w:val="single"/>
        </w:rPr>
      </w:pPr>
      <w:r>
        <w:rPr>
          <w:rFonts w:cs="Arial" w:ascii="Arial" w:hAnsi="Arial"/>
          <w:b/>
          <w:color w:val="000000"/>
          <w:sz w:val="36"/>
          <w:szCs w:val="36"/>
          <w:u w:val="single"/>
        </w:rPr>
        <w:t xml:space="preserve"> </w:t>
      </w:r>
      <w:r>
        <w:rPr>
          <w:rFonts w:cs="Arial" w:ascii="Arial" w:hAnsi="Arial"/>
          <w:b/>
          <w:color w:val="000000"/>
          <w:sz w:val="36"/>
          <w:szCs w:val="36"/>
          <w:u w:val="single"/>
        </w:rPr>
        <w:t>Assessment Cover Page</w:t>
      </w:r>
    </w:p>
    <w:p>
      <w:pPr>
        <w:pStyle w:val="Normal"/>
        <w:bidi w:val="0"/>
        <w:rPr>
          <w:rFonts w:ascii="Arial" w:hAnsi="Arial" w:cs="Arial"/>
          <w:b/>
          <w:color w:val="000000"/>
          <w:sz w:val="36"/>
          <w:szCs w:val="36"/>
        </w:rPr>
      </w:pPr>
      <w:r>
        <w:rPr>
          <w:rFonts w:cs="Arial" w:ascii="Arial" w:hAnsi="Arial"/>
          <w:b/>
          <w:color w:val="000000"/>
          <w:sz w:val="36"/>
          <w:szCs w:val="36"/>
        </w:rPr>
      </w:r>
    </w:p>
    <w:p>
      <w:pPr>
        <w:pStyle w:val="Normal"/>
        <w:bidi w:val="0"/>
        <w:rPr>
          <w:rFonts w:ascii="Arial" w:hAnsi="Arial" w:cs="Arial"/>
          <w:b/>
          <w:color w:val="000000"/>
          <w:sz w:val="36"/>
          <w:szCs w:val="36"/>
        </w:rPr>
      </w:pPr>
      <w:r>
        <w:rPr>
          <w:rFonts w:cs="Arial" w:ascii="Arial" w:hAnsi="Arial"/>
          <w:b/>
          <w:color w:val="000000"/>
          <w:sz w:val="36"/>
          <w:szCs w:val="36"/>
        </w:rPr>
      </w:r>
    </w:p>
    <w:tbl>
      <w:tblPr>
        <w:tblW w:w="13176" w:type="dxa"/>
        <w:jc w:val="start"/>
        <w:tblInd w:w="96" w:type="dxa"/>
        <w:tblLayout w:type="fixed"/>
        <w:tblCellMar>
          <w:top w:w="0" w:type="dxa"/>
          <w:start w:w="108" w:type="dxa"/>
          <w:bottom w:w="0" w:type="dxa"/>
          <w:end w:w="108" w:type="dxa"/>
        </w:tblCellMar>
        <w:tblLook w:val="0400" w:firstRow="0" w:noVBand="1" w:lastRow="0" w:firstColumn="0" w:lastColumn="0" w:noHBand="0"/>
      </w:tblPr>
      <w:tblGrid>
        <w:gridCol w:w="13176"/>
      </w:tblGrid>
      <w:tr>
        <w:trPr/>
        <w:tc>
          <w:tcPr>
            <w:tcW w:w="13176" w:type="dxa"/>
            <w:tcBorders/>
          </w:tcPr>
          <w:p>
            <w:pPr>
              <w:pStyle w:val="Normal"/>
              <w:bidi w:val="0"/>
              <w:spacing w:lineRule="auto" w:line="480"/>
              <w:ind w:end="-3378"/>
              <w:jc w:val="both"/>
              <w:rPr>
                <w:rFonts w:ascii="Arial" w:hAnsi="Arial" w:cs="Arial"/>
                <w:b w:val="false"/>
                <w:bCs w:val="false"/>
                <w:i w:val="false"/>
                <w:iCs w:val="false"/>
                <w:color w:val="156082"/>
                <w:sz w:val="28"/>
                <w:szCs w:val="28"/>
              </w:rPr>
            </w:pPr>
            <w:r>
              <w:rPr>
                <w:rFonts w:cs="Arial" w:ascii="Arial" w:hAnsi="Arial"/>
                <w:b/>
                <w:bCs/>
                <w:i/>
                <w:color w:val="000000"/>
                <w:sz w:val="28"/>
                <w:szCs w:val="28"/>
              </w:rPr>
              <w:t>Student Full Name:</w:t>
            </w:r>
            <w:r>
              <w:rPr>
                <w:rFonts w:cs="Arial" w:ascii="Arial" w:hAnsi="Arial"/>
                <w:i/>
                <w:color w:val="000000"/>
                <w:sz w:val="28"/>
                <w:szCs w:val="28"/>
              </w:rPr>
              <w:t xml:space="preserve">  </w:t>
            </w:r>
            <w:r>
              <w:rPr>
                <w:rFonts w:cs="Arial" w:ascii="Arial" w:hAnsi="Arial"/>
                <w:b w:val="false"/>
                <w:bCs w:val="false"/>
                <w:i w:val="false"/>
                <w:iCs w:val="false"/>
                <w:color w:val="000000"/>
                <w:sz w:val="28"/>
                <w:szCs w:val="28"/>
              </w:rPr>
              <w:t>Fabiana Scanferla Sandoval</w:t>
            </w:r>
          </w:p>
        </w:tc>
      </w:tr>
      <w:tr>
        <w:trPr/>
        <w:tc>
          <w:tcPr>
            <w:tcW w:w="13176" w:type="dxa"/>
            <w:tcBorders/>
          </w:tcPr>
          <w:p>
            <w:pPr>
              <w:pStyle w:val="Normal"/>
              <w:bidi w:val="0"/>
              <w:spacing w:lineRule="auto" w:line="480"/>
              <w:jc w:val="both"/>
              <w:rPr>
                <w:rFonts w:ascii="Arial" w:hAnsi="Arial" w:cs="Arial"/>
                <w:i/>
                <w:color w:val="156082"/>
                <w:sz w:val="28"/>
                <w:szCs w:val="28"/>
              </w:rPr>
            </w:pPr>
            <w:r>
              <w:rPr>
                <w:rFonts w:cs="Arial" w:ascii="Arial" w:hAnsi="Arial"/>
                <w:b/>
                <w:bCs/>
                <w:i/>
                <w:color w:val="000000"/>
                <w:sz w:val="28"/>
                <w:szCs w:val="28"/>
              </w:rPr>
              <w:t xml:space="preserve">Student Number: </w:t>
            </w:r>
            <w:r>
              <w:rPr>
                <w:rFonts w:cs="Arial" w:ascii="Arial" w:hAnsi="Arial"/>
                <w:i w:val="false"/>
                <w:iCs w:val="false"/>
                <w:color w:val="000000"/>
                <w:sz w:val="28"/>
                <w:szCs w:val="28"/>
              </w:rPr>
              <w:t>2026334</w:t>
            </w:r>
          </w:p>
        </w:tc>
      </w:tr>
      <w:tr>
        <w:trPr/>
        <w:tc>
          <w:tcPr>
            <w:tcW w:w="13176" w:type="dxa"/>
            <w:tcBorders/>
          </w:tcPr>
          <w:p>
            <w:pPr>
              <w:pStyle w:val="Normal"/>
              <w:bidi w:val="0"/>
              <w:spacing w:lineRule="auto" w:line="480"/>
              <w:jc w:val="both"/>
              <w:rPr>
                <w:rFonts w:ascii="Arial" w:hAnsi="Arial" w:cs="Arial"/>
                <w:i/>
                <w:color w:val="156082"/>
                <w:sz w:val="28"/>
                <w:szCs w:val="28"/>
              </w:rPr>
            </w:pPr>
            <w:r>
              <w:rPr>
                <w:rFonts w:cs="Arial" w:ascii="Arial" w:hAnsi="Arial"/>
                <w:b/>
                <w:bCs/>
                <w:i/>
                <w:color w:val="000000"/>
                <w:sz w:val="28"/>
                <w:szCs w:val="28"/>
              </w:rPr>
              <w:t xml:space="preserve">Module Title: </w:t>
            </w:r>
            <w:r>
              <w:rPr>
                <w:rFonts w:cs="Arial" w:ascii="Arial" w:hAnsi="Arial"/>
                <w:i w:val="false"/>
                <w:iCs w:val="false"/>
                <w:color w:val="000000"/>
                <w:sz w:val="28"/>
                <w:szCs w:val="28"/>
              </w:rPr>
              <w:t>Stats for Data Analytics</w:t>
            </w:r>
          </w:p>
        </w:tc>
      </w:tr>
      <w:tr>
        <w:trPr/>
        <w:tc>
          <w:tcPr>
            <w:tcW w:w="13176" w:type="dxa"/>
            <w:tcBorders/>
          </w:tcPr>
          <w:p>
            <w:pPr>
              <w:pStyle w:val="Normal"/>
              <w:bidi w:val="0"/>
              <w:spacing w:lineRule="auto" w:line="480"/>
              <w:jc w:val="both"/>
              <w:rPr>
                <w:i/>
                <w:iCs/>
              </w:rPr>
            </w:pPr>
            <w:r>
              <w:rPr>
                <w:rFonts w:cs="Arial" w:ascii="Arial" w:hAnsi="Arial"/>
                <w:b/>
                <w:bCs/>
                <w:i/>
                <w:iCs/>
                <w:color w:val="000000"/>
                <w:sz w:val="28"/>
                <w:szCs w:val="28"/>
              </w:rPr>
              <w:t>Assessment Title:</w:t>
            </w:r>
            <w:r>
              <w:rPr>
                <w:rFonts w:cs="Arial" w:ascii="Arial" w:hAnsi="Arial"/>
                <w:i/>
                <w:iCs/>
                <w:color w:val="000000"/>
                <w:sz w:val="28"/>
                <w:szCs w:val="28"/>
              </w:rPr>
              <w:t xml:space="preserve"> </w:t>
            </w:r>
            <w:r>
              <w:rPr>
                <w:rFonts w:cs="Arial" w:ascii="Arial" w:hAnsi="Arial"/>
                <w:i w:val="false"/>
                <w:iCs w:val="false"/>
                <w:color w:val="000000"/>
                <w:sz w:val="28"/>
                <w:szCs w:val="28"/>
              </w:rPr>
              <w:t xml:space="preserve">Application of Statistical Techniques to Online Retail </w:t>
            </w:r>
            <w:r>
              <w:rPr>
                <w:rFonts w:cs="Arial" w:ascii="Arial" w:hAnsi="Arial"/>
                <w:i w:val="false"/>
                <w:iCs w:val="false"/>
                <w:color w:val="000000"/>
                <w:sz w:val="28"/>
                <w:szCs w:val="28"/>
              </w:rPr>
              <w:t>II Data</w:t>
            </w:r>
          </w:p>
        </w:tc>
      </w:tr>
      <w:tr>
        <w:trPr/>
        <w:tc>
          <w:tcPr>
            <w:tcW w:w="13176" w:type="dxa"/>
            <w:tcBorders/>
          </w:tcPr>
          <w:p>
            <w:pPr>
              <w:pStyle w:val="Normal"/>
              <w:bidi w:val="0"/>
              <w:spacing w:lineRule="auto" w:line="480"/>
              <w:jc w:val="both"/>
              <w:rPr>
                <w:rFonts w:ascii="Arial" w:hAnsi="Arial" w:cs="Arial"/>
                <w:i/>
                <w:color w:val="156082"/>
                <w:sz w:val="28"/>
                <w:szCs w:val="28"/>
              </w:rPr>
            </w:pPr>
            <w:r>
              <w:rPr>
                <w:rFonts w:cs="Arial" w:ascii="Arial" w:hAnsi="Arial"/>
                <w:b/>
                <w:bCs/>
                <w:i/>
                <w:color w:val="000000"/>
                <w:sz w:val="28"/>
                <w:szCs w:val="28"/>
              </w:rPr>
              <w:t xml:space="preserve">Lecturer/Supervisor: </w:t>
            </w:r>
            <w:r>
              <w:rPr>
                <w:rFonts w:cs="Arial" w:ascii="Arial" w:hAnsi="Arial"/>
                <w:i w:val="false"/>
                <w:iCs w:val="false"/>
                <w:color w:val="000000"/>
                <w:sz w:val="28"/>
                <w:szCs w:val="28"/>
              </w:rPr>
              <w:t>Taufique Ahmed</w:t>
            </w:r>
          </w:p>
        </w:tc>
      </w:tr>
      <w:tr>
        <w:trPr/>
        <w:tc>
          <w:tcPr>
            <w:tcW w:w="13176" w:type="dxa"/>
            <w:tcBorders/>
          </w:tcPr>
          <w:p>
            <w:pPr>
              <w:pStyle w:val="Normal"/>
              <w:bidi w:val="0"/>
              <w:spacing w:lineRule="auto" w:line="480"/>
              <w:jc w:val="both"/>
              <w:rPr>
                <w:rFonts w:ascii="Arial" w:hAnsi="Arial" w:cs="Arial"/>
                <w:i/>
                <w:color w:val="156082"/>
                <w:sz w:val="28"/>
                <w:szCs w:val="28"/>
              </w:rPr>
            </w:pPr>
            <w:r>
              <w:rPr>
                <w:rFonts w:cs="Arial" w:ascii="Arial" w:hAnsi="Arial"/>
                <w:b/>
                <w:bCs/>
                <w:i/>
                <w:color w:val="000000"/>
                <w:sz w:val="28"/>
                <w:szCs w:val="28"/>
              </w:rPr>
              <w:t>Assessment Due Date:</w:t>
            </w:r>
            <w:r>
              <w:rPr>
                <w:rFonts w:cs="Arial" w:ascii="Arial" w:hAnsi="Arial"/>
                <w:i/>
                <w:color w:val="000000"/>
                <w:sz w:val="28"/>
                <w:szCs w:val="28"/>
              </w:rPr>
              <w:t xml:space="preserve"> </w:t>
            </w:r>
            <w:r>
              <w:rPr>
                <w:rFonts w:cs="Arial" w:ascii="Arial" w:hAnsi="Arial"/>
                <w:i w:val="false"/>
                <w:iCs w:val="false"/>
                <w:color w:val="000000"/>
                <w:sz w:val="28"/>
                <w:szCs w:val="28"/>
              </w:rPr>
              <w:t>01/11/2026</w:t>
            </w:r>
          </w:p>
        </w:tc>
      </w:tr>
      <w:tr>
        <w:trPr/>
        <w:tc>
          <w:tcPr>
            <w:tcW w:w="13176" w:type="dxa"/>
            <w:tcBorders/>
          </w:tcPr>
          <w:p>
            <w:pPr>
              <w:pStyle w:val="Normal"/>
              <w:bidi w:val="0"/>
              <w:spacing w:lineRule="auto" w:line="480"/>
              <w:jc w:val="both"/>
              <w:rPr>
                <w:rFonts w:ascii="Arial" w:hAnsi="Arial" w:cs="Arial"/>
                <w:i/>
                <w:color w:val="156082"/>
                <w:sz w:val="28"/>
                <w:szCs w:val="28"/>
              </w:rPr>
            </w:pPr>
            <w:r>
              <w:rPr>
                <w:rFonts w:cs="Arial" w:ascii="Arial" w:hAnsi="Arial"/>
                <w:b/>
                <w:bCs/>
                <w:i/>
                <w:color w:val="000000"/>
                <w:sz w:val="28"/>
                <w:szCs w:val="28"/>
              </w:rPr>
              <w:t>Date of Submission:</w:t>
            </w:r>
            <w:r>
              <w:rPr>
                <w:rFonts w:cs="Arial" w:ascii="Arial" w:hAnsi="Arial"/>
                <w:i/>
                <w:color w:val="000000"/>
                <w:sz w:val="28"/>
                <w:szCs w:val="28"/>
              </w:rPr>
              <w:t xml:space="preserve"> </w:t>
            </w:r>
            <w:r>
              <w:rPr>
                <w:rFonts w:cs="Arial" w:ascii="Arial" w:hAnsi="Arial"/>
                <w:i w:val="false"/>
                <w:iCs w:val="false"/>
                <w:color w:val="000000"/>
                <w:sz w:val="28"/>
                <w:szCs w:val="28"/>
              </w:rPr>
              <w:t>01/11/2026</w:t>
            </w:r>
          </w:p>
        </w:tc>
      </w:tr>
    </w:tbl>
    <w:p>
      <w:pPr>
        <w:pStyle w:val="Normal"/>
        <w:bidi w:val="0"/>
        <w:rPr>
          <w:color w:val="000000"/>
        </w:rPr>
      </w:pPr>
      <w:r>
        <w:rPr>
          <w:color w:val="000000"/>
        </w:rPr>
        <w:drawing>
          <wp:anchor distT="0" distB="0" distL="114300" distR="114300" simplePos="0" relativeHeight="2" behindDoc="0" locked="0" layoutInCell="0" allowOverlap="1">
            <wp:simplePos x="0" y="0"/>
            <wp:positionH relativeFrom="margin">
              <wp:posOffset>4174490</wp:posOffset>
            </wp:positionH>
            <wp:positionV relativeFrom="margin">
              <wp:posOffset>-276225</wp:posOffset>
            </wp:positionV>
            <wp:extent cx="2206625" cy="762000"/>
            <wp:effectExtent l="0" t="0" r="0" b="0"/>
            <wp:wrapSquare wrapText="bothSides"/>
            <wp:docPr id="1" name="image1.png"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logo for college computing&#10;&#10;Description automatically generated"/>
                    <pic:cNvPicPr>
                      <a:picLocks noChangeAspect="1" noChangeArrowheads="1"/>
                    </pic:cNvPicPr>
                  </pic:nvPicPr>
                  <pic:blipFill>
                    <a:blip r:embed="rId2"/>
                    <a:stretch>
                      <a:fillRect/>
                    </a:stretch>
                  </pic:blipFill>
                  <pic:spPr bwMode="auto">
                    <a:xfrm>
                      <a:off x="0" y="0"/>
                      <a:ext cx="2206625" cy="762000"/>
                    </a:xfrm>
                    <a:prstGeom prst="rect">
                      <a:avLst/>
                    </a:prstGeom>
                    <a:noFill/>
                  </pic:spPr>
                </pic:pic>
              </a:graphicData>
            </a:graphic>
          </wp:anchor>
        </w:drawing>
        <mc:AlternateContent>
          <mc:Choice Requires="wpg">
            <w:drawing>
              <wp:anchor distT="0" distB="0" distL="0" distR="0" simplePos="0" relativeHeight="3" behindDoc="0" locked="0" layoutInCell="0" allowOverlap="1" wp14:anchorId="10541535">
                <wp:simplePos x="0" y="0"/>
                <wp:positionH relativeFrom="page">
                  <wp:posOffset>428625</wp:posOffset>
                </wp:positionH>
                <wp:positionV relativeFrom="margin">
                  <wp:posOffset>-1170305</wp:posOffset>
                </wp:positionV>
                <wp:extent cx="228600" cy="10403205"/>
                <wp:effectExtent l="0" t="0" r="0" b="0"/>
                <wp:wrapNone/>
                <wp:docPr id="2" name="Group 1728545881"/>
                <a:graphic xmlns:a="http://schemas.openxmlformats.org/drawingml/2006/main">
                  <a:graphicData uri="http://schemas.microsoft.com/office/word/2010/wordprocessingGroup">
                    <wpg:wgp>
                      <wpg:cNvGrpSpPr/>
                      <wpg:grpSpPr>
                        <a:xfrm>
                          <a:off x="0" y="0"/>
                          <a:ext cx="228600" cy="10403280"/>
                          <a:chOff x="0" y="0"/>
                          <a:chExt cx="228600" cy="10403280"/>
                        </a:xfrm>
                      </wpg:grpSpPr>
                      <wpg:grpSp>
                        <wpg:cNvGrpSpPr/>
                        <wpg:grpSpPr>
                          <a:xfrm>
                            <a:off x="0" y="0"/>
                            <a:ext cx="228600" cy="10403280"/>
                          </a:xfrm>
                        </wpg:grpSpPr>
                        <wps:wsp>
                          <wps:cNvPr id="3" name="Rectangle 1022607563"/>
                          <wps:cNvSpPr/>
                          <wps:spPr>
                            <a:xfrm>
                              <a:off x="0" y="0"/>
                              <a:ext cx="228600" cy="10402560"/>
                            </a:xfrm>
                            <a:prstGeom prst="rect">
                              <a:avLst/>
                            </a:prstGeom>
                            <a:noFill/>
                            <a:ln w="0">
                              <a:noFill/>
                            </a:ln>
                          </wps:spPr>
                          <wps:style>
                            <a:lnRef idx="0"/>
                            <a:fillRef idx="0"/>
                            <a:effectRef idx="0"/>
                            <a:fontRef idx="minor"/>
                          </wps:style>
                          <wps:txbx>
                            <w:txbxContent>
                              <w:p>
                                <w:pPr>
                                  <w:pStyle w:val="Normal"/>
                                  <w:bidi w:val="0"/>
                                  <w:spacing w:lineRule="auto" w:line="240" w:before="0" w:after="0"/>
                                  <w:rPr/>
                                </w:pPr>
                                <w:r>
                                  <w:rPr/>
                                </w:r>
                              </w:p>
                            </w:txbxContent>
                          </wps:txbx>
                          <wps:bodyPr lIns="0" tIns="0" rIns="0" bIns="0" anchor="ctr">
                            <a:noAutofit/>
                          </wps:bodyPr>
                        </wps:wsp>
                        <wps:wsp>
                          <wps:cNvPr id="4" name="Rectangle 645180660"/>
                          <wps:cNvSpPr/>
                          <wps:spPr>
                            <a:xfrm>
                              <a:off x="0" y="0"/>
                              <a:ext cx="228600" cy="9991080"/>
                            </a:xfrm>
                            <a:prstGeom prst="rect">
                              <a:avLst/>
                            </a:prstGeom>
                            <a:solidFill>
                              <a:schemeClr val="accent2"/>
                            </a:solidFill>
                            <a:ln w="0">
                              <a:noFill/>
                            </a:ln>
                          </wps:spPr>
                          <wps:style>
                            <a:lnRef idx="0"/>
                            <a:fillRef idx="0"/>
                            <a:effectRef idx="0"/>
                            <a:fontRef idx="minor"/>
                          </wps:style>
                          <wps:txbx>
                            <w:txbxContent>
                              <w:p>
                                <w:pPr>
                                  <w:pStyle w:val="Normal"/>
                                  <w:bidi w:val="0"/>
                                  <w:spacing w:lineRule="auto" w:line="240" w:before="0" w:after="0"/>
                                  <w:rPr/>
                                </w:pPr>
                                <w:r>
                                  <w:rPr/>
                                </w:r>
                              </w:p>
                            </w:txbxContent>
                          </wps:txbx>
                          <wps:bodyPr lIns="0" tIns="0" rIns="0" bIns="0" anchor="ctr">
                            <a:noAutofit/>
                          </wps:bodyPr>
                        </wps:wsp>
                        <wps:wsp>
                          <wps:cNvPr id="5" name="Rectangle 300658735"/>
                          <wps:cNvSpPr/>
                          <wps:spPr>
                            <a:xfrm>
                              <a:off x="0" y="10144080"/>
                              <a:ext cx="228600" cy="259200"/>
                            </a:xfrm>
                            <a:prstGeom prst="rect">
                              <a:avLst/>
                            </a:prstGeom>
                            <a:solidFill>
                              <a:schemeClr val="accent1"/>
                            </a:solidFill>
                            <a:ln w="0">
                              <a:noFill/>
                            </a:ln>
                          </wps:spPr>
                          <wps:style>
                            <a:lnRef idx="0"/>
                            <a:fillRef idx="0"/>
                            <a:effectRef idx="0"/>
                            <a:fontRef idx="minor"/>
                          </wps:style>
                          <wps:txbx>
                            <w:txbxContent>
                              <w:p>
                                <w:pPr>
                                  <w:pStyle w:val="Normal"/>
                                  <w:bidi w:val="0"/>
                                  <w:spacing w:lineRule="auto" w:line="240" w:before="0" w:after="0"/>
                                  <w:rPr/>
                                </w:pPr>
                                <w:r>
                                  <w:rPr/>
                                </w:r>
                              </w:p>
                            </w:txbxContent>
                          </wps:txbx>
                          <wps:bodyPr lIns="0" tIns="0" rIns="0" bIns="0" anchor="ctr">
                            <a:noAutofit/>
                          </wps:bodyPr>
                        </wps:wsp>
                      </wpg:grpSp>
                    </wpg:wgp>
                  </a:graphicData>
                </a:graphic>
              </wp:anchor>
            </w:drawing>
          </mc:Choice>
          <mc:Fallback>
            <w:pict>
              <v:group id="shape_0" alt="Group 1728545881" style="position:absolute;margin-left:33.75pt;margin-top:-92.15pt;width:18pt;height:819.15pt" coordorigin="675,-1843" coordsize="360,16383">
                <v:group id="shape_0" style="position:absolute;left:675;top:-1843;width:360;height:16383">
                  <v:rect id="shape_0" stroked="f" o:allowincell="f" style="position:absolute;left:675;top:-1843;width:359;height:16381;mso-wrap-style:none;v-text-anchor:middle;mso-position-horizontal-relative:page;mso-position-vertical-relative:margin">
                    <v:fill o:detectmouseclick="t" on="false"/>
                    <v:stroke color="#3465a4" joinstyle="round" endcap="flat"/>
                    <v:textbox>
                      <w:txbxContent>
                        <w:p>
                          <w:pPr>
                            <w:pStyle w:val="Normal"/>
                            <w:bidi w:val="0"/>
                            <w:spacing w:lineRule="auto" w:line="240" w:before="0" w:after="0"/>
                            <w:rPr/>
                          </w:pPr>
                          <w:r>
                            <w:rPr/>
                          </w:r>
                        </w:p>
                      </w:txbxContent>
                    </v:textbox>
                    <w10:wrap type="none"/>
                  </v:rect>
                  <v:rect id="shape_0" fillcolor="#0369a3" stroked="f" o:allowincell="f" style="position:absolute;left:675;top:-1843;width:359;height:15733;mso-wrap-style:none;v-text-anchor:middle;mso-position-horizontal-relative:page;mso-position-vertical-relative:margin">
                    <v:fill o:detectmouseclick="t" type="solid" color2="#fc965c"/>
                    <v:stroke color="#3465a4" joinstyle="round" endcap="flat"/>
                    <v:textbox>
                      <w:txbxContent>
                        <w:p>
                          <w:pPr>
                            <w:pStyle w:val="Normal"/>
                            <w:bidi w:val="0"/>
                            <w:spacing w:lineRule="auto" w:line="240" w:before="0" w:after="0"/>
                            <w:rPr/>
                          </w:pPr>
                          <w:r>
                            <w:rPr/>
                          </w:r>
                        </w:p>
                      </w:txbxContent>
                    </v:textbox>
                    <w10:wrap type="none"/>
                  </v:rect>
                  <v:rect id="shape_0" fillcolor="#18a303" stroked="f" o:allowincell="f" style="position:absolute;left:675;top:14132;width:359;height:407;mso-wrap-style:none;v-text-anchor:middle;mso-position-horizontal-relative:page;mso-position-vertical-relative:margin">
                    <v:fill o:detectmouseclick="t" type="solid" color2="#e75cfc"/>
                    <v:stroke color="#3465a4" joinstyle="round" endcap="flat"/>
                    <v:textbox>
                      <w:txbxContent>
                        <w:p>
                          <w:pPr>
                            <w:pStyle w:val="Normal"/>
                            <w:bidi w:val="0"/>
                            <w:spacing w:lineRule="auto" w:line="240" w:before="0" w:after="0"/>
                            <w:rPr/>
                          </w:pPr>
                          <w:r>
                            <w:rPr/>
                          </w:r>
                        </w:p>
                      </w:txbxContent>
                    </v:textbox>
                    <w10:wrap type="none"/>
                  </v:rect>
                </v:group>
              </v:group>
            </w:pict>
          </mc:Fallback>
        </mc:AlternateContent>
      </w:r>
    </w:p>
    <w:p>
      <w:pPr>
        <w:pStyle w:val="Normal"/>
        <w:bidi w:val="0"/>
        <w:rPr>
          <w:color w:val="000000"/>
        </w:rPr>
      </w:pPr>
      <w:r>
        <w:rPr>
          <w:color w:val="000000"/>
        </w:rPr>
      </w:r>
    </w:p>
    <w:p>
      <w:pPr>
        <w:pStyle w:val="Normal"/>
        <w:bidi w:val="0"/>
        <w:rPr>
          <w:color w:val="000000"/>
        </w:rPr>
      </w:pPr>
      <w:r>
        <w:rPr>
          <w:color w:val="000000"/>
        </w:rPr>
      </w:r>
    </w:p>
    <w:p>
      <w:pPr>
        <w:pStyle w:val="Normal"/>
        <w:bidi w:val="0"/>
        <w:rPr>
          <w:color w:val="000000"/>
        </w:rPr>
      </w:pPr>
      <w:r>
        <w:rPr>
          <w:color w:val="000000"/>
        </w:rPr>
      </w:r>
    </w:p>
    <w:p>
      <w:pPr>
        <w:pStyle w:val="Normal"/>
        <w:bidi w:val="0"/>
        <w:rPr>
          <w:color w:val="000000"/>
        </w:rPr>
      </w:pPr>
      <w:r>
        <w:rPr>
          <w:color w:val="000000"/>
        </w:rPr>
      </w:r>
    </w:p>
    <w:p>
      <w:pPr>
        <w:pStyle w:val="Normal"/>
        <w:bidi w:val="0"/>
        <w:rPr>
          <w:color w:val="000000"/>
        </w:rPr>
      </w:pPr>
      <w:r>
        <w:rPr>
          <w:color w:val="000000"/>
        </w:rPr>
      </w:r>
    </w:p>
    <w:p>
      <w:pPr>
        <w:pStyle w:val="Normal"/>
        <w:bidi w:val="0"/>
        <w:rPr>
          <w:color w:val="000000"/>
        </w:rPr>
      </w:pPr>
      <w:r>
        <w:rPr>
          <w:color w:val="000000"/>
        </w:rPr>
        <mc:AlternateContent>
          <mc:Choice Requires="wpg">
            <w:drawing>
              <wp:anchor distT="0" distB="0" distL="0" distR="0" simplePos="0" relativeHeight="7" behindDoc="0" locked="0" layoutInCell="0" allowOverlap="1" wp14:anchorId="10541535">
                <wp:simplePos x="0" y="0"/>
                <wp:positionH relativeFrom="page">
                  <wp:posOffset>428625</wp:posOffset>
                </wp:positionH>
                <wp:positionV relativeFrom="margin">
                  <wp:posOffset>-1170305</wp:posOffset>
                </wp:positionV>
                <wp:extent cx="228600" cy="10403205"/>
                <wp:effectExtent l="0" t="0" r="0" b="0"/>
                <wp:wrapNone/>
                <wp:docPr id="6" name="Group 1"/>
                <a:graphic xmlns:a="http://schemas.openxmlformats.org/drawingml/2006/main">
                  <a:graphicData uri="http://schemas.microsoft.com/office/word/2010/wordprocessingGroup">
                    <wpg:wgp>
                      <wpg:cNvGrpSpPr/>
                      <wpg:grpSpPr>
                        <a:xfrm>
                          <a:off x="0" y="0"/>
                          <a:ext cx="228600" cy="10403280"/>
                          <a:chOff x="0" y="0"/>
                          <a:chExt cx="228600" cy="10403280"/>
                        </a:xfrm>
                      </wpg:grpSpPr>
                      <wpg:grpSp>
                        <wpg:cNvGrpSpPr/>
                        <wpg:grpSpPr>
                          <a:xfrm>
                            <a:off x="0" y="0"/>
                            <a:ext cx="228600" cy="10403280"/>
                          </a:xfrm>
                        </wpg:grpSpPr>
                        <wps:wsp>
                          <wps:cNvPr id="7" name="Rectangle 1022607563"/>
                          <wps:cNvSpPr/>
                          <wps:spPr>
                            <a:xfrm>
                              <a:off x="0" y="0"/>
                              <a:ext cx="228600" cy="10402560"/>
                            </a:xfrm>
                            <a:prstGeom prst="rect">
                              <a:avLst/>
                            </a:prstGeom>
                            <a:solidFill>
                              <a:srgbClr val="E67605"/>
                            </a:solidFill>
                            <a:ln w="0">
                              <a:noFill/>
                            </a:ln>
                          </wps:spPr>
                          <wps:style>
                            <a:lnRef idx="0"/>
                            <a:fillRef idx="0"/>
                            <a:effectRef idx="0"/>
                            <a:fontRef idx="minor"/>
                          </wps:style>
                          <wps:txbx>
                            <w:txbxContent>
                              <w:p>
                                <w:pPr>
                                  <w:pStyle w:val="Normal"/>
                                  <w:bidi w:val="0"/>
                                  <w:spacing w:lineRule="auto" w:line="240" w:before="0" w:after="0"/>
                                  <w:rPr/>
                                </w:pPr>
                                <w:r>
                                  <w:rPr/>
                                </w:r>
                              </w:p>
                            </w:txbxContent>
                          </wps:txbx>
                          <wps:bodyPr lIns="0" tIns="0" rIns="0" bIns="0" anchor="ctr">
                            <a:noAutofit/>
                          </wps:bodyPr>
                        </wps:wsp>
                        <wps:wsp>
                          <wps:cNvPr id="8" name="Rectangle 645180660"/>
                          <wps:cNvSpPr/>
                          <wps:spPr>
                            <a:xfrm>
                              <a:off x="0" y="0"/>
                              <a:ext cx="228600" cy="9991080"/>
                            </a:xfrm>
                            <a:prstGeom prst="rect">
                              <a:avLst/>
                            </a:prstGeom>
                            <a:solidFill>
                              <a:srgbClr val="E67605"/>
                            </a:solidFill>
                            <a:ln w="0">
                              <a:noFill/>
                            </a:ln>
                          </wps:spPr>
                          <wps:style>
                            <a:lnRef idx="0"/>
                            <a:fillRef idx="0"/>
                            <a:effectRef idx="0"/>
                            <a:fontRef idx="minor"/>
                          </wps:style>
                          <wps:txbx>
                            <w:txbxContent>
                              <w:p>
                                <w:pPr>
                                  <w:pStyle w:val="Normal"/>
                                  <w:bidi w:val="0"/>
                                  <w:spacing w:lineRule="auto" w:line="240" w:before="0" w:after="0"/>
                                  <w:rPr/>
                                </w:pPr>
                                <w:r>
                                  <w:rPr/>
                                </w:r>
                              </w:p>
                            </w:txbxContent>
                          </wps:txbx>
                          <wps:bodyPr lIns="0" tIns="0" rIns="0" bIns="0" anchor="ctr">
                            <a:noAutofit/>
                          </wps:bodyPr>
                        </wps:wsp>
                        <wps:wsp>
                          <wps:cNvPr id="9" name="Rectangle 300658735"/>
                          <wps:cNvSpPr/>
                          <wps:spPr>
                            <a:xfrm>
                              <a:off x="0" y="10144080"/>
                              <a:ext cx="228600" cy="259200"/>
                            </a:xfrm>
                            <a:prstGeom prst="rect">
                              <a:avLst/>
                            </a:prstGeom>
                            <a:solidFill>
                              <a:srgbClr val="E67605"/>
                            </a:solidFill>
                            <a:ln w="0">
                              <a:noFill/>
                            </a:ln>
                          </wps:spPr>
                          <wps:style>
                            <a:lnRef idx="0"/>
                            <a:fillRef idx="0"/>
                            <a:effectRef idx="0"/>
                            <a:fontRef idx="minor"/>
                          </wps:style>
                          <wps:txbx>
                            <w:txbxContent>
                              <w:p>
                                <w:pPr>
                                  <w:pStyle w:val="Normal"/>
                                  <w:bidi w:val="0"/>
                                  <w:spacing w:lineRule="auto" w:line="240" w:before="0" w:after="0"/>
                                  <w:rPr/>
                                </w:pPr>
                                <w:r>
                                  <w:rPr/>
                                </w:r>
                              </w:p>
                            </w:txbxContent>
                          </wps:txbx>
                          <wps:bodyPr lIns="0" tIns="0" rIns="0" bIns="0" anchor="ctr">
                            <a:noAutofit/>
                          </wps:bodyPr>
                        </wps:wsp>
                      </wpg:grpSp>
                    </wpg:wgp>
                  </a:graphicData>
                </a:graphic>
              </wp:anchor>
            </w:drawing>
          </mc:Choice>
          <mc:Fallback>
            <w:pict>
              <v:group id="shape_0" alt="Group 1" style="position:absolute;margin-left:33.75pt;margin-top:-92.15pt;width:18pt;height:819.15pt" coordorigin="675,-1843" coordsize="360,16383">
                <v:group id="shape_0" style="position:absolute;left:675;top:-1843;width:360;height:16383">
                  <v:rect id="shape_0" fillcolor="#e67605" stroked="f" o:allowincell="f" style="position:absolute;left:675;top:-1843;width:359;height:16381;mso-wrap-style:none;v-text-anchor:middle;mso-position-horizontal-relative:page;mso-position-vertical-relative:margin">
                    <v:fill o:detectmouseclick="t" type="solid" color2="#1989fa"/>
                    <v:stroke color="#3465a4" joinstyle="round" endcap="flat"/>
                    <v:textbox>
                      <w:txbxContent>
                        <w:p>
                          <w:pPr>
                            <w:pStyle w:val="Normal"/>
                            <w:bidi w:val="0"/>
                            <w:spacing w:lineRule="auto" w:line="240" w:before="0" w:after="0"/>
                            <w:rPr/>
                          </w:pPr>
                          <w:r>
                            <w:rPr/>
                          </w:r>
                        </w:p>
                      </w:txbxContent>
                    </v:textbox>
                    <w10:wrap type="none"/>
                  </v:rect>
                  <v:rect id="shape_0" fillcolor="#e67605" stroked="f" o:allowincell="f" style="position:absolute;left:675;top:-1843;width:359;height:15733;mso-wrap-style:none;v-text-anchor:middle;mso-position-horizontal-relative:page;mso-position-vertical-relative:margin">
                    <v:fill o:detectmouseclick="t" type="solid" color2="#1989fa"/>
                    <v:stroke color="#3465a4" joinstyle="round" endcap="flat"/>
                    <v:textbox>
                      <w:txbxContent>
                        <w:p>
                          <w:pPr>
                            <w:pStyle w:val="Normal"/>
                            <w:bidi w:val="0"/>
                            <w:spacing w:lineRule="auto" w:line="240" w:before="0" w:after="0"/>
                            <w:rPr/>
                          </w:pPr>
                          <w:r>
                            <w:rPr/>
                          </w:r>
                        </w:p>
                      </w:txbxContent>
                    </v:textbox>
                    <w10:wrap type="none"/>
                  </v:rect>
                  <v:rect id="shape_0" fillcolor="#e67605" stroked="f" o:allowincell="f" style="position:absolute;left:675;top:14132;width:359;height:407;mso-wrap-style:none;v-text-anchor:middle;mso-position-horizontal-relative:page;mso-position-vertical-relative:margin">
                    <v:fill o:detectmouseclick="t" type="solid" color2="#1989fa"/>
                    <v:stroke color="#3465a4" joinstyle="round" endcap="flat"/>
                    <v:textbox>
                      <w:txbxContent>
                        <w:p>
                          <w:pPr>
                            <w:pStyle w:val="Normal"/>
                            <w:bidi w:val="0"/>
                            <w:spacing w:lineRule="auto" w:line="240" w:before="0" w:after="0"/>
                            <w:rPr/>
                          </w:pPr>
                          <w:r>
                            <w:rPr/>
                          </w:r>
                        </w:p>
                      </w:txbxContent>
                    </v:textbox>
                    <w10:wrap type="none"/>
                  </v:rect>
                </v:group>
              </v:group>
            </w:pict>
          </mc:Fallback>
        </mc:AlternateConten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Heading2"/>
        <w:bidi w:val="0"/>
        <w:rPr/>
      </w:pPr>
      <w:r>
        <w:rPr>
          <w:b/>
          <w:bCs/>
        </w:rPr>
        <w:t>Tools Used and AI Assistance</w:t>
      </w:r>
      <w:r>
        <w:rPr/>
        <w:t xml:space="preserve"> </w:t>
      </w:r>
    </w:p>
    <w:p>
      <w:pPr>
        <w:pStyle w:val="Normal"/>
        <w:bidi w:val="0"/>
        <w:rPr/>
      </w:pPr>
      <w:r>
        <w:rPr/>
        <w:t xml:space="preserve"> </w:t>
      </w:r>
      <w:r>
        <w:rPr/>
        <w:t>I used ChatGPT and Claude as AI support tools during this assignment. As I am new to Data Analytics, these tools helped me understand statistical concepts, work with Python code, review calculations and graphs, and interpret the results.</w:t>
      </w:r>
    </w:p>
    <w:p>
      <w:pPr>
        <w:pStyle w:val="BodyText"/>
        <w:bidi w:val="0"/>
        <w:rPr/>
      </w:pPr>
      <w:r>
        <w:rPr/>
        <w:t>ChatGPT also provided substantial assistance with drafting and editing sections of this report, organising the analysis, explaining statistical distributions and preparing references. Claude was used to review the report, identify inconsistencies and suggest corrections, including checking the dataset citation year and improving the presentation of the analysis.</w:t>
      </w:r>
    </w:p>
    <w:p>
      <w:pPr>
        <w:pStyle w:val="BodyText"/>
        <w:bidi w:val="0"/>
        <w:rPr/>
      </w:pPr>
      <w:r>
        <w:rPr/>
        <w:t>I compared the AI suggestions with the results displayed in Jupyter Notebook. I understand that AI-generated information may contain errors and should be checked before use.</w:t>
      </w:r>
    </w:p>
    <w:p>
      <w:pPr>
        <w:pStyle w:val="BodyText"/>
        <w:bidi w:val="0"/>
        <w:rPr/>
      </w:pPr>
      <w:r>
        <w:rPr/>
        <w:t>A separate AI Use Declaration document provides further details, including examples of prompts, responses and a critical assessment of the AI assistance received.</w: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sdt>
      <w:sdtPr>
        <w:docPartObj>
          <w:docPartGallery w:val="Table of Contents"/>
          <w:docPartUnique w:val="true"/>
        </w:docPartObj>
      </w:sdtPr>
      <w:sdtContent>
        <w:p>
          <w:pPr>
            <w:pStyle w:val="TOCHeading"/>
            <w:rPr/>
          </w:pPr>
          <w:r>
            <w:rPr/>
            <w:t>Table of Contents</w:t>
          </w:r>
        </w:p>
        <w:p>
          <w:pPr>
            <w:pStyle w:val="TOC1"/>
            <w:tabs>
              <w:tab w:val="clear" w:pos="9638"/>
              <w:tab w:val="right" w:pos="9637" w:leader="dot"/>
            </w:tabs>
            <w:rPr/>
          </w:pPr>
          <w:r>
            <w:fldChar w:fldCharType="begin"/>
          </w:r>
          <w:r>
            <w:rPr>
              <w:rStyle w:val="IndexLink"/>
            </w:rPr>
            <w:instrText xml:space="preserve"> TOC \f \o "1-1" \h</w:instrText>
          </w:r>
          <w:r>
            <w:rPr>
              <w:rStyle w:val="IndexLink"/>
            </w:rPr>
            <w:fldChar w:fldCharType="separate"/>
          </w:r>
          <w:hyperlink w:anchor="__RefHeading___Toc2395_3974005031" w:tooltip="Introduction">
            <w:r>
              <w:rPr>
                <w:rStyle w:val="IndexLink"/>
              </w:rPr>
              <w:t>Introduction</w:t>
              <w:tab/>
              <w:t>4</w:t>
            </w:r>
          </w:hyperlink>
        </w:p>
        <w:p>
          <w:pPr>
            <w:pStyle w:val="TOC1"/>
            <w:tabs>
              <w:tab w:val="clear" w:pos="9638"/>
              <w:tab w:val="right" w:pos="9637" w:leader="dot"/>
            </w:tabs>
            <w:rPr/>
          </w:pPr>
          <w:hyperlink w:anchor="__RefHeading___Toc2397_3974005031" w:tooltip="Data Preparation">
            <w:r>
              <w:rPr>
                <w:rStyle w:val="IndexLink"/>
              </w:rPr>
              <w:t>Data Preparation</w:t>
              <w:tab/>
              <w:t>4</w:t>
            </w:r>
          </w:hyperlink>
        </w:p>
        <w:p>
          <w:pPr>
            <w:pStyle w:val="TOC1"/>
            <w:tabs>
              <w:tab w:val="clear" w:pos="9638"/>
              <w:tab w:val="right" w:pos="9637" w:leader="dot"/>
            </w:tabs>
            <w:rPr/>
          </w:pPr>
          <w:hyperlink w:anchor="__RefHeading___Toc2458_3974005031" w:tooltip="Descriptive Statistics">
            <w:r>
              <w:rPr>
                <w:rStyle w:val="IndexLink"/>
              </w:rPr>
              <w:t>Descriptive Statistics</w:t>
              <w:tab/>
              <w:t>5</w:t>
            </w:r>
          </w:hyperlink>
        </w:p>
        <w:p>
          <w:pPr>
            <w:pStyle w:val="TOC1"/>
            <w:tabs>
              <w:tab w:val="clear" w:pos="9638"/>
              <w:tab w:val="right" w:pos="9637" w:leader="dot"/>
            </w:tabs>
            <w:rPr/>
          </w:pPr>
          <w:hyperlink w:anchor="__RefHeading___Toc2399_3974005031" w:tooltip="Binomial Distribution">
            <w:r>
              <w:rPr>
                <w:rStyle w:val="IndexLink"/>
              </w:rPr>
              <w:t>Binomial Distribution</w:t>
              <w:tab/>
              <w:t>8</w:t>
            </w:r>
          </w:hyperlink>
        </w:p>
        <w:p>
          <w:pPr>
            <w:pStyle w:val="TOC1"/>
            <w:tabs>
              <w:tab w:val="clear" w:pos="9638"/>
              <w:tab w:val="right" w:pos="9637" w:leader="dot"/>
            </w:tabs>
            <w:rPr/>
          </w:pPr>
          <w:hyperlink w:anchor="__RefHeading___Toc2401_3974005031" w:tooltip="Poisson Distribution">
            <w:r>
              <w:rPr>
                <w:rStyle w:val="IndexLink"/>
              </w:rPr>
              <w:t>Poisson Distribution</w:t>
              <w:tab/>
              <w:t>9</w:t>
            </w:r>
          </w:hyperlink>
        </w:p>
        <w:p>
          <w:pPr>
            <w:pStyle w:val="TOC1"/>
            <w:tabs>
              <w:tab w:val="clear" w:pos="9638"/>
              <w:tab w:val="right" w:pos="9637" w:leader="dot"/>
            </w:tabs>
            <w:rPr/>
          </w:pPr>
          <w:hyperlink w:anchor="__RefHeading___Toc2403_3974005031" w:tooltip="Normal Distribution">
            <w:r>
              <w:rPr>
                <w:rStyle w:val="IndexLink"/>
              </w:rPr>
              <w:t>Normal Distribution</w:t>
              <w:tab/>
              <w:t>11</w:t>
            </w:r>
          </w:hyperlink>
        </w:p>
        <w:p>
          <w:pPr>
            <w:pStyle w:val="TOC1"/>
            <w:tabs>
              <w:tab w:val="clear" w:pos="9638"/>
              <w:tab w:val="right" w:pos="9637" w:leader="dot"/>
            </w:tabs>
            <w:rPr/>
          </w:pPr>
          <w:hyperlink w:anchor="__RefHeading___Toc2391_3974005031" w:tooltip="Discussion and Justification of Distributions">
            <w:r>
              <w:rPr>
                <w:rStyle w:val="IndexLink"/>
              </w:rPr>
              <w:t>Discussion and Justification of Distributions</w:t>
              <w:tab/>
              <w:t>13</w:t>
            </w:r>
          </w:hyperlink>
        </w:p>
        <w:p>
          <w:pPr>
            <w:pStyle w:val="TOC1"/>
            <w:tabs>
              <w:tab w:val="clear" w:pos="9638"/>
              <w:tab w:val="right" w:pos="9637" w:leader="dot"/>
            </w:tabs>
            <w:rPr/>
          </w:pPr>
          <w:hyperlink w:anchor="__RefHeading___Toc2393_3974005031" w:tooltip="Conclusion">
            <w:r>
              <w:rPr>
                <w:rStyle w:val="IndexLink"/>
              </w:rPr>
              <w:t>Conclusion</w:t>
              <w:tab/>
              <w:t>14</w:t>
            </w:r>
          </w:hyperlink>
        </w:p>
        <w:p>
          <w:pPr>
            <w:pStyle w:val="TOC1"/>
            <w:tabs>
              <w:tab w:val="clear" w:pos="9638"/>
              <w:tab w:val="right" w:pos="9637" w:leader="dot"/>
            </w:tabs>
            <w:rPr/>
          </w:pPr>
          <w:hyperlink w:anchor="__RefHeading___Toc2520_3974005031" w:tooltip="References">
            <w:r>
              <w:rPr>
                <w:rStyle w:val="IndexLink"/>
              </w:rPr>
              <w:t>References</w:t>
              <w:tab/>
              <w:t>15</w:t>
            </w:r>
          </w:hyperlink>
          <w:r>
            <w:rPr>
              <w:rStyle w:val="IndexLink"/>
            </w:rPr>
            <w:fldChar w:fldCharType="end"/>
          </w:r>
        </w:p>
      </w:sdtContent>
    </w:sdt>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spacing w:lineRule="auto" w:line="480"/>
        <w:jc w:val="both"/>
        <w:rPr>
          <w:rFonts w:ascii="Arial" w:hAnsi="Arial" w:cs="Arial"/>
          <w:i/>
          <w:color w:val="156082"/>
          <w:sz w:val="28"/>
          <w:szCs w:val="28"/>
        </w:rPr>
      </w:pPr>
      <w:r>
        <w:rPr>
          <w:b/>
          <w:bCs/>
          <w:i/>
          <w:iCs/>
          <w:sz w:val="42"/>
          <w:szCs w:val="42"/>
          <w:u w:val="single"/>
        </w:rPr>
        <w:t>Application of Statistical Techniques to Online Retail II Data</w:t>
      </w:r>
    </w:p>
    <w:p>
      <w:pPr>
        <w:pStyle w:val="Heading1"/>
        <w:bidi w:val="0"/>
        <w:rPr/>
      </w:pPr>
      <w:bookmarkStart w:id="0" w:name="__RefHeading___Toc2395_3974005031"/>
      <w:bookmarkEnd w:id="0"/>
      <w:r>
        <w:rPr/>
        <w:t>Introduction</w:t>
      </w:r>
    </w:p>
    <w:p>
      <w:pPr>
        <w:pStyle w:val="BodyText"/>
        <w:bidi w:val="0"/>
        <w:rPr/>
      </w:pPr>
      <w:r>
        <w:rPr/>
        <w:t>The purpose of this report is to apply statistical techniques to the Online Retail II dataset (Chen, 2012) and explore patterns in online retail transactions. The dataset contains sales records from a UK-based online retailer between 2009 and 2011, including information about invoices, products, quantities, prices, dates and customer locations.</w:t>
      </w:r>
    </w:p>
    <w:p>
      <w:pPr>
        <w:pStyle w:val="BodyText"/>
        <w:bidi w:val="0"/>
        <w:rPr/>
      </w:pPr>
      <w:r>
        <w:rPr/>
        <w:t>Python was used to prepare and analyse the data, calculate descriptive statistics and create visualisations. The analysis also explores three probability distributions: Binomial, Poisson and Normal.</w:t>
      </w:r>
    </w:p>
    <w:p>
      <w:pPr>
        <w:pStyle w:val="BodyText"/>
        <w:bidi w:val="0"/>
        <w:rPr/>
      </w:pPr>
      <w:r>
        <w:rPr/>
        <w:t>The Binomial distribution is used to investigate cancelled invoices, while the Poisson distribution is used to examine the number of daily orders. The Normal distribution will be considered to explore the behaviour of a suitable numerical variable.</w:t>
      </w:r>
    </w:p>
    <w:p>
      <w:pPr>
        <w:pStyle w:val="BodyText"/>
        <w:bidi w:val="0"/>
        <w:rPr/>
      </w:pPr>
      <w:r>
        <w:rPr/>
        <w:t>The objective is to understand customer purchasing patterns, identify variations in the data and evaluate how well different statistical models represent real business information.</w:t>
      </w:r>
    </w:p>
    <w:p>
      <w:pPr>
        <w:pStyle w:val="Normal"/>
        <w:bidi w:val="0"/>
        <w:rPr/>
      </w:pPr>
      <w:r>
        <w:rPr/>
      </w:r>
    </w:p>
    <w:p>
      <w:pPr>
        <w:pStyle w:val="Normal"/>
        <w:bidi w:val="0"/>
        <w:rPr/>
      </w:pPr>
      <w:r>
        <w:rPr/>
      </w:r>
    </w:p>
    <w:p>
      <w:pPr>
        <w:pStyle w:val="Heading1"/>
        <w:bidi w:val="0"/>
        <w:rPr/>
      </w:pPr>
      <w:bookmarkStart w:id="1" w:name="__RefHeading___Toc2397_3974005031"/>
      <w:bookmarkEnd w:id="1"/>
      <w:r>
        <w:rPr/>
        <w:t>Data Preparation</w:t>
      </w:r>
    </w:p>
    <w:p>
      <w:pPr>
        <w:pStyle w:val="BodyText"/>
        <w:bidi w:val="0"/>
        <w:rPr/>
      </w:pPr>
      <w:r>
        <w:rPr/>
        <w:t>Before performing the statistical analysis, the Online Retail II dataset was imported into Python using pandas (McKinney, 2010). The dataset originally contained approximately 1,067,371 transaction records.</w:t>
      </w:r>
    </w:p>
    <w:p>
      <w:pPr>
        <w:pStyle w:val="BodyText"/>
        <w:bidi w:val="0"/>
        <w:rPr/>
      </w:pPr>
      <w:r>
        <w:rPr/>
        <w:t xml:space="preserve">The first step was to explore the structure of the dataset using functions such as </w:t>
      </w:r>
      <w:r>
        <w:rPr>
          <w:rStyle w:val="SourceText"/>
        </w:rPr>
        <w:t>head()</w:t>
      </w:r>
      <w:r>
        <w:rPr/>
        <w:t xml:space="preserve">, </w:t>
      </w:r>
      <w:r>
        <w:rPr>
          <w:rStyle w:val="SourceText"/>
        </w:rPr>
        <w:t>info()</w:t>
      </w:r>
      <w:r>
        <w:rPr/>
        <w:t xml:space="preserve">, </w:t>
      </w:r>
      <w:r>
        <w:rPr>
          <w:rStyle w:val="SourceText"/>
        </w:rPr>
        <w:t>describe()</w:t>
      </w:r>
      <w:r>
        <w:rPr/>
        <w:t xml:space="preserve"> and </w:t>
      </w:r>
      <w:r>
        <w:rPr>
          <w:rStyle w:val="SourceText"/>
        </w:rPr>
        <w:t>isnull().sum()</w:t>
      </w:r>
      <w:r>
        <w:rPr/>
        <w:t>. These functions helped identify the available variables, understand their data types and check for missing values.</w:t>
      </w:r>
    </w:p>
    <w:p>
      <w:pPr>
        <w:pStyle w:val="BodyText"/>
        <w:bidi w:val="0"/>
        <w:jc w:val="both"/>
        <w:rPr/>
      </w:pPr>
      <w:r>
        <w:rPr/>
        <w:t>The data was then cleaned to improve its quality and prepare it for analysis. This included examining missing information, checking transaction quantities and prices, and identifying cancelled invoices.</w:t>
      </w:r>
    </w:p>
    <w:p>
      <w:pPr>
        <w:pStyle w:val="BlockQuotation"/>
        <w:bidi w:val="0"/>
        <w:spacing w:lineRule="auto" w:line="276" w:before="0" w:after="140"/>
        <w:ind w:hanging="0" w:start="0" w:end="567"/>
        <w:jc w:val="both"/>
        <w:rPr/>
      </w:pPr>
      <w:r>
        <w:rPr>
          <w:rStyle w:val="Emphasis"/>
          <w:i w:val="false"/>
          <w:iCs w:val="false"/>
        </w:rPr>
        <w:t>After removing duplicates, the dataset contained 1,033,036 records. For the sales analysis, only completed sales were kept (no cancellations, positive quantity and price), leaving 1,003,338 records (94% of the original data).</w:t>
      </w:r>
    </w:p>
    <w:p>
      <w:pPr>
        <w:pStyle w:val="BodyText"/>
        <w:bidi w:val="0"/>
        <w:rPr/>
      </w:pPr>
      <w:r>
        <w:rPr/>
        <w:t>T</w:t>
      </w:r>
      <w:r>
        <w:rPr/>
        <w:t>his preparation was important because missing values, cancellations and unusual transactions can influence statistical calculations and lead to misleading conclusions.</w:t>
      </w:r>
    </w:p>
    <w:p>
      <w:pPr>
        <w:pStyle w:val="Heading1"/>
        <w:bidi w:val="0"/>
        <w:rPr/>
      </w:pPr>
      <w:bookmarkStart w:id="2" w:name="__RefHeading___Toc2458_3974005031"/>
      <w:bookmarkEnd w:id="2"/>
      <w:r>
        <w:rPr/>
        <w:t>Descriptive Statistics</w:t>
      </w:r>
    </w:p>
    <w:p>
      <w:pPr>
        <w:pStyle w:val="BodyText"/>
        <w:bidi w:val="0"/>
        <w:rPr/>
      </w:pPr>
      <w:r>
        <w:rPr/>
        <w:t>Descriptive statistics were calculated for Quantity, Price and Revenue (Table 1). All three variables are strongly right-skewed: the mean is higher than the median (Revenue: £19.33 vs £10.08), and skewness values are very high (Revenue: 160.90). For this reason, the median and IQR are better measures of a typical value than the mean and standard deviation.</w:t>
      </w:r>
    </w:p>
    <w:p>
      <w:pPr>
        <w:pStyle w:val="BodyText"/>
        <w:bidi w:val="0"/>
        <w:rPr/>
      </w:pPr>
      <w:r>
        <w:rPr/>
        <w:drawing>
          <wp:anchor distT="0" distB="0" distL="0" distR="0" simplePos="0" relativeHeight="15" behindDoc="0" locked="0" layoutInCell="0" allowOverlap="1">
            <wp:simplePos x="0" y="0"/>
            <wp:positionH relativeFrom="column">
              <wp:posOffset>1264920</wp:posOffset>
            </wp:positionH>
            <wp:positionV relativeFrom="paragraph">
              <wp:posOffset>152400</wp:posOffset>
            </wp:positionV>
            <wp:extent cx="2966085" cy="4155440"/>
            <wp:effectExtent l="0" t="0" r="0" b="0"/>
            <wp:wrapSquare wrapText="largest"/>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a:blip r:embed="rId3"/>
                    <a:srcRect l="0" t="0" r="5036" b="0"/>
                    <a:stretch>
                      <a:fillRect/>
                    </a:stretch>
                  </pic:blipFill>
                  <pic:spPr bwMode="auto">
                    <a:xfrm>
                      <a:off x="0" y="0"/>
                      <a:ext cx="2966085" cy="4155440"/>
                    </a:xfrm>
                    <a:prstGeom prst="rect">
                      <a:avLst/>
                    </a:prstGeom>
                    <a:noFill/>
                  </pic:spPr>
                </pic:pic>
              </a:graphicData>
            </a:graphic>
          </wp:anchor>
        </w:drawing>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rStyle w:val="Strong"/>
        </w:rPr>
      </w:pPr>
      <w:r>
        <w:rPr/>
      </w:r>
    </w:p>
    <w:p>
      <w:pPr>
        <w:pStyle w:val="BodyText"/>
        <w:bidi w:val="0"/>
        <w:rPr>
          <w:rStyle w:val="Strong"/>
        </w:rPr>
      </w:pPr>
      <w:r>
        <w:rPr/>
      </w:r>
    </w:p>
    <w:p>
      <w:pPr>
        <w:pStyle w:val="BodyText"/>
        <w:bidi w:val="0"/>
        <w:rPr/>
      </w:pPr>
      <w:r>
        <w:rPr>
          <w:rStyle w:val="Strong"/>
        </w:rPr>
        <w:t xml:space="preserve">                    </w:t>
      </w:r>
      <w:r>
        <w:rPr>
          <w:rStyle w:val="Strong"/>
          <w:b w:val="false"/>
          <w:bCs w:val="false"/>
        </w:rPr>
        <w:t>Table 1: Descriptive statistics of Quantity, Price and Revenue.</w:t>
      </w:r>
    </w:p>
    <w:p>
      <w:pPr>
        <w:pStyle w:val="BodyText"/>
        <w:bidi w:val="0"/>
        <w:rPr/>
      </w:pPr>
      <w:r>
        <w:rPr/>
      </w:r>
    </w:p>
    <w:p>
      <w:pPr>
        <w:pStyle w:val="BodyText"/>
        <w:bidi w:val="0"/>
        <w:rPr/>
      </w:pPr>
      <w:r>
        <w:rPr/>
      </w:r>
    </w:p>
    <w:p>
      <w:pPr>
        <w:pStyle w:val="BodyText"/>
        <w:bidi w:val="0"/>
        <w:ind w:hanging="0" w:start="0" w:end="0"/>
        <w:rPr/>
      </w:pPr>
      <w:r>
        <w:rPr/>
        <w:t>Outliers were identified using the IQR and Z-score methods. The IQR method classified 5–8% of lines as outliers, while the Z-score method identified less than 1%, because extreme values inflate the standard deviation. These outliers were kept, as they may represent genuine wholesale orders.</w:t>
      </w:r>
    </w:p>
    <w:p>
      <w:pPr>
        <w:pStyle w:val="BodyText"/>
        <w:bidi w:val="0"/>
        <w:ind w:hanging="0" w:start="0" w:end="0"/>
        <w:rPr/>
      </w:pPr>
      <w:r>
        <w:rPr/>
        <w:t>At order level, the 39,514 orders had a median value of £301 and a mean of £491. Non-UK orders were larger (median £421 vs £295), although the UK represented 92% of orders and 85% of revenue.</w:t>
      </w:r>
    </w:p>
    <w:p>
      <w:pPr>
        <w:pStyle w:val="BodyText"/>
        <w:bidi w:val="0"/>
        <w:ind w:hanging="0" w:start="0" w:end="0"/>
        <w:rPr/>
      </w:pPr>
      <w:r>
        <w:rPr/>
        <w:t>Figure 1 confirms the right skew of revenue. Figure 2 shows clear seasonality, with revenue peaking in November in both years, possibly because retailers buy stock before Christmas. Figure 3 shows that the main foreign markets are Ireland, the Netherlands and Germany.</w:t>
      </w:r>
    </w:p>
    <w:p>
      <w:pPr>
        <w:pStyle w:val="BodyText"/>
        <w:bidi w:val="0"/>
        <w:ind w:hanging="0" w:start="0" w:end="0"/>
        <w:rPr/>
      </w:pPr>
      <w:r>
        <w:rPr/>
      </w:r>
    </w:p>
    <w:p>
      <w:pPr>
        <w:pStyle w:val="BodyText"/>
        <w:bidi w:val="0"/>
        <w:ind w:hanging="0" w:start="0" w:end="0"/>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6174740" cy="2323465"/>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
                    <a:srcRect l="4990" t="0" r="0" b="0"/>
                    <a:stretch>
                      <a:fillRect/>
                    </a:stretch>
                  </pic:blipFill>
                  <pic:spPr bwMode="auto">
                    <a:xfrm>
                      <a:off x="0" y="0"/>
                      <a:ext cx="6174740" cy="2323465"/>
                    </a:xfrm>
                    <a:prstGeom prst="rect">
                      <a:avLst/>
                    </a:prstGeom>
                    <a:noFill/>
                  </pic:spPr>
                </pic:pic>
              </a:graphicData>
            </a:graphic>
          </wp:anchor>
        </w:drawing>
      </w:r>
    </w:p>
    <w:p>
      <w:pPr>
        <w:pStyle w:val="BodyText"/>
        <w:bidi w:val="0"/>
        <w:ind w:hanging="0" w:start="0" w:end="0"/>
        <w:rPr/>
      </w:pPr>
      <w:r>
        <w:rPr>
          <w:rStyle w:val="Strong"/>
          <w:b w:val="false"/>
          <w:bCs w:val="false"/>
        </w:rPr>
        <w:t xml:space="preserve">                               </w:t>
      </w:r>
      <w:r>
        <w:rPr>
          <w:rStyle w:val="Strong"/>
          <w:b w:val="false"/>
          <w:bCs w:val="false"/>
        </w:rPr>
        <w:t>Figure 1: Histogram of revenue per line (normal and log scale).</w:t>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drawing>
          <wp:anchor distT="0" distB="0" distL="0" distR="0" simplePos="0" relativeHeight="17" behindDoc="0" locked="0" layoutInCell="0" allowOverlap="1">
            <wp:simplePos x="0" y="0"/>
            <wp:positionH relativeFrom="column">
              <wp:posOffset>-12700</wp:posOffset>
            </wp:positionH>
            <wp:positionV relativeFrom="paragraph">
              <wp:posOffset>60325</wp:posOffset>
            </wp:positionV>
            <wp:extent cx="6180455" cy="2384425"/>
            <wp:effectExtent l="0" t="0" r="0" b="0"/>
            <wp:wrapSquare wrapText="largest"/>
            <wp:docPr id="1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pic:cNvPicPr>
                      <a:picLocks noChangeAspect="1" noChangeArrowheads="1"/>
                    </pic:cNvPicPr>
                  </pic:nvPicPr>
                  <pic:blipFill>
                    <a:blip r:embed="rId5"/>
                    <a:srcRect l="0" t="0" r="894" b="3681"/>
                    <a:stretch>
                      <a:fillRect/>
                    </a:stretch>
                  </pic:blipFill>
                  <pic:spPr bwMode="auto">
                    <a:xfrm>
                      <a:off x="0" y="0"/>
                      <a:ext cx="6180455" cy="2384425"/>
                    </a:xfrm>
                    <a:prstGeom prst="rect">
                      <a:avLst/>
                    </a:prstGeom>
                    <a:noFill/>
                  </pic:spPr>
                </pic:pic>
              </a:graphicData>
            </a:graphic>
          </wp:anchor>
        </w:drawing>
      </w:r>
    </w:p>
    <w:p>
      <w:pPr>
        <w:pStyle w:val="BodyText"/>
        <w:bidi w:val="0"/>
        <w:ind w:hanging="0" w:start="0" w:end="0"/>
        <w:rPr/>
      </w:pPr>
      <w:r>
        <w:rPr>
          <w:rStyle w:val="Strong"/>
          <w:b w:val="false"/>
          <w:bCs w:val="false"/>
        </w:rPr>
        <w:t xml:space="preserve">                                                   </w:t>
      </w:r>
      <w:r>
        <w:rPr>
          <w:rStyle w:val="Strong"/>
          <w:b w:val="false"/>
          <w:bCs w:val="false"/>
        </w:rPr>
        <w:t>Figure 2: Monthly revenue (2009–2011).</w:t>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drawing>
          <wp:anchor distT="0" distB="0" distL="0" distR="0" simplePos="0" relativeHeight="18" behindDoc="0" locked="0" layoutInCell="0" allowOverlap="1">
            <wp:simplePos x="0" y="0"/>
            <wp:positionH relativeFrom="column">
              <wp:posOffset>17145</wp:posOffset>
            </wp:positionH>
            <wp:positionV relativeFrom="paragraph">
              <wp:posOffset>-46355</wp:posOffset>
            </wp:positionV>
            <wp:extent cx="6067425" cy="3336290"/>
            <wp:effectExtent l="0" t="0" r="0" b="0"/>
            <wp:wrapSquare wrapText="largest"/>
            <wp:docPr id="1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pic:cNvPicPr>
                      <a:picLocks noChangeAspect="1" noChangeArrowheads="1"/>
                    </pic:cNvPicPr>
                  </pic:nvPicPr>
                  <pic:blipFill>
                    <a:blip r:embed="rId6"/>
                    <a:srcRect l="0" t="0" r="0" b="1744"/>
                    <a:stretch>
                      <a:fillRect/>
                    </a:stretch>
                  </pic:blipFill>
                  <pic:spPr bwMode="auto">
                    <a:xfrm>
                      <a:off x="0" y="0"/>
                      <a:ext cx="6067425" cy="3336290"/>
                    </a:xfrm>
                    <a:prstGeom prst="rect">
                      <a:avLst/>
                    </a:prstGeom>
                    <a:noFill/>
                  </pic:spPr>
                </pic:pic>
              </a:graphicData>
            </a:graphic>
          </wp:anchor>
        </w:drawing>
      </w:r>
    </w:p>
    <w:p>
      <w:pPr>
        <w:pStyle w:val="BodyText"/>
        <w:bidi w:val="0"/>
        <w:ind w:hanging="0" w:start="0" w:end="0"/>
        <w:rPr/>
      </w:pPr>
      <w:r>
        <w:rPr>
          <w:rStyle w:val="Strong"/>
          <w:b w:val="false"/>
          <w:bCs w:val="false"/>
        </w:rPr>
        <w:t xml:space="preserve">                                      </w:t>
      </w:r>
      <w:r>
        <w:rPr>
          <w:rStyle w:val="Strong"/>
          <w:b w:val="false"/>
          <w:bCs w:val="false"/>
        </w:rPr>
        <w:t>Figure 3: Top 10 countries outside the UK by revenue.</w:t>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Normal"/>
        <w:bidi w:val="0"/>
        <w:rPr/>
      </w:pPr>
      <w:r>
        <w:rPr/>
      </w:r>
    </w:p>
    <w:p>
      <w:pPr>
        <w:pStyle w:val="Heading1"/>
        <w:bidi w:val="0"/>
        <w:rPr/>
      </w:pPr>
      <w:bookmarkStart w:id="3" w:name="__RefHeading___Toc2399_3974005031"/>
      <w:bookmarkEnd w:id="3"/>
      <w:r>
        <w:rPr/>
        <w:t>Binomial Distribution</w:t>
      </w:r>
    </w:p>
    <w:p>
      <w:pPr>
        <w:pStyle w:val="BodyText"/>
        <w:bidi w:val="0"/>
        <w:rPr/>
      </w:pPr>
      <w:r>
        <w:rPr/>
        <w:t>The Binomial distribution was used to analyse invoice cancellations in the Online Retail II dataset. This distribution is suitable for modelling the number of cancellations in a fixed number of invoices, assuming that each invoice has two possible outcomes: cancelled or not cancelled (SciPy Community, 2026).</w:t>
      </w:r>
    </w:p>
    <w:p>
      <w:pPr>
        <w:pStyle w:val="BodyText"/>
        <w:bidi w:val="0"/>
        <w:rPr/>
      </w:pPr>
      <w:r>
        <w:rPr/>
        <w:t>The analysis identified 45,336 non-cancelled invoices and 8,292 cancelled invoices. Therefore, the estimated probability of cancellation was 15.46%.</w:t>
      </w:r>
    </w:p>
    <w:p>
      <w:pPr>
        <w:pStyle w:val="BodyText"/>
        <w:bidi w:val="0"/>
        <w:rPr/>
      </w:pPr>
      <w:r>
        <w:rPr/>
        <w:t>Using Python, the Binomial distribution was applied to a sample of 10 invoices. The probability of exactly two cancelled invoices was calculated using the probability mass function (PMF):</w:t>
      </w:r>
    </w:p>
    <w:p>
      <w:pPr>
        <w:pStyle w:val="BodyText"/>
        <w:bidi w:val="0"/>
        <w:rPr/>
      </w:pPr>
      <w:r>
        <w:rPr/>
        <w:t>Binomial probability formula:</w:t>
      </w:r>
    </w:p>
    <w:p>
      <w:pPr>
        <w:pStyle w:val="BodyText"/>
        <w:bidi w:val="0"/>
        <w:rPr/>
      </w:pPr>
      <w:r>
        <w:rPr/>
        <w:t>P(X = k) = C(n, k) × p^k × (1 − p)^(n − k)</w:t>
      </w:r>
    </w:p>
    <w:p>
      <w:pPr>
        <w:pStyle w:val="BodyText"/>
        <w:bidi w:val="0"/>
        <w:rPr/>
      </w:pPr>
      <w:r>
        <w:rPr/>
        <w:t>Where n is the number of invoices, k is the number of cancellations, and p is the probability of cancellation. In this analysis, n = 10, k = 2 and p = 0.1546.</w:t>
      </w:r>
    </w:p>
    <w:p>
      <w:pPr>
        <w:pStyle w:val="BodyText"/>
        <w:bidi w:val="0"/>
        <w:rPr/>
      </w:pPr>
      <w:r>
        <w:rPr/>
        <w:t>P(X = 2) = 0.2806 (28.06%).</w:t>
      </w:r>
    </w:p>
    <w:p>
      <w:pPr>
        <w:pStyle w:val="BodyText"/>
        <w:bidi w:val="0"/>
        <w:rPr/>
      </w:pPr>
      <w:r>
        <w:rPr/>
      </w:r>
    </w:p>
    <w:p>
      <w:pPr>
        <w:pStyle w:val="BodyText"/>
        <w:bidi w:val="0"/>
        <w:rPr/>
      </w:pPr>
      <w:r>
        <w:rPr/>
        <w:t>The cumulative distribution function (CDF) was also used to calculate the probability of having at most two cancelled invoices:</w:t>
      </w:r>
    </w:p>
    <w:p>
      <w:pPr>
        <w:pStyle w:val="BodyText"/>
        <w:bidi w:val="0"/>
        <w:rPr/>
      </w:pPr>
      <w:r>
        <w:rPr/>
        <w:t>P(X ≤ 2) = 0.8081 (80.81%).</w:t>
      </w:r>
    </w:p>
    <w:p>
      <w:pPr>
        <w:pStyle w:val="BodyText"/>
        <w:bidi w:val="0"/>
        <w:rPr/>
      </w:pPr>
      <w:r>
        <w:rPr/>
      </w:r>
    </w:p>
    <w:p>
      <w:pPr>
        <w:pStyle w:val="BodyText"/>
        <w:bidi w:val="0"/>
        <w:rPr/>
      </w:pPr>
      <w:r>
        <w:rPr/>
        <w:t>A probability distribution graph was created to visualise the possible number of cancellations. The results show that one cancellation is the most probable outcome among 10 invoices.</w:t>
      </w:r>
    </w:p>
    <w:p>
      <w:pPr>
        <w:pStyle w:val="BodyText"/>
        <w:bidi w:val="0"/>
        <w:rPr/>
      </w:pPr>
      <w:r>
        <w:rPr/>
        <w:t>However, the model assumes that invoice cancellations are independent and have the same probability. In real retail transactions, these assumptions may not always hold.</w:t>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drawing>
          <wp:anchor distT="0" distB="0" distL="0" distR="0" simplePos="0" relativeHeight="11" behindDoc="0" locked="0" layoutInCell="0" allowOverlap="1">
            <wp:simplePos x="0" y="0"/>
            <wp:positionH relativeFrom="column">
              <wp:posOffset>-80645</wp:posOffset>
            </wp:positionH>
            <wp:positionV relativeFrom="paragraph">
              <wp:posOffset>240030</wp:posOffset>
            </wp:positionV>
            <wp:extent cx="5950585" cy="3061335"/>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7"/>
                    <a:srcRect l="5014" t="24918" r="5014" b="24918"/>
                    <a:stretch>
                      <a:fillRect/>
                    </a:stretch>
                  </pic:blipFill>
                  <pic:spPr bwMode="auto">
                    <a:xfrm>
                      <a:off x="0" y="0"/>
                      <a:ext cx="5950585" cy="3061335"/>
                    </a:xfrm>
                    <a:prstGeom prst="rect">
                      <a:avLst/>
                    </a:prstGeom>
                    <a:noFill/>
                  </pic:spPr>
                </pic:pic>
              </a:graphicData>
            </a:graphic>
          </wp:anchor>
        </w:drawing>
      </w:r>
    </w:p>
    <w:p>
      <w:pPr>
        <w:pStyle w:val="Normal"/>
        <w:bidi w:val="0"/>
        <w:rPr/>
      </w:pPr>
      <w:r>
        <w:rPr/>
        <w:t xml:space="preserve">                              </w:t>
      </w:r>
      <w:r>
        <w:rPr/>
        <w:t>Figure 4: Binomial distribution of cancelled invoices (n = 10).</w:t>
      </w:r>
    </w:p>
    <w:p>
      <w:pPr>
        <w:pStyle w:val="Normal"/>
        <w:bidi w:val="0"/>
        <w:rPr/>
      </w:pPr>
      <w:r>
        <w:rPr/>
      </w:r>
    </w:p>
    <w:p>
      <w:pPr>
        <w:pStyle w:val="Normal"/>
        <w:bidi w:val="0"/>
        <w:rPr/>
      </w:pPr>
      <w:r>
        <w:rPr/>
      </w:r>
    </w:p>
    <w:p>
      <w:pPr>
        <w:pStyle w:val="Normal"/>
        <w:bidi w:val="0"/>
        <w:rPr/>
      </w:pPr>
      <w:r>
        <w:rPr/>
      </w:r>
    </w:p>
    <w:p>
      <w:pPr>
        <w:pStyle w:val="BlockQuotationuser"/>
        <w:bidi w:val="0"/>
        <w:ind w:hanging="0" w:start="0" w:end="567"/>
        <w:rPr/>
      </w:pPr>
      <w:r>
        <w:rPr/>
        <w:t>As the number of invoices increases, the Binomial distribution becomes more symmetrical and bell-shaped, approaching a Normal distribution.</w:t>
      </w:r>
    </w:p>
    <w:p>
      <w:pPr>
        <w:pStyle w:val="Normal"/>
        <w:bidi w:val="0"/>
        <w:rPr/>
      </w:pPr>
      <w:r>
        <w:rPr/>
      </w:r>
    </w:p>
    <w:p>
      <w:pPr>
        <w:pStyle w:val="Normal"/>
        <w:bidi w:val="0"/>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553835" cy="2661285"/>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8"/>
                    <a:stretch>
                      <a:fillRect/>
                    </a:stretch>
                  </pic:blipFill>
                  <pic:spPr bwMode="auto">
                    <a:xfrm>
                      <a:off x="0" y="0"/>
                      <a:ext cx="6553835" cy="2661285"/>
                    </a:xfrm>
                    <a:prstGeom prst="rect">
                      <a:avLst/>
                    </a:prstGeom>
                    <a:noFill/>
                  </pic:spPr>
                </pic:pic>
              </a:graphicData>
            </a:graphic>
          </wp:anchor>
        </w:drawing>
      </w:r>
    </w:p>
    <w:p>
      <w:pPr>
        <w:pStyle w:val="BlockQuotationuser"/>
        <w:bidi w:val="0"/>
        <w:ind w:hanging="0" w:start="0" w:end="567"/>
        <w:rPr/>
      </w:pPr>
      <w:r>
        <w:rPr>
          <w:rStyle w:val="Emphasis"/>
        </w:rPr>
        <w:t xml:space="preserve">                              </w:t>
      </w:r>
      <w:r>
        <w:rPr>
          <w:rStyle w:val="Emphasis"/>
          <w:i w:val="false"/>
          <w:iCs w:val="false"/>
        </w:rPr>
        <w:t>Figure 5: Binomial distribution for n = 10, 100 and 1000.</w:t>
      </w:r>
    </w:p>
    <w:p>
      <w:pPr>
        <w:pStyle w:val="Normal"/>
        <w:bidi w:val="0"/>
        <w:rPr/>
      </w:pPr>
      <w:r>
        <w:rPr/>
      </w:r>
    </w:p>
    <w:p>
      <w:pPr>
        <w:pStyle w:val="Normal"/>
        <w:bidi w:val="0"/>
        <w:rPr/>
      </w:pPr>
      <w:r>
        <w:rPr/>
      </w:r>
    </w:p>
    <w:p>
      <w:pPr>
        <w:pStyle w:val="Normal"/>
        <w:bidi w:val="0"/>
        <w:rPr/>
      </w:pPr>
      <w:r>
        <w:rPr/>
      </w:r>
    </w:p>
    <w:p>
      <w:pPr>
        <w:pStyle w:val="Heading1"/>
        <w:bidi w:val="0"/>
        <w:rPr/>
      </w:pPr>
      <w:bookmarkStart w:id="4" w:name="__RefHeading___Toc2401_3974005031"/>
      <w:bookmarkEnd w:id="4"/>
      <w:r>
        <w:rPr/>
        <w:t>Poisson Distribution</w:t>
      </w:r>
    </w:p>
    <w:p>
      <w:pPr>
        <w:pStyle w:val="BodyText"/>
        <w:bidi w:val="0"/>
        <w:rPr/>
      </w:pPr>
      <w:r>
        <w:rPr/>
        <w:t>The Poisson distribution was used to analyse the number of daily orders in the Online Retail II dataset. This distribution is appropriate for modelling the number of events occurring within a fixed time interval, assuming a constant average rate and independent events.</w:t>
      </w:r>
    </w:p>
    <w:p>
      <w:pPr>
        <w:pStyle w:val="BodyText"/>
        <w:bidi w:val="0"/>
        <w:rPr/>
      </w:pPr>
      <w:r>
        <w:rPr/>
        <w:t>Using Python, the average number of orders per day was calculated as 65.42. This value was used as the Poisson parameter (λ).</w:t>
      </w:r>
    </w:p>
    <w:p>
      <w:pPr>
        <w:pStyle w:val="BodyText"/>
        <w:bidi w:val="0"/>
        <w:rPr/>
      </w:pPr>
      <w:r>
        <w:rPr/>
        <w:t>The probability mass function (PMF) was applied to calculate the probability of observing exactly 65 orders in one day:</w:t>
      </w:r>
    </w:p>
    <w:p>
      <w:pPr>
        <w:pStyle w:val="BodyText"/>
        <w:bidi w:val="0"/>
        <w:rPr/>
      </w:pPr>
      <w:r>
        <w:rPr/>
        <w:t>Poisson probability formula:</w:t>
      </w:r>
    </w:p>
    <w:p>
      <w:pPr>
        <w:pStyle w:val="BodyText"/>
        <w:bidi w:val="0"/>
        <w:rPr/>
      </w:pPr>
      <w:r>
        <w:rPr/>
        <w:t>P(X = k) = (e^(−λ) × λ^k) / k!</w:t>
      </w:r>
    </w:p>
    <w:p>
      <w:pPr>
        <w:pStyle w:val="BodyText"/>
        <w:bidi w:val="0"/>
        <w:rPr/>
      </w:pPr>
      <w:r>
        <w:rPr/>
        <w:t>Where λ is the average number of orders per recorded day, k is the number of orders being studied, and e is a mathematical constant. In this analysis, λ = 65.42 and k = 65.</w:t>
      </w:r>
    </w:p>
    <w:p>
      <w:pPr>
        <w:pStyle w:val="BodyText"/>
        <w:bidi w:val="0"/>
        <w:rPr/>
      </w:pPr>
      <w:r>
        <w:rPr/>
        <w:t>P(X = 65) = 0.0494 (4.94%).</w:t>
      </w:r>
    </w:p>
    <w:p>
      <w:pPr>
        <w:pStyle w:val="BodyText"/>
        <w:bidi w:val="0"/>
        <w:rPr/>
      </w:pPr>
      <w:r>
        <w:rPr/>
      </w:r>
    </w:p>
    <w:p>
      <w:pPr>
        <w:pStyle w:val="BodyText"/>
        <w:bidi w:val="0"/>
        <w:rPr/>
      </w:pPr>
      <w:r>
        <w:rPr/>
        <w:t>A histogram of the observed daily orders was compared with the theoretical Poisson distribution. The graph showed that the actual data had a wider spread than the theoretical model.</w:t>
      </w:r>
    </w:p>
    <w:p>
      <w:pPr>
        <w:pStyle w:val="BodyText"/>
        <w:bidi w:val="0"/>
        <w:rPr/>
      </w:pPr>
      <w:r>
        <w:rPr/>
        <w:t>To investigate this difference, the mean and variance were compared:</w:t>
      </w:r>
    </w:p>
    <w:p>
      <w:pPr>
        <w:pStyle w:val="BodyText"/>
        <w:bidi w:val="0"/>
        <w:rPr/>
      </w:pPr>
      <w:r>
        <w:rPr/>
        <w:t>Mean = 65.42</w:t>
        <w:br/>
        <w:t>Variance = 598.34</w:t>
      </w:r>
    </w:p>
    <w:p>
      <w:pPr>
        <w:pStyle w:val="BodyText"/>
        <w:bidi w:val="0"/>
        <w:rPr/>
      </w:pPr>
      <w:r>
        <w:rPr/>
        <w:t>In a theoretical Poisson distribution, the mean and variance should be equal. However, the variance in our data was much higher than the mean. This is called overdispersion and means that daily orders varied more than the Poisson model expected.</w:t>
      </w:r>
    </w:p>
    <w:p>
      <w:pPr>
        <w:pStyle w:val="BodyText"/>
        <w:bidi w:val="0"/>
        <w:rPr/>
      </w:pPr>
      <w:r>
        <w:rPr/>
        <w:t>This suggests that the number of daily orders varies more than the Poisson model predicts. Factors such as weekdays, weekends and seasonal shopping patterns may contribute to this variation.</w:t>
      </w:r>
    </w:p>
    <w:p>
      <w:pPr>
        <w:pStyle w:val="BodyText"/>
        <w:bidi w:val="0"/>
        <w:rPr/>
      </w:pPr>
      <w:r>
        <w:rPr/>
        <w:t>Therefore, the Poisson distribution provides a useful theoretical comparison, but it does not perfectly represent the observed daily order counts.</w: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jc w:val="both"/>
        <w:rPr/>
      </w:pPr>
      <w:r>
        <w:rPr>
          <w:rStyle w:val="Strong"/>
        </w:rPr>
        <w:t xml:space="preserve">   </w:t>
      </w: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772150" cy="3157220"/>
            <wp:effectExtent l="0" t="0" r="0" b="0"/>
            <wp:wrapSquare wrapText="largest"/>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9"/>
                    <a:srcRect l="10017" t="20090" r="11360" b="31398"/>
                    <a:stretch>
                      <a:fillRect/>
                    </a:stretch>
                  </pic:blipFill>
                  <pic:spPr bwMode="auto">
                    <a:xfrm>
                      <a:off x="0" y="0"/>
                      <a:ext cx="5772150" cy="3157220"/>
                    </a:xfrm>
                    <a:prstGeom prst="rect">
                      <a:avLst/>
                    </a:prstGeom>
                    <a:noFill/>
                  </pic:spPr>
                </pic:pic>
              </a:graphicData>
            </a:graphic>
          </wp:anchor>
        </w:drawing>
      </w:r>
      <w:r>
        <w:rPr>
          <w:rStyle w:val="Strong"/>
        </w:rPr>
        <w:t xml:space="preserve">              </w:t>
      </w:r>
    </w:p>
    <w:p>
      <w:pPr>
        <w:pStyle w:val="Normal"/>
        <w:bidi w:val="0"/>
        <w:jc w:val="both"/>
        <w:rPr/>
      </w:pPr>
      <w:r>
        <w:rPr>
          <w:rStyle w:val="Strong"/>
        </w:rPr>
        <w:t xml:space="preserve">                 </w:t>
      </w:r>
      <w:r>
        <w:rPr/>
        <w:t>Figure 6: Comparison of observed daily orders and the theoretical Poisson distribution.</w:t>
      </w:r>
    </w:p>
    <w:p>
      <w:pPr>
        <w:pStyle w:val="Normal"/>
        <w:bidi w:val="0"/>
        <w:jc w:val="both"/>
        <w:rPr/>
      </w:pPr>
      <w:r>
        <w:rPr/>
      </w:r>
    </w:p>
    <w:p>
      <w:pPr>
        <w:pStyle w:val="Heading1"/>
        <w:bidi w:val="0"/>
        <w:rPr/>
      </w:pPr>
      <w:bookmarkStart w:id="5" w:name="__RefHeading___Toc2403_3974005031"/>
      <w:bookmarkEnd w:id="5"/>
      <w:r>
        <w:rPr/>
        <w:t>Normal Distribution</w:t>
      </w:r>
    </w:p>
    <w:p>
      <w:pPr>
        <w:pStyle w:val="BodyText"/>
        <w:bidi w:val="0"/>
        <w:rPr/>
      </w:pPr>
      <w:r>
        <w:rPr/>
        <w:t>The Normal distribution was investigated using the unit prices in the Online Retail II dataset. This distribution is commonly used to describe continuous numerical variables that follow a symmetrical, bell-shaped pattern.</w:t>
      </w:r>
    </w:p>
    <w:p>
      <w:pPr>
        <w:pStyle w:val="BodyText"/>
        <w:bidi w:val="0"/>
        <w:rPr/>
      </w:pPr>
      <w:r>
        <w:rPr/>
        <w:t>Python was used to calculate the mean, standard deviation and skewness of the positive unit prices. The results were:</w:t>
      </w:r>
    </w:p>
    <w:p>
      <w:pPr>
        <w:pStyle w:val="BodyText"/>
        <w:bidi w:val="0"/>
        <w:rPr/>
      </w:pPr>
      <w:r>
        <w:rPr/>
        <w:t>Mean = 4.80</w:t>
        <w:br/>
        <w:t>Standard deviation = 93.11</w:t>
        <w:br/>
        <w:t>Skewness = 182.74</w:t>
      </w:r>
    </w:p>
    <w:p>
      <w:pPr>
        <w:pStyle w:val="BodyText"/>
        <w:bidi w:val="0"/>
        <w:rPr/>
      </w:pPr>
      <w:r>
        <w:rPr/>
        <w:t>The extremely high positive skewness indicates that most unit prices are relatively low, while a small number of observations have exceptionally high values.</w:t>
      </w:r>
    </w:p>
    <w:p>
      <w:pPr>
        <w:pStyle w:val="BodyText"/>
        <w:bidi w:val="0"/>
        <w:rPr/>
      </w:pPr>
      <w:r>
        <w:rPr/>
        <w:t>A histogram was created to compare the observed prices with a theoretical Normal distribution. For clearer visualisation, the graph displayed prices up to the 99th percentile (18.68).</w:t>
      </w:r>
    </w:p>
    <w:p>
      <w:pPr>
        <w:pStyle w:val="BodyText"/>
        <w:bidi w:val="0"/>
        <w:rPr/>
      </w:pPr>
      <w:r>
        <w:rPr/>
      </w:r>
    </w:p>
    <w:p>
      <w:pPr>
        <w:pStyle w:val="BodyText"/>
        <w:bidi w:val="0"/>
        <w:rPr/>
      </w:pPr>
      <w:r>
        <w:rPr/>
      </w:r>
    </w:p>
    <w:p>
      <w:pPr>
        <w:pStyle w:val="BodyText"/>
        <w:bidi w:val="0"/>
        <w:rPr/>
      </w:pPr>
      <w:r>
        <w:rPr/>
        <w:t>The observed prices did not follow the symmetrical shape of the Normal curve. Instead, the distribution was concentrated at lower values and extended towards higher prices.</w:t>
      </w:r>
    </w:p>
    <w:p>
      <w:pPr>
        <w:pStyle w:val="BodyText"/>
        <w:bidi w:val="0"/>
        <w:rPr/>
      </w:pPr>
      <w:r>
        <w:rPr/>
        <w:t>The Empirical Rule was also examined. In a Normal distribution, approximately 68%, 95% and 99.7% of observations fall within one, two and three standard deviations of the mean.</w:t>
      </w:r>
    </w:p>
    <w:p>
      <w:pPr>
        <w:pStyle w:val="BodyText"/>
        <w:bidi w:val="0"/>
        <w:rPr/>
      </w:pPr>
      <w:r>
        <w:rPr/>
        <w:t>However, the observed percentages were 99.81%, 99.88% and 99.92%, respectively.</w:t>
      </w:r>
    </w:p>
    <w:p>
      <w:pPr>
        <w:pStyle w:val="BodyText"/>
        <w:bidi w:val="0"/>
        <w:rPr/>
      </w:pPr>
      <w:r>
        <w:rPr/>
        <w:t>These differences, together with the histogram and high skewness, suggest that unit prices are not well represented by a Normal distribution.</w:t>
      </w:r>
    </w:p>
    <w:p>
      <w:pPr>
        <w:pStyle w:val="BodyText"/>
        <w:bidi w:val="0"/>
        <w:rPr/>
      </w:pPr>
      <w:r>
        <w:rPr/>
      </w:r>
    </w:p>
    <w:p>
      <w:pPr>
        <w:pStyle w:val="BodyText"/>
        <w:bidi w:val="0"/>
        <w:rPr/>
      </w:pPr>
      <w:r>
        <w:rPr/>
      </w:r>
    </w:p>
    <w:p>
      <w:pPr>
        <w:pStyle w:val="BodyText"/>
        <w:bidi w:val="0"/>
        <w:rPr/>
      </w:pPr>
      <w:r>
        <w:rPr/>
      </w:r>
    </w:p>
    <w:p>
      <w:pPr>
        <w:pStyle w:val="BodyText"/>
        <w:bidi w:val="0"/>
        <w:rPr/>
      </w:pPr>
      <w:r>
        <w:drawing>
          <wp:anchor distT="0" distB="0" distL="0" distR="0" simplePos="0" relativeHeight="13" behindDoc="0" locked="0" layoutInCell="0" allowOverlap="1">
            <wp:simplePos x="0" y="0"/>
            <wp:positionH relativeFrom="column">
              <wp:posOffset>91440</wp:posOffset>
            </wp:positionH>
            <wp:positionV relativeFrom="paragraph">
              <wp:posOffset>160020</wp:posOffset>
            </wp:positionV>
            <wp:extent cx="5729605" cy="3919220"/>
            <wp:effectExtent l="0" t="0" r="0" b="0"/>
            <wp:wrapSquare wrapText="largest"/>
            <wp:docPr id="1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pic:cNvPicPr>
                      <a:picLocks noChangeAspect="1" noChangeArrowheads="1"/>
                    </pic:cNvPicPr>
                  </pic:nvPicPr>
                  <pic:blipFill>
                    <a:blip r:embed="rId10"/>
                    <a:srcRect l="9981" t="23351" r="9981" b="27157"/>
                    <a:stretch>
                      <a:fillRect/>
                    </a:stretch>
                  </pic:blipFill>
                  <pic:spPr bwMode="auto">
                    <a:xfrm>
                      <a:off x="0" y="0"/>
                      <a:ext cx="5729605" cy="3919220"/>
                    </a:xfrm>
                    <a:prstGeom prst="rect">
                      <a:avLst/>
                    </a:prstGeom>
                    <a:noFill/>
                  </pic:spPr>
                </pic:pic>
              </a:graphicData>
            </a:graphic>
          </wp:anchor>
        </w:drawing>
      </w:r>
      <w:r>
        <w:rPr/>
        <w:t xml:space="preserve">                   </w:t>
      </w:r>
    </w:p>
    <w:p>
      <w:pPr>
        <w:pStyle w:val="BodyText"/>
        <w:bidi w:val="0"/>
        <w:jc w:val="both"/>
        <w:rPr/>
      </w:pPr>
      <w:r>
        <w:rPr/>
        <w:t>Figure 7: Comparison of observed unit prices and the theoretical Normal distribution (up to the 99th percentile).</w:t>
      </w:r>
    </w:p>
    <w:p>
      <w:pPr>
        <w:pStyle w:val="BodyText"/>
        <w:bidi w:val="0"/>
        <w:jc w:val="both"/>
        <w:rPr/>
      </w:pPr>
      <w:r>
        <w:rPr/>
      </w:r>
    </w:p>
    <w:p>
      <w:pPr>
        <w:pStyle w:val="BodyText"/>
        <w:bidi w:val="0"/>
        <w:rPr/>
      </w:pPr>
      <w:r>
        <w:rPr/>
      </w:r>
    </w:p>
    <w:p>
      <w:pPr>
        <w:pStyle w:val="BodyText"/>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Heading1"/>
        <w:bidi w:val="0"/>
        <w:spacing w:before="0" w:after="0"/>
        <w:rPr>
          <w:vanish/>
          <w:specVanish/>
        </w:rPr>
      </w:pPr>
      <w:bookmarkStart w:id="6" w:name="__RefHeading___Toc2391_3974005031"/>
      <w:bookmarkEnd w:id="6"/>
      <w:r>
        <w:rPr/>
        <w:t>Discussion and Justification of Distributions</w:t>
      </w:r>
    </w:p>
    <w:p>
      <w:pPr>
        <w:pStyle w:val="Heading2"/>
        <w:bidi w:val="0"/>
        <w:rPr/>
      </w:pPr>
      <w:r/>
      <w:r>
        <w:rPr/>
      </w:r>
      <w:r>
        <w:rPr/>
        <w:t xml:space="preserve"> </w:t>
      </w:r>
    </w:p>
    <w:p>
      <w:pPr>
        <w:pStyle w:val="BodyText"/>
        <w:bidi w:val="0"/>
        <w:rPr/>
      </w:pPr>
      <w:r>
        <w:rPr/>
        <w:t>Statistical distributions are important in data analytics because they help describe patterns, estimate probabilities and evaluate uncertainty (Illowsky and Dean, 2023). However, selecting a distribution requires understanding the type of variable and checking whether the assumptions of the model are reasonable.</w:t>
      </w:r>
    </w:p>
    <w:p>
      <w:pPr>
        <w:pStyle w:val="BodyText"/>
        <w:bidi w:val="0"/>
        <w:rPr/>
      </w:pPr>
      <w:r>
        <w:rPr/>
        <w:t>The Binomial distribution was selected to analyse invoice cancellations because each invoice can be classified into two possible outcomes: cancelled or not cancelled. The observed cancellation probability was approximately 15.46%. The Binomial model assumes that cancellation outcomes are independent and that the probability remains constant. These assumptions may not always hold because customer behaviour and business conditions can change over time.</w:t>
      </w:r>
    </w:p>
    <w:p>
      <w:pPr>
        <w:pStyle w:val="BodyText"/>
        <w:bidi w:val="0"/>
        <w:rPr/>
      </w:pPr>
      <w:r>
        <w:rPr/>
        <w:t>The Poisson distribution was selected to model the number of orders recorded per day. It is appropriate for counting events within a fixed period. However, the observed variance (598.34) was much higher than the mean (65.42), indicating that the actual order counts were more variable than a theoretical Poisson distribution would predict.</w:t>
      </w:r>
    </w:p>
    <w:p>
      <w:pPr>
        <w:pStyle w:val="BodyText"/>
        <w:bidi w:val="0"/>
        <w:rPr/>
      </w:pPr>
      <w:r>
        <w:rPr/>
        <w:t>The Normal distribution was investigated using unit prices because prices are continuous numerical measurements. Nevertheless, the very high positive skewness (182.74) and the histogram showed that the data were not normally distributed.</w:t>
      </w:r>
    </w:p>
    <w:p>
      <w:pPr>
        <w:pStyle w:val="BodyText"/>
        <w:bidi w:val="0"/>
        <w:rPr/>
      </w:pPr>
      <w:r>
        <w:rPr/>
        <w:t>Discrete variables can sometimes be approximated using a Normal distribution. For the Binomial distribution, this approximation becomes more appropriate when both np and n(1 − p) are sufficiently large. A Poisson distribution can also approach a Normal shape when its mean increases. However, a large sample does not automatically make the original data normally distributed.</w:t>
      </w:r>
    </w:p>
    <w:p>
      <w:pPr>
        <w:pStyle w:val="BodyText"/>
        <w:bidi w:val="0"/>
        <w:rPr/>
      </w:pPr>
      <w:r>
        <w:rPr/>
        <w:t>Overall, these results demonstrate that statistical models are useful for analysis, but their assumptions and limitations must be considered before interpreting probabilities or making business decisions.</w:t>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BodyText"/>
        <w:bidi w:val="0"/>
        <w:rPr/>
      </w:pPr>
      <w:r>
        <w:rPr/>
      </w:r>
    </w:p>
    <w:p>
      <w:pPr>
        <w:pStyle w:val="Heading1"/>
        <w:bidi w:val="0"/>
        <w:spacing w:before="0" w:after="0"/>
        <w:rPr>
          <w:vanish/>
          <w:specVanish/>
        </w:rPr>
      </w:pPr>
      <w:bookmarkStart w:id="7" w:name="__RefHeading___Toc2393_3974005031"/>
      <w:bookmarkEnd w:id="7"/>
      <w:r>
        <w:rPr/>
        <w:t>Conclusion</w:t>
      </w:r>
    </w:p>
    <w:p>
      <w:pPr>
        <w:pStyle w:val="Heading2"/>
        <w:bidi w:val="0"/>
        <w:rPr/>
      </w:pPr>
      <w:r/>
      <w:r>
        <w:rPr/>
      </w:r>
      <w:r>
        <w:rPr/>
        <w:t xml:space="preserve"> </w:t>
      </w:r>
    </w:p>
    <w:p>
      <w:pPr>
        <w:pStyle w:val="BodyText"/>
        <w:bidi w:val="0"/>
        <w:rPr/>
      </w:pPr>
      <w:r>
        <w:rPr/>
        <w:t>This assignment applied descriptive statistics and probability distributions to the Online Retail II dataset using Python. The analysis demonstrated how statistical techniques can be used to explore business transactions, identify patterns and estimate probabilities.</w:t>
      </w:r>
    </w:p>
    <w:p>
      <w:pPr>
        <w:pStyle w:val="BodyText"/>
        <w:bidi w:val="0"/>
        <w:rPr/>
      </w:pPr>
      <w:r>
        <w:rPr/>
        <w:t>The Binomial distribution was used to investigate invoice cancellations, while the Poisson distribution was applied to daily order counts. Both models provided useful insights, although their assumptions limited how accurately they represented the observed data.</w:t>
      </w:r>
    </w:p>
    <w:p>
      <w:pPr>
        <w:pStyle w:val="BodyText"/>
        <w:bidi w:val="0"/>
        <w:rPr/>
      </w:pPr>
      <w:r>
        <w:rPr/>
        <w:t>The Normal distribution was examined using unit prices. The results revealed substantial positive skewness, demonstrating that the prices did not follow a symmetrical Normal distribution.</w:t>
      </w:r>
    </w:p>
    <w:p>
      <w:pPr>
        <w:pStyle w:val="BodyText"/>
        <w:bidi w:val="0"/>
        <w:rPr/>
      </w:pPr>
      <w:r>
        <w:rPr/>
        <w:t>Overall, the analysis highlighted the importance of selecting appropriate statistical models, interpreting numerical results critically and recognising the limitations of theoretical distributions when working with real-world datasets.</w:t>
      </w:r>
    </w:p>
    <w:p>
      <w:pPr>
        <w:pStyle w:val="BodyText"/>
        <w:bidi w:val="0"/>
        <w:rPr/>
      </w:pPr>
      <w:r>
        <w:rPr/>
      </w:r>
      <w:r>
        <w:br w:type="page"/>
      </w:r>
    </w:p>
    <w:p>
      <w:pPr>
        <w:pStyle w:val="Heading1"/>
        <w:bidi w:val="0"/>
        <w:rPr/>
      </w:pPr>
      <w:bookmarkStart w:id="8" w:name="__RefHeading___Toc2520_3974005031"/>
      <w:bookmarkEnd w:id="8"/>
      <w:r>
        <w:rPr/>
        <w:t>References</w:t>
      </w:r>
    </w:p>
    <w:p>
      <w:pPr>
        <w:pStyle w:val="BodyText"/>
        <w:bidi w:val="0"/>
        <w:rPr/>
      </w:pPr>
      <w:r>
        <w:rPr>
          <w:color w:val="000000"/>
        </w:rPr>
        <w:t xml:space="preserve">Chen, D. (2012) </w:t>
      </w:r>
      <w:r>
        <w:rPr>
          <w:rStyle w:val="Emphasis"/>
          <w:color w:val="000000"/>
        </w:rPr>
        <w:t>Online Retail II</w:t>
      </w:r>
      <w:r>
        <w:rPr>
          <w:color w:val="000000"/>
        </w:rPr>
        <w:t xml:space="preserve"> [Dataset]. UCI Machine Learning Repository. Available at: </w:t>
      </w:r>
      <w:hyperlink r:id="rId11">
        <w:r>
          <w:rPr>
            <w:rStyle w:val="Hyperlink"/>
            <w:color w:val="000000"/>
          </w:rPr>
          <w:t>https://doi.org/10.24432/C5CG6D</w:t>
        </w:r>
      </w:hyperlink>
      <w:r>
        <w:rPr>
          <w:color w:val="000000"/>
        </w:rPr>
        <w:t xml:space="preserve"> (Accessed: 1 November 2026).</w:t>
      </w:r>
    </w:p>
    <w:p>
      <w:pPr>
        <w:pStyle w:val="BodyText"/>
        <w:bidi w:val="0"/>
        <w:rPr/>
      </w:pPr>
      <w:r>
        <w:rPr>
          <w:color w:val="000000"/>
        </w:rPr>
        <w:t xml:space="preserve">Illowsky, B. and Dean, S. (2023) </w:t>
      </w:r>
      <w:r>
        <w:rPr>
          <w:rStyle w:val="Emphasis"/>
          <w:color w:val="000000"/>
        </w:rPr>
        <w:t>Introductory Statistics 2e</w:t>
      </w:r>
      <w:r>
        <w:rPr>
          <w:color w:val="000000"/>
        </w:rPr>
        <w:t xml:space="preserve">. Houston, TX: OpenStax. Available at: </w:t>
      </w:r>
      <w:hyperlink r:id="rId12">
        <w:r>
          <w:rPr>
            <w:rStyle w:val="Hyperlink"/>
            <w:color w:val="000000"/>
          </w:rPr>
          <w:t>https://openstax.org/books/introductory-statistics-2e/pages/1-introduction</w:t>
        </w:r>
      </w:hyperlink>
      <w:r>
        <w:rPr>
          <w:color w:val="000000"/>
        </w:rPr>
        <w:t xml:space="preserve"> (Accessed: 1 November 2026).</w:t>
      </w:r>
    </w:p>
    <w:p>
      <w:pPr>
        <w:pStyle w:val="BodyText"/>
        <w:bidi w:val="0"/>
        <w:rPr/>
      </w:pPr>
      <w:r>
        <w:rPr>
          <w:color w:val="000000"/>
        </w:rPr>
        <w:t xml:space="preserve">McKinney, W. (2010) ‘Data structures for statistical computing in Python’, </w:t>
      </w:r>
      <w:r>
        <w:rPr>
          <w:rStyle w:val="Emphasis"/>
          <w:color w:val="000000"/>
        </w:rPr>
        <w:t>Proceedings of the 9th Python in Science Conference</w:t>
      </w:r>
      <w:r>
        <w:rPr>
          <w:color w:val="000000"/>
        </w:rPr>
        <w:t>, pp. 56–61.</w:t>
      </w:r>
    </w:p>
    <w:p>
      <w:pPr>
        <w:pStyle w:val="BodyText"/>
        <w:bidi w:val="0"/>
        <w:rPr/>
      </w:pPr>
      <w:r>
        <w:rPr>
          <w:color w:val="000000"/>
        </w:rPr>
        <w:t xml:space="preserve">SciPy Community (2026) </w:t>
      </w:r>
      <w:r>
        <w:rPr>
          <w:rStyle w:val="Emphasis"/>
          <w:color w:val="000000"/>
        </w:rPr>
        <w:t>Statistical functions (scipy.stats)</w:t>
      </w:r>
      <w:r>
        <w:rPr>
          <w:color w:val="000000"/>
        </w:rPr>
        <w:t xml:space="preserve">. Available at: </w:t>
      </w:r>
      <w:hyperlink r:id="rId13">
        <w:r>
          <w:rPr>
            <w:rStyle w:val="Hyperlink"/>
            <w:color w:val="000000"/>
          </w:rPr>
          <w:t>https://docs.scipy.org/doc/scipy/reference/stats.html</w:t>
        </w:r>
      </w:hyperlink>
      <w:r>
        <w:rPr>
          <w:color w:val="000000"/>
        </w:rPr>
        <w:t xml:space="preserve"> (Accessed: 1 November 2026).</w:t>
      </w:r>
    </w:p>
    <w:p>
      <w:pPr>
        <w:pStyle w:val="BodyText"/>
        <w:bidi w:val="0"/>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Arial">
    <w:charset w:val="01"/>
    <w:family w:val="swiss"/>
    <w:pitch w:val="variable"/>
  </w:font>
</w:fonts>
</file>

<file path=word/settings.xml><?xml version="1.0" encoding="utf-8"?>
<w:settings xmlns:w="http://schemas.openxmlformats.org/wordprocessingml/2006/main">
  <w:zoom w:percent="65"/>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I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IE" w:eastAsia="zh-CN" w:bidi="hi-IN"/>
    </w:rPr>
  </w:style>
  <w:style w:type="paragraph" w:styleId="Heading1">
    <w:name w:val="heading 1"/>
    <w:basedOn w:val="Normal"/>
    <w:next w:val="Normal"/>
    <w:qFormat/>
    <w:pPr>
      <w:keepNext w:val="true"/>
      <w:keepLines/>
      <w:spacing w:before="360" w:after="80"/>
      <w:outlineLvl w:val="0"/>
    </w:pPr>
    <w:rPr>
      <w:rFonts w:ascii="Arial" w:hAnsi="Arial" w:eastAsia="DejaVu Sans" w:cs="DejaVu Sans" w:asciiTheme="majorHAnsi" w:cstheme="majorBidi" w:eastAsiaTheme="majorEastAsia" w:hAnsiTheme="majorHAnsi"/>
      <w:color w:themeColor="accent1" w:themeShade="bf" w:val="0F4761"/>
      <w:sz w:val="40"/>
      <w:szCs w:val="40"/>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4">
    <w:name w:val="heading 4"/>
    <w:basedOn w:val="Heading"/>
    <w:next w:val="BodyText"/>
    <w:qFormat/>
    <w:pPr>
      <w:spacing w:before="120" w:after="120"/>
      <w:outlineLvl w:val="3"/>
    </w:pPr>
    <w:rPr>
      <w:rFonts w:ascii="Liberation Serif" w:hAnsi="Liberation Serif" w:eastAsia="NSimSun" w:cs="Lucida Sans"/>
      <w:b/>
      <w:bCs/>
      <w:sz w:val="24"/>
      <w:szCs w:val="24"/>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character" w:styleId="Hyperlink">
    <w:name w:val="Hyperlink"/>
    <w:rPr>
      <w:color w:val="000080"/>
      <w:u w:val="single"/>
    </w:rPr>
  </w:style>
  <w:style w:type="character" w:styleId="Strong">
    <w:name w:val="Strong"/>
    <w:qFormat/>
    <w:rPr>
      <w:b/>
      <w:bCs/>
    </w:rPr>
  </w:style>
  <w:style w:type="character" w:styleId="IndexLink">
    <w:name w:val="Index Link"/>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lockQuotationuser">
    <w:name w:val="Block Quotation (user)"/>
    <w:basedOn w:val="Normal"/>
    <w:qFormat/>
    <w:pPr>
      <w:spacing w:before="0" w:after="283"/>
      <w:ind w:hanging="0" w:start="567" w:end="567"/>
    </w:pPr>
    <w:rPr/>
  </w:style>
  <w:style w:type="paragraph" w:styleId="FrameContents">
    <w:name w:val="Frame Contents"/>
    <w:basedOn w:val="Normal"/>
    <w:pPr/>
    <w:rPr/>
  </w:style>
  <w:style w:type="paragraph" w:styleId="BlockQuotation">
    <w:name w:val="Block Quotation"/>
    <w:basedOn w:val="Normal"/>
    <w:pPr>
      <w:spacing w:before="0" w:after="283"/>
      <w:ind w:hanging="0" w:start="567" w:end="567"/>
    </w:pPr>
    <w:rPr/>
  </w:style>
  <w:style w:type="paragraph" w:styleId="HeaderandFooter">
    <w:name w:val="Header and Footer"/>
    <w:basedOn w:val="Normal"/>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pPr>
      <w:suppressLineNumbers/>
      <w:ind w:hanging="0" w:start="0"/>
    </w:pPr>
    <w:rPr>
      <w:b/>
      <w:bCs/>
      <w:sz w:val="32"/>
      <w:szCs w:val="32"/>
    </w:rPr>
  </w:style>
  <w:style w:type="paragraph" w:styleId="Subtitle">
    <w:name w:val="Subtitle"/>
    <w:basedOn w:val="Heading"/>
    <w:next w:val="BodyText"/>
    <w:pPr>
      <w:spacing w:before="60" w:after="120"/>
      <w:jc w:val="center"/>
    </w:pPr>
    <w:rPr>
      <w:sz w:val="36"/>
      <w:szCs w:val="36"/>
    </w:rPr>
  </w:style>
  <w:style w:type="paragraph" w:styleId="TOC1">
    <w:name w:val="toc 1"/>
    <w:basedOn w:val="Index"/>
    <w:pPr>
      <w:tabs>
        <w:tab w:val="clear" w:pos="709"/>
        <w:tab w:val="right" w:pos="9638" w:leader="dot"/>
      </w:tabs>
      <w:ind w:hanging="0" w:star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doi.org/10.24432/C5CG6D" TargetMode="External"/><Relationship Id="rId12" Type="http://schemas.openxmlformats.org/officeDocument/2006/relationships/hyperlink" Target="https://openstax.org/books/introductory-statistics-2e/pages/1-introduction" TargetMode="External"/><Relationship Id="rId13" Type="http://schemas.openxmlformats.org/officeDocument/2006/relationships/hyperlink" Target="https://docs.scipy.org/doc/scipy/reference/stats.html" TargetMode="Externa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203</TotalTime>
  <Application>LibreOffice/26.8.1.1$Windows_X86_64 LibreOffice_project/bf6ef2662401c7d6dce671ab4deb26ee0af3a7c1</Application>
  <AppVersion>15.0000</AppVersion>
  <Pages>15</Pages>
  <Words>1945</Words>
  <Characters>11534</Characters>
  <CharactersWithSpaces>13633</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2026-11-01T14:38:23Z</dcterms:created>
  <dc:creator/>
  <dc:description/>
  <dc:language>en-IE</dc:language>
  <cp:lastModifiedBy/>
  <dcterms:modified xsi:type="dcterms:W3CDTF">2026-11-01T20:02:35Z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