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智能消防无人机配置分析报告</w:t>
      </w:r>
    </w:p>
    <w:p>
      <w:pPr>
        <w:jc w:val="center"/>
      </w:pPr>
      <w:r>
        <w:t>生成时间: 2025年11月13日 08:47:50</w:t>
      </w:r>
    </w:p>
    <w:p/>
    <w:p>
      <w:pPr>
        <w:pStyle w:val="Heading1"/>
      </w:pPr>
      <w:r>
        <w:t>一、设备配置推荐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设备类型</w:t>
            </w:r>
          </w:p>
        </w:tc>
        <w:tc>
          <w:tcPr>
            <w:tcW w:type="dxa" w:w="4320"/>
          </w:tcPr>
          <w:p>
            <w:r>
              <w:t>推荐数量</w:t>
            </w:r>
          </w:p>
        </w:tc>
      </w:tr>
      <w:tr>
        <w:tc>
          <w:tcPr>
            <w:tcW w:type="dxa" w:w="4320"/>
          </w:tcPr>
          <w:p>
            <w:r>
              <w:t>SSA无人机</w:t>
            </w:r>
          </w:p>
        </w:tc>
        <w:tc>
          <w:tcPr>
            <w:tcW w:type="dxa" w:w="4320"/>
          </w:tcPr>
          <w:p>
            <w:r>
              <w:t>14 架</w:t>
            </w:r>
          </w:p>
        </w:tc>
      </w:tr>
      <w:tr>
        <w:tc>
          <w:tcPr>
            <w:tcW w:type="dxa" w:w="4320"/>
          </w:tcPr>
          <w:p>
            <w:r>
              <w:t>中继无人机</w:t>
            </w:r>
          </w:p>
        </w:tc>
        <w:tc>
          <w:tcPr>
            <w:tcW w:type="dxa" w:w="4320"/>
          </w:tcPr>
          <w:p>
            <w:r>
              <w:t>8 架</w:t>
            </w:r>
          </w:p>
        </w:tc>
      </w:tr>
    </w:tbl>
    <w:p/>
    <w:p>
      <w:pPr>
        <w:pStyle w:val="Heading1"/>
      </w:pPr>
      <w:r>
        <w:t>二、投资分析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SSA无人机投资</w:t>
            </w:r>
          </w:p>
        </w:tc>
        <w:tc>
          <w:tcPr>
            <w:tcW w:type="dxa" w:w="4320"/>
          </w:tcPr>
          <w:p>
            <w:r>
              <w:t>$1,120,000</w:t>
            </w:r>
          </w:p>
        </w:tc>
      </w:tr>
      <w:tr>
        <w:tc>
          <w:tcPr>
            <w:tcW w:type="dxa" w:w="4320"/>
          </w:tcPr>
          <w:p>
            <w:r>
              <w:t>中继无人机投资</w:t>
            </w:r>
          </w:p>
        </w:tc>
        <w:tc>
          <w:tcPr>
            <w:tcW w:type="dxa" w:w="4320"/>
          </w:tcPr>
          <w:p>
            <w:r>
              <w:t>$200,000</w:t>
            </w:r>
          </w:p>
        </w:tc>
      </w:tr>
      <w:tr>
        <w:tc>
          <w:tcPr>
            <w:tcW w:type="dxa" w:w="4320"/>
          </w:tcPr>
          <w:p>
            <w:r>
              <w:t>总投资</w:t>
            </w:r>
          </w:p>
        </w:tc>
        <w:tc>
          <w:tcPr>
            <w:tcW w:type="dxa" w:w="4320"/>
          </w:tcPr>
          <w:p>
            <w:r>
              <w:t>$631,932</w:t>
            </w:r>
          </w:p>
        </w:tc>
      </w:tr>
    </w:tbl>
    <w:p/>
    <w:p>
      <w:pPr>
        <w:pStyle w:val="Heading1"/>
      </w:pPr>
      <w:r>
        <w:t>三、需求分析</w:t>
      </w:r>
    </w:p>
    <w:p>
      <w:r>
        <w:t>SSA无人机峰值需求: 6.3 架</w:t>
        <w:br/>
      </w:r>
      <w:r>
        <w:t>中继无人机峰值需求: 6.9 架</w:t>
        <w:br/>
      </w:r>
      <w:r>
        <w:t>安全系数: 1.2</w:t>
      </w:r>
    </w:p>
    <w:p/>
    <w:p>
      <w:pPr>
        <w:pStyle w:val="Heading1"/>
      </w:pPr>
      <w:r>
        <w:t>四、安全裕度</w:t>
      </w:r>
    </w:p>
    <w:p>
      <w:r>
        <w:t>SSA安全系数: 2.23</w:t>
        <w:br/>
      </w:r>
      <w:r>
        <w:t>中继安全系数: 1.16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