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4D87" w14:textId="77777777" w:rsidR="00AB1B22" w:rsidRPr="00AB1B22" w:rsidRDefault="00AB1B22" w:rsidP="00AB1B22">
      <w:pPr>
        <w:widowControl/>
        <w:spacing w:before="795" w:after="0" w:line="240" w:lineRule="auto"/>
        <w:jc w:val="center"/>
        <w:rPr>
          <w:rFonts w:ascii="Helvetica" w:eastAsia="宋体" w:hAnsi="Helvetica" w:cs="宋体"/>
          <w:color w:val="0066CC"/>
          <w:kern w:val="0"/>
          <w:sz w:val="36"/>
          <w:szCs w:val="36"/>
          <w14:ligatures w14:val="none"/>
        </w:rPr>
      </w:pPr>
      <w:r w:rsidRPr="00AB1B22">
        <w:rPr>
          <w:rFonts w:ascii="Helvetica" w:eastAsia="宋体" w:hAnsi="Helvetica" w:cs="宋体"/>
          <w:color w:val="0066CC"/>
          <w:kern w:val="0"/>
          <w:sz w:val="36"/>
          <w:szCs w:val="36"/>
          <w14:ligatures w14:val="none"/>
        </w:rPr>
        <w:t>国家税务总局</w:t>
      </w:r>
    </w:p>
    <w:p w14:paraId="6FCAF860" w14:textId="77777777" w:rsidR="00AB1B22" w:rsidRPr="00AB1B22" w:rsidRDefault="00AB1B22" w:rsidP="00AB1B22">
      <w:pPr>
        <w:widowControl/>
        <w:spacing w:after="0" w:line="240" w:lineRule="auto"/>
        <w:rPr>
          <w:rFonts w:ascii="Helvetica" w:eastAsia="宋体" w:hAnsi="Helvetica" w:cs="宋体"/>
          <w:color w:val="333333"/>
          <w:kern w:val="0"/>
          <w:sz w:val="27"/>
          <w:szCs w:val="27"/>
          <w14:ligatures w14:val="none"/>
        </w:rPr>
      </w:pPr>
      <w:r w:rsidRPr="00AB1B22">
        <w:rPr>
          <w:rFonts w:ascii="Helvetica" w:eastAsia="宋体" w:hAnsi="Helvetica" w:cs="宋体"/>
          <w:color w:val="CC0000"/>
          <w:kern w:val="0"/>
          <w:sz w:val="42"/>
          <w:szCs w:val="42"/>
          <w14:ligatures w14:val="none"/>
        </w:rPr>
        <w:t>关于企业工资薪金和职工福利费等支出税前扣除问题的公告</w:t>
      </w:r>
      <w:r w:rsidRPr="00AB1B22">
        <w:rPr>
          <w:rFonts w:ascii="Helvetica" w:eastAsia="宋体" w:hAnsi="Helvetica" w:cs="宋体"/>
          <w:color w:val="666666"/>
          <w:kern w:val="0"/>
          <w:sz w:val="21"/>
          <w:szCs w:val="21"/>
          <w14:ligatures w14:val="none"/>
        </w:rPr>
        <w:t>国家税务总局公告</w:t>
      </w:r>
      <w:r w:rsidRPr="00AB1B22">
        <w:rPr>
          <w:rFonts w:ascii="Helvetica" w:eastAsia="宋体" w:hAnsi="Helvetica" w:cs="宋体"/>
          <w:color w:val="666666"/>
          <w:kern w:val="0"/>
          <w:sz w:val="21"/>
          <w:szCs w:val="21"/>
          <w14:ligatures w14:val="none"/>
        </w:rPr>
        <w:t>2015</w:t>
      </w:r>
      <w:r w:rsidRPr="00AB1B22">
        <w:rPr>
          <w:rFonts w:ascii="Helvetica" w:eastAsia="宋体" w:hAnsi="Helvetica" w:cs="宋体"/>
          <w:color w:val="666666"/>
          <w:kern w:val="0"/>
          <w:sz w:val="21"/>
          <w:szCs w:val="21"/>
          <w14:ligatures w14:val="none"/>
        </w:rPr>
        <w:t>年第</w:t>
      </w:r>
      <w:r w:rsidRPr="00AB1B22">
        <w:rPr>
          <w:rFonts w:ascii="Helvetica" w:eastAsia="宋体" w:hAnsi="Helvetica" w:cs="宋体"/>
          <w:color w:val="666666"/>
          <w:kern w:val="0"/>
          <w:sz w:val="21"/>
          <w:szCs w:val="21"/>
          <w14:ligatures w14:val="none"/>
        </w:rPr>
        <w:t>34</w:t>
      </w:r>
      <w:r w:rsidRPr="00AB1B22">
        <w:rPr>
          <w:rFonts w:ascii="Helvetica" w:eastAsia="宋体" w:hAnsi="Helvetica" w:cs="宋体"/>
          <w:color w:val="666666"/>
          <w:kern w:val="0"/>
          <w:sz w:val="21"/>
          <w:szCs w:val="21"/>
          <w14:ligatures w14:val="none"/>
        </w:rPr>
        <w:t>号</w:t>
      </w:r>
    </w:p>
    <w:p w14:paraId="58A76DE4" w14:textId="77777777" w:rsidR="00AB1B22" w:rsidRPr="00AB1B22" w:rsidRDefault="00AB1B22" w:rsidP="00AB1B22">
      <w:pPr>
        <w:widowControl/>
        <w:spacing w:after="0" w:line="360" w:lineRule="atLeast"/>
        <w:rPr>
          <w:rFonts w:ascii="Helvetica" w:eastAsia="宋体" w:hAnsi="Helvetica" w:cs="宋体"/>
          <w:color w:val="000000"/>
          <w:kern w:val="0"/>
          <w:sz w:val="21"/>
          <w:szCs w:val="21"/>
          <w14:ligatures w14:val="none"/>
        </w:rPr>
      </w:pPr>
      <w:r w:rsidRPr="00AB1B22">
        <w:rPr>
          <w:rFonts w:ascii="Helvetica" w:eastAsia="宋体" w:hAnsi="Helvetica" w:cs="宋体"/>
          <w:color w:val="000000"/>
          <w:kern w:val="0"/>
          <w:sz w:val="21"/>
          <w:szCs w:val="21"/>
          <w14:ligatures w14:val="none"/>
        </w:rPr>
        <w:t>【字体：</w:t>
      </w:r>
      <w:r w:rsidRPr="00AB1B22">
        <w:rPr>
          <w:rFonts w:ascii="Helvetica" w:eastAsia="宋体" w:hAnsi="Helvetica" w:cs="宋体"/>
          <w:color w:val="000000"/>
          <w:kern w:val="0"/>
          <w:sz w:val="21"/>
          <w:szCs w:val="21"/>
          <w14:ligatures w14:val="none"/>
        </w:rPr>
        <w:t> </w:t>
      </w:r>
      <w:hyperlink r:id="rId6" w:history="1">
        <w:r w:rsidRPr="00AB1B22">
          <w:rPr>
            <w:rFonts w:ascii="Helvetica" w:eastAsia="宋体" w:hAnsi="Helvetica" w:cs="宋体"/>
            <w:color w:val="323534"/>
            <w:kern w:val="0"/>
            <w:sz w:val="21"/>
            <w:szCs w:val="21"/>
            <w:u w:val="single"/>
            <w14:ligatures w14:val="none"/>
          </w:rPr>
          <w:t>大</w:t>
        </w:r>
      </w:hyperlink>
      <w:r w:rsidRPr="00AB1B22">
        <w:rPr>
          <w:rFonts w:ascii="Helvetica" w:eastAsia="宋体" w:hAnsi="Helvetica" w:cs="宋体"/>
          <w:color w:val="000000"/>
          <w:kern w:val="0"/>
          <w:sz w:val="21"/>
          <w:szCs w:val="21"/>
          <w14:ligatures w14:val="none"/>
        </w:rPr>
        <w:t> </w:t>
      </w:r>
      <w:hyperlink r:id="rId7" w:history="1">
        <w:r w:rsidRPr="00AB1B22">
          <w:rPr>
            <w:rFonts w:ascii="Helvetica" w:eastAsia="宋体" w:hAnsi="Helvetica" w:cs="宋体"/>
            <w:color w:val="323534"/>
            <w:kern w:val="0"/>
            <w:sz w:val="21"/>
            <w:szCs w:val="21"/>
            <w:u w:val="single"/>
            <w14:ligatures w14:val="none"/>
          </w:rPr>
          <w:t>中</w:t>
        </w:r>
      </w:hyperlink>
      <w:r w:rsidRPr="00AB1B22">
        <w:rPr>
          <w:rFonts w:ascii="Helvetica" w:eastAsia="宋体" w:hAnsi="Helvetica" w:cs="宋体"/>
          <w:color w:val="000000"/>
          <w:kern w:val="0"/>
          <w:sz w:val="21"/>
          <w:szCs w:val="21"/>
          <w14:ligatures w14:val="none"/>
        </w:rPr>
        <w:t> </w:t>
      </w:r>
      <w:hyperlink r:id="rId8" w:history="1">
        <w:r w:rsidRPr="00AB1B22">
          <w:rPr>
            <w:rFonts w:ascii="Helvetica" w:eastAsia="宋体" w:hAnsi="Helvetica" w:cs="宋体"/>
            <w:color w:val="323534"/>
            <w:kern w:val="0"/>
            <w:sz w:val="21"/>
            <w:szCs w:val="21"/>
            <w:u w:val="single"/>
            <w14:ligatures w14:val="none"/>
          </w:rPr>
          <w:t>小</w:t>
        </w:r>
      </w:hyperlink>
      <w:r w:rsidRPr="00AB1B22">
        <w:rPr>
          <w:rFonts w:ascii="Helvetica" w:eastAsia="宋体" w:hAnsi="Helvetica" w:cs="宋体"/>
          <w:color w:val="000000"/>
          <w:kern w:val="0"/>
          <w:sz w:val="21"/>
          <w:szCs w:val="21"/>
          <w14:ligatures w14:val="none"/>
        </w:rPr>
        <w:t>】</w:t>
      </w:r>
      <w:r w:rsidRPr="00AB1B22">
        <w:rPr>
          <w:rFonts w:ascii="Helvetica" w:eastAsia="宋体" w:hAnsi="Helvetica" w:cs="宋体"/>
          <w:color w:val="000000"/>
          <w:kern w:val="0"/>
          <w:sz w:val="21"/>
          <w:szCs w:val="21"/>
          <w14:ligatures w14:val="none"/>
        </w:rPr>
        <w:t> </w:t>
      </w:r>
      <w:hyperlink r:id="rId9" w:history="1">
        <w:r w:rsidRPr="00AB1B22">
          <w:rPr>
            <w:rFonts w:ascii="Helvetica" w:eastAsia="宋体" w:hAnsi="Helvetica" w:cs="宋体"/>
            <w:color w:val="323534"/>
            <w:kern w:val="0"/>
            <w:sz w:val="21"/>
            <w:szCs w:val="21"/>
            <w:u w:val="single"/>
            <w14:ligatures w14:val="none"/>
          </w:rPr>
          <w:t> </w:t>
        </w:r>
        <w:r w:rsidRPr="00AB1B22">
          <w:rPr>
            <w:rFonts w:ascii="Helvetica" w:eastAsia="宋体" w:hAnsi="Helvetica" w:cs="宋体"/>
            <w:color w:val="323534"/>
            <w:kern w:val="0"/>
            <w:sz w:val="21"/>
            <w:szCs w:val="21"/>
            <w:u w:val="single"/>
            <w14:ligatures w14:val="none"/>
          </w:rPr>
          <w:t>打印本页</w:t>
        </w:r>
      </w:hyperlink>
    </w:p>
    <w:p w14:paraId="2A2F96C7" w14:textId="77777777" w:rsidR="00AB1B22" w:rsidRPr="00AB1B22" w:rsidRDefault="00AB1B22" w:rsidP="00AB1B22">
      <w:pPr>
        <w:widowControl/>
        <w:spacing w:line="240" w:lineRule="auto"/>
        <w:rPr>
          <w:rFonts w:ascii="Helvetica" w:eastAsia="宋体" w:hAnsi="Helvetica" w:cs="宋体"/>
          <w:color w:val="333333"/>
          <w:kern w:val="0"/>
          <w:sz w:val="27"/>
          <w:szCs w:val="27"/>
          <w14:ligatures w14:val="none"/>
        </w:rPr>
      </w:pPr>
      <w:r w:rsidRPr="00AB1B22">
        <w:rPr>
          <w:rFonts w:ascii="Helvetica" w:eastAsia="宋体" w:hAnsi="Helvetica" w:cs="宋体"/>
          <w:color w:val="333333"/>
          <w:kern w:val="0"/>
          <w:sz w:val="27"/>
          <w:szCs w:val="27"/>
          <w14:ligatures w14:val="none"/>
        </w:rPr>
        <w:t>   </w:t>
      </w:r>
    </w:p>
    <w:p w14:paraId="7EB806B0" w14:textId="77777777" w:rsidR="00AB1B22" w:rsidRPr="00AB1B22" w:rsidRDefault="00AB1B22" w:rsidP="00AB1B22">
      <w:pPr>
        <w:widowControl/>
        <w:spacing w:after="0" w:line="540" w:lineRule="atLeast"/>
        <w:rPr>
          <w:rFonts w:ascii="微软雅黑" w:eastAsia="微软雅黑" w:hAnsi="微软雅黑" w:cs="宋体"/>
          <w:color w:val="333333"/>
          <w:kern w:val="0"/>
          <w:sz w:val="24"/>
          <w14:ligatures w14:val="none"/>
        </w:rPr>
      </w:pPr>
      <w:r w:rsidRPr="00AB1B22">
        <w:rPr>
          <w:rFonts w:ascii="微软雅黑" w:eastAsia="微软雅黑" w:hAnsi="微软雅黑" w:cs="宋体" w:hint="eastAsia"/>
          <w:color w:val="333333"/>
          <w:kern w:val="0"/>
          <w:sz w:val="24"/>
          <w14:ligatures w14:val="none"/>
        </w:rPr>
        <w:t xml:space="preserve">　　根据《中华人民共和国企业所得税法》及其实施条例相关规定，现对企业工资薪金和职工福利费等支出企业所得税税前扣除问题公告如下：</w:t>
      </w:r>
      <w:r w:rsidRPr="00AB1B22">
        <w:rPr>
          <w:rFonts w:ascii="微软雅黑" w:eastAsia="微软雅黑" w:hAnsi="微软雅黑" w:cs="宋体" w:hint="eastAsia"/>
          <w:color w:val="333333"/>
          <w:kern w:val="0"/>
          <w:sz w:val="24"/>
          <w14:ligatures w14:val="none"/>
        </w:rPr>
        <w:br/>
      </w:r>
      <w:r w:rsidRPr="00AB1B22">
        <w:rPr>
          <w:rFonts w:ascii="微软雅黑" w:eastAsia="微软雅黑" w:hAnsi="微软雅黑" w:cs="宋体" w:hint="eastAsia"/>
          <w:b/>
          <w:bCs/>
          <w:color w:val="333333"/>
          <w:kern w:val="0"/>
          <w:sz w:val="24"/>
          <w14:ligatures w14:val="none"/>
        </w:rPr>
        <w:t xml:space="preserve">　　一、企业福利性补贴支出税前扣除问题</w:t>
      </w:r>
      <w:r w:rsidRPr="00AB1B22">
        <w:rPr>
          <w:rFonts w:ascii="微软雅黑" w:eastAsia="微软雅黑" w:hAnsi="微软雅黑" w:cs="宋体" w:hint="eastAsia"/>
          <w:color w:val="333333"/>
          <w:kern w:val="0"/>
          <w:sz w:val="24"/>
          <w14:ligatures w14:val="none"/>
        </w:rPr>
        <w:br/>
        <w:t xml:space="preserve">　　列入企业员工工资薪金制度、固定与工资薪金一起发放的福利性补贴，符合《国家税务总局关于企业工资薪金及职工福利费扣除问题的通知》（国税函〔2009〕3号）第一条规定的，可作为企业发生的工资薪金支出，按规定在税前扣除。</w:t>
      </w:r>
      <w:r w:rsidRPr="00AB1B22">
        <w:rPr>
          <w:rFonts w:ascii="微软雅黑" w:eastAsia="微软雅黑" w:hAnsi="微软雅黑" w:cs="宋体" w:hint="eastAsia"/>
          <w:color w:val="333333"/>
          <w:kern w:val="0"/>
          <w:sz w:val="24"/>
          <w14:ligatures w14:val="none"/>
        </w:rPr>
        <w:br/>
        <w:t xml:space="preserve">　　不能同时符合上述条件的福利性补贴，应作为国税函〔2009〕3号文件第三条规定的职工福利费，按规定计算限额税前扣除。</w:t>
      </w:r>
      <w:r w:rsidRPr="00AB1B22">
        <w:rPr>
          <w:rFonts w:ascii="微软雅黑" w:eastAsia="微软雅黑" w:hAnsi="微软雅黑" w:cs="宋体" w:hint="eastAsia"/>
          <w:color w:val="333333"/>
          <w:kern w:val="0"/>
          <w:sz w:val="24"/>
          <w14:ligatures w14:val="none"/>
        </w:rPr>
        <w:br/>
      </w:r>
      <w:r w:rsidRPr="00AB1B22">
        <w:rPr>
          <w:rFonts w:ascii="微软雅黑" w:eastAsia="微软雅黑" w:hAnsi="微软雅黑" w:cs="宋体" w:hint="eastAsia"/>
          <w:b/>
          <w:bCs/>
          <w:color w:val="333333"/>
          <w:kern w:val="0"/>
          <w:sz w:val="24"/>
          <w14:ligatures w14:val="none"/>
        </w:rPr>
        <w:t xml:space="preserve">　　二、企业年度汇算清缴结束前支付汇缴年度工资薪金税前扣除问题</w:t>
      </w:r>
      <w:r w:rsidRPr="00AB1B22">
        <w:rPr>
          <w:rFonts w:ascii="微软雅黑" w:eastAsia="微软雅黑" w:hAnsi="微软雅黑" w:cs="宋体" w:hint="eastAsia"/>
          <w:color w:val="333333"/>
          <w:kern w:val="0"/>
          <w:sz w:val="24"/>
          <w14:ligatures w14:val="none"/>
        </w:rPr>
        <w:br/>
        <w:t xml:space="preserve">　　</w:t>
      </w:r>
      <w:r w:rsidRPr="00AB1B22">
        <w:rPr>
          <w:rFonts w:ascii="微软雅黑" w:eastAsia="微软雅黑" w:hAnsi="微软雅黑" w:cs="宋体" w:hint="eastAsia"/>
          <w:color w:val="333333"/>
          <w:kern w:val="0"/>
          <w:sz w:val="24"/>
          <w:highlight w:val="yellow"/>
          <w14:ligatures w14:val="none"/>
        </w:rPr>
        <w:t>企业在年度汇算清缴结束前向员工实际支付的已预提汇缴年度工资薪金，准予在汇缴年度按规定扣除。</w:t>
      </w:r>
      <w:r w:rsidRPr="00AB1B22">
        <w:rPr>
          <w:rFonts w:ascii="微软雅黑" w:eastAsia="微软雅黑" w:hAnsi="微软雅黑" w:cs="宋体" w:hint="eastAsia"/>
          <w:color w:val="333333"/>
          <w:kern w:val="0"/>
          <w:sz w:val="24"/>
          <w14:ligatures w14:val="none"/>
        </w:rPr>
        <w:br/>
        <w:t xml:space="preserve">　</w:t>
      </w:r>
      <w:r w:rsidRPr="00AB1B22">
        <w:rPr>
          <w:rFonts w:ascii="微软雅黑" w:eastAsia="微软雅黑" w:hAnsi="微软雅黑" w:cs="宋体" w:hint="eastAsia"/>
          <w:b/>
          <w:bCs/>
          <w:color w:val="333333"/>
          <w:kern w:val="0"/>
          <w:sz w:val="24"/>
          <w14:ligatures w14:val="none"/>
        </w:rPr>
        <w:t xml:space="preserve">　三、企业接受外部劳务派遣用工支出税前扣除问题</w:t>
      </w:r>
      <w:r w:rsidRPr="00AB1B22">
        <w:rPr>
          <w:rFonts w:ascii="微软雅黑" w:eastAsia="微软雅黑" w:hAnsi="微软雅黑" w:cs="宋体" w:hint="eastAsia"/>
          <w:color w:val="333333"/>
          <w:kern w:val="0"/>
          <w:sz w:val="24"/>
          <w14:ligatures w14:val="none"/>
        </w:rPr>
        <w:br/>
        <w:t xml:space="preserve">　　企业接受外部劳务派遣用工所实际发生的费用，应分两种情况按规定在税前扣除：按照协议（合同）约定直接支付给劳务派遣公司的费用，应作为劳务费支出；直接支付给员工个人的费用，应作为工资薪金支出和职工福利费支</w:t>
      </w:r>
      <w:r w:rsidRPr="00AB1B22">
        <w:rPr>
          <w:rFonts w:ascii="微软雅黑" w:eastAsia="微软雅黑" w:hAnsi="微软雅黑" w:cs="宋体" w:hint="eastAsia"/>
          <w:color w:val="333333"/>
          <w:kern w:val="0"/>
          <w:sz w:val="24"/>
          <w14:ligatures w14:val="none"/>
        </w:rPr>
        <w:lastRenderedPageBreak/>
        <w:t>出。其中属于工资薪金支出的费用，准予计入企业工资薪金总额的基数，作为计算其他各项相关费用扣除的依据。</w:t>
      </w:r>
      <w:r w:rsidRPr="00AB1B22">
        <w:rPr>
          <w:rFonts w:ascii="微软雅黑" w:eastAsia="微软雅黑" w:hAnsi="微软雅黑" w:cs="宋体" w:hint="eastAsia"/>
          <w:color w:val="333333"/>
          <w:kern w:val="0"/>
          <w:sz w:val="24"/>
          <w14:ligatures w14:val="none"/>
        </w:rPr>
        <w:br/>
        <w:t xml:space="preserve">　</w:t>
      </w:r>
      <w:r w:rsidRPr="00AB1B22">
        <w:rPr>
          <w:rFonts w:ascii="微软雅黑" w:eastAsia="微软雅黑" w:hAnsi="微软雅黑" w:cs="宋体" w:hint="eastAsia"/>
          <w:b/>
          <w:bCs/>
          <w:color w:val="333333"/>
          <w:kern w:val="0"/>
          <w:sz w:val="24"/>
          <w14:ligatures w14:val="none"/>
        </w:rPr>
        <w:t xml:space="preserve">　四、施行时间</w:t>
      </w:r>
      <w:r w:rsidRPr="00AB1B22">
        <w:rPr>
          <w:rFonts w:ascii="微软雅黑" w:eastAsia="微软雅黑" w:hAnsi="微软雅黑" w:cs="宋体" w:hint="eastAsia"/>
          <w:color w:val="333333"/>
          <w:kern w:val="0"/>
          <w:sz w:val="24"/>
          <w14:ligatures w14:val="none"/>
        </w:rPr>
        <w:br/>
        <w:t xml:space="preserve">　　本公告适用于2014年度及以后年度企业所得税汇算清缴。本公告施行前尚未进行税务处理的事项，符合本公告规定的可按本公告执行。</w:t>
      </w:r>
      <w:r w:rsidRPr="00AB1B22">
        <w:rPr>
          <w:rFonts w:ascii="微软雅黑" w:eastAsia="微软雅黑" w:hAnsi="微软雅黑" w:cs="宋体" w:hint="eastAsia"/>
          <w:color w:val="333333"/>
          <w:kern w:val="0"/>
          <w:sz w:val="24"/>
          <w14:ligatures w14:val="none"/>
        </w:rPr>
        <w:br/>
        <w:t xml:space="preserve">　　《国家税务总局关于企业所得税应纳税所得额若干税务处理问题的公告》（税务总局公告2012年第15号）第一条有关企业接受外部劳务派遣用工的相关规定同时废止。</w:t>
      </w:r>
      <w:r w:rsidRPr="00AB1B22">
        <w:rPr>
          <w:rFonts w:ascii="微软雅黑" w:eastAsia="微软雅黑" w:hAnsi="微软雅黑" w:cs="宋体" w:hint="eastAsia"/>
          <w:color w:val="333333"/>
          <w:kern w:val="0"/>
          <w:sz w:val="24"/>
          <w14:ligatures w14:val="none"/>
        </w:rPr>
        <w:br/>
        <w:t xml:space="preserve">　　特此公告。</w:t>
      </w:r>
      <w:r w:rsidRPr="00AB1B22">
        <w:rPr>
          <w:rFonts w:ascii="微软雅黑" w:eastAsia="微软雅黑" w:hAnsi="微软雅黑" w:cs="宋体" w:hint="eastAsia"/>
          <w:color w:val="333333"/>
          <w:kern w:val="0"/>
          <w:sz w:val="24"/>
          <w14:ligatures w14:val="none"/>
        </w:rPr>
        <w:br/>
        <w:t xml:space="preserve">　　</w:t>
      </w:r>
      <w:r w:rsidRPr="00AB1B22">
        <w:rPr>
          <w:rFonts w:ascii="微软雅黑" w:eastAsia="微软雅黑" w:hAnsi="微软雅黑" w:cs="宋体" w:hint="eastAsia"/>
          <w:color w:val="333333"/>
          <w:kern w:val="0"/>
          <w:sz w:val="24"/>
          <w14:ligatures w14:val="none"/>
        </w:rPr>
        <w:br/>
        <w:t xml:space="preserve">　　</w:t>
      </w:r>
    </w:p>
    <w:p w14:paraId="74E58931" w14:textId="77777777" w:rsidR="00AB1B22" w:rsidRPr="00AB1B22" w:rsidRDefault="00AB1B22" w:rsidP="00AB1B22">
      <w:pPr>
        <w:widowControl/>
        <w:spacing w:after="0" w:line="540" w:lineRule="atLeast"/>
        <w:jc w:val="right"/>
        <w:rPr>
          <w:rFonts w:ascii="微软雅黑" w:eastAsia="微软雅黑" w:hAnsi="微软雅黑" w:cs="宋体" w:hint="eastAsia"/>
          <w:color w:val="333333"/>
          <w:kern w:val="0"/>
          <w:sz w:val="24"/>
          <w14:ligatures w14:val="none"/>
        </w:rPr>
      </w:pPr>
      <w:r w:rsidRPr="00AB1B22">
        <w:rPr>
          <w:rFonts w:ascii="微软雅黑" w:eastAsia="微软雅黑" w:hAnsi="微软雅黑" w:cs="宋体" w:hint="eastAsia"/>
          <w:color w:val="333333"/>
          <w:kern w:val="0"/>
          <w:sz w:val="24"/>
          <w14:ligatures w14:val="none"/>
        </w:rPr>
        <w:t>国家税务总局</w:t>
      </w:r>
      <w:r w:rsidRPr="00AB1B22">
        <w:rPr>
          <w:rFonts w:ascii="微软雅黑" w:eastAsia="微软雅黑" w:hAnsi="微软雅黑" w:cs="宋体" w:hint="eastAsia"/>
          <w:color w:val="333333"/>
          <w:kern w:val="0"/>
          <w:sz w:val="24"/>
          <w14:ligatures w14:val="none"/>
        </w:rPr>
        <w:br/>
        <w:t>2015年5月8日</w:t>
      </w:r>
    </w:p>
    <w:p w14:paraId="206E98F5" w14:textId="77777777" w:rsidR="00360B71" w:rsidRDefault="00360B71">
      <w:pPr>
        <w:rPr>
          <w:rFonts w:hint="eastAsia"/>
        </w:rPr>
      </w:pPr>
    </w:p>
    <w:sectPr w:rsidR="00360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9C8A1" w14:textId="77777777" w:rsidR="003232DE" w:rsidRDefault="003232DE" w:rsidP="00AB1B22">
      <w:pPr>
        <w:spacing w:after="0" w:line="240" w:lineRule="auto"/>
        <w:rPr>
          <w:rFonts w:hint="eastAsia"/>
        </w:rPr>
      </w:pPr>
      <w:r>
        <w:separator/>
      </w:r>
    </w:p>
  </w:endnote>
  <w:endnote w:type="continuationSeparator" w:id="0">
    <w:p w14:paraId="653D4951" w14:textId="77777777" w:rsidR="003232DE" w:rsidRDefault="003232DE" w:rsidP="00AB1B2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AAC40" w14:textId="77777777" w:rsidR="003232DE" w:rsidRDefault="003232DE" w:rsidP="00AB1B22">
      <w:pPr>
        <w:spacing w:after="0" w:line="240" w:lineRule="auto"/>
        <w:rPr>
          <w:rFonts w:hint="eastAsia"/>
        </w:rPr>
      </w:pPr>
      <w:r>
        <w:separator/>
      </w:r>
    </w:p>
  </w:footnote>
  <w:footnote w:type="continuationSeparator" w:id="0">
    <w:p w14:paraId="20ADE4CA" w14:textId="77777777" w:rsidR="003232DE" w:rsidRDefault="003232DE" w:rsidP="00AB1B2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F8"/>
    <w:rsid w:val="003232DE"/>
    <w:rsid w:val="00360B71"/>
    <w:rsid w:val="00424D32"/>
    <w:rsid w:val="007A7B67"/>
    <w:rsid w:val="008578E7"/>
    <w:rsid w:val="009B0A29"/>
    <w:rsid w:val="00AB1B22"/>
    <w:rsid w:val="00EE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D35818A-2E13-4ED6-9DC9-13B94F09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56F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E56F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E56F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E56F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E56F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E56F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E56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56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E56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6F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E56F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E56F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E56F8"/>
    <w:rPr>
      <w:rFonts w:cstheme="majorBidi"/>
      <w:color w:val="2F5496" w:themeColor="accent1" w:themeShade="BF"/>
      <w:sz w:val="28"/>
      <w:szCs w:val="28"/>
    </w:rPr>
  </w:style>
  <w:style w:type="character" w:customStyle="1" w:styleId="50">
    <w:name w:val="标题 5 字符"/>
    <w:basedOn w:val="a0"/>
    <w:link w:val="5"/>
    <w:uiPriority w:val="9"/>
    <w:semiHidden/>
    <w:rsid w:val="00EE56F8"/>
    <w:rPr>
      <w:rFonts w:cstheme="majorBidi"/>
      <w:color w:val="2F5496" w:themeColor="accent1" w:themeShade="BF"/>
      <w:sz w:val="24"/>
    </w:rPr>
  </w:style>
  <w:style w:type="character" w:customStyle="1" w:styleId="60">
    <w:name w:val="标题 6 字符"/>
    <w:basedOn w:val="a0"/>
    <w:link w:val="6"/>
    <w:uiPriority w:val="9"/>
    <w:semiHidden/>
    <w:rsid w:val="00EE56F8"/>
    <w:rPr>
      <w:rFonts w:cstheme="majorBidi"/>
      <w:b/>
      <w:bCs/>
      <w:color w:val="2F5496" w:themeColor="accent1" w:themeShade="BF"/>
    </w:rPr>
  </w:style>
  <w:style w:type="character" w:customStyle="1" w:styleId="70">
    <w:name w:val="标题 7 字符"/>
    <w:basedOn w:val="a0"/>
    <w:link w:val="7"/>
    <w:uiPriority w:val="9"/>
    <w:semiHidden/>
    <w:rsid w:val="00EE56F8"/>
    <w:rPr>
      <w:rFonts w:cstheme="majorBidi"/>
      <w:b/>
      <w:bCs/>
      <w:color w:val="595959" w:themeColor="text1" w:themeTint="A6"/>
    </w:rPr>
  </w:style>
  <w:style w:type="character" w:customStyle="1" w:styleId="80">
    <w:name w:val="标题 8 字符"/>
    <w:basedOn w:val="a0"/>
    <w:link w:val="8"/>
    <w:uiPriority w:val="9"/>
    <w:semiHidden/>
    <w:rsid w:val="00EE56F8"/>
    <w:rPr>
      <w:rFonts w:cstheme="majorBidi"/>
      <w:color w:val="595959" w:themeColor="text1" w:themeTint="A6"/>
    </w:rPr>
  </w:style>
  <w:style w:type="character" w:customStyle="1" w:styleId="90">
    <w:name w:val="标题 9 字符"/>
    <w:basedOn w:val="a0"/>
    <w:link w:val="9"/>
    <w:uiPriority w:val="9"/>
    <w:semiHidden/>
    <w:rsid w:val="00EE56F8"/>
    <w:rPr>
      <w:rFonts w:eastAsiaTheme="majorEastAsia" w:cstheme="majorBidi"/>
      <w:color w:val="595959" w:themeColor="text1" w:themeTint="A6"/>
    </w:rPr>
  </w:style>
  <w:style w:type="paragraph" w:styleId="a3">
    <w:name w:val="Title"/>
    <w:basedOn w:val="a"/>
    <w:next w:val="a"/>
    <w:link w:val="a4"/>
    <w:uiPriority w:val="10"/>
    <w:qFormat/>
    <w:rsid w:val="00EE56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56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6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56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56F8"/>
    <w:pPr>
      <w:spacing w:before="160"/>
      <w:jc w:val="center"/>
    </w:pPr>
    <w:rPr>
      <w:i/>
      <w:iCs/>
      <w:color w:val="404040" w:themeColor="text1" w:themeTint="BF"/>
    </w:rPr>
  </w:style>
  <w:style w:type="character" w:customStyle="1" w:styleId="a8">
    <w:name w:val="引用 字符"/>
    <w:basedOn w:val="a0"/>
    <w:link w:val="a7"/>
    <w:uiPriority w:val="29"/>
    <w:rsid w:val="00EE56F8"/>
    <w:rPr>
      <w:i/>
      <w:iCs/>
      <w:color w:val="404040" w:themeColor="text1" w:themeTint="BF"/>
    </w:rPr>
  </w:style>
  <w:style w:type="paragraph" w:styleId="a9">
    <w:name w:val="List Paragraph"/>
    <w:basedOn w:val="a"/>
    <w:uiPriority w:val="34"/>
    <w:qFormat/>
    <w:rsid w:val="00EE56F8"/>
    <w:pPr>
      <w:ind w:left="720"/>
      <w:contextualSpacing/>
    </w:pPr>
  </w:style>
  <w:style w:type="character" w:styleId="aa">
    <w:name w:val="Intense Emphasis"/>
    <w:basedOn w:val="a0"/>
    <w:uiPriority w:val="21"/>
    <w:qFormat/>
    <w:rsid w:val="00EE56F8"/>
    <w:rPr>
      <w:i/>
      <w:iCs/>
      <w:color w:val="2F5496" w:themeColor="accent1" w:themeShade="BF"/>
    </w:rPr>
  </w:style>
  <w:style w:type="paragraph" w:styleId="ab">
    <w:name w:val="Intense Quote"/>
    <w:basedOn w:val="a"/>
    <w:next w:val="a"/>
    <w:link w:val="ac"/>
    <w:uiPriority w:val="30"/>
    <w:qFormat/>
    <w:rsid w:val="00EE5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E56F8"/>
    <w:rPr>
      <w:i/>
      <w:iCs/>
      <w:color w:val="2F5496" w:themeColor="accent1" w:themeShade="BF"/>
    </w:rPr>
  </w:style>
  <w:style w:type="character" w:styleId="ad">
    <w:name w:val="Intense Reference"/>
    <w:basedOn w:val="a0"/>
    <w:uiPriority w:val="32"/>
    <w:qFormat/>
    <w:rsid w:val="00EE56F8"/>
    <w:rPr>
      <w:b/>
      <w:bCs/>
      <w:smallCaps/>
      <w:color w:val="2F5496" w:themeColor="accent1" w:themeShade="BF"/>
      <w:spacing w:val="5"/>
    </w:rPr>
  </w:style>
  <w:style w:type="paragraph" w:styleId="ae">
    <w:name w:val="header"/>
    <w:basedOn w:val="a"/>
    <w:link w:val="af"/>
    <w:uiPriority w:val="99"/>
    <w:unhideWhenUsed/>
    <w:rsid w:val="00AB1B2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B1B22"/>
    <w:rPr>
      <w:sz w:val="18"/>
      <w:szCs w:val="18"/>
    </w:rPr>
  </w:style>
  <w:style w:type="paragraph" w:styleId="af0">
    <w:name w:val="footer"/>
    <w:basedOn w:val="a"/>
    <w:link w:val="af1"/>
    <w:uiPriority w:val="99"/>
    <w:unhideWhenUsed/>
    <w:rsid w:val="00AB1B2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B1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818754">
      <w:bodyDiv w:val="1"/>
      <w:marLeft w:val="0"/>
      <w:marRight w:val="0"/>
      <w:marTop w:val="0"/>
      <w:marBottom w:val="0"/>
      <w:divBdr>
        <w:top w:val="none" w:sz="0" w:space="0" w:color="auto"/>
        <w:left w:val="none" w:sz="0" w:space="0" w:color="auto"/>
        <w:bottom w:val="none" w:sz="0" w:space="0" w:color="auto"/>
        <w:right w:val="none" w:sz="0" w:space="0" w:color="auto"/>
      </w:divBdr>
      <w:divsChild>
        <w:div w:id="782502744">
          <w:marLeft w:val="0"/>
          <w:marRight w:val="0"/>
          <w:marTop w:val="0"/>
          <w:marBottom w:val="0"/>
          <w:divBdr>
            <w:top w:val="none" w:sz="0" w:space="0" w:color="auto"/>
            <w:left w:val="none" w:sz="0" w:space="0" w:color="auto"/>
            <w:bottom w:val="single" w:sz="6" w:space="8" w:color="DEDCD8"/>
            <w:right w:val="none" w:sz="0" w:space="0" w:color="auto"/>
          </w:divBdr>
          <w:divsChild>
            <w:div w:id="533269212">
              <w:marLeft w:val="0"/>
              <w:marRight w:val="0"/>
              <w:marTop w:val="210"/>
              <w:marBottom w:val="210"/>
              <w:divBdr>
                <w:top w:val="none" w:sz="0" w:space="0" w:color="auto"/>
                <w:left w:val="none" w:sz="0" w:space="0" w:color="auto"/>
                <w:bottom w:val="none" w:sz="0" w:space="0" w:color="auto"/>
                <w:right w:val="none" w:sz="0" w:space="0" w:color="auto"/>
              </w:divBdr>
              <w:divsChild>
                <w:div w:id="1412779107">
                  <w:marLeft w:val="0"/>
                  <w:marRight w:val="0"/>
                  <w:marTop w:val="0"/>
                  <w:marBottom w:val="0"/>
                  <w:divBdr>
                    <w:top w:val="none" w:sz="0" w:space="0" w:color="auto"/>
                    <w:left w:val="none" w:sz="0" w:space="0" w:color="auto"/>
                    <w:bottom w:val="none" w:sz="0" w:space="0" w:color="auto"/>
                    <w:right w:val="none" w:sz="0" w:space="0" w:color="auto"/>
                  </w:divBdr>
                  <w:divsChild>
                    <w:div w:id="85003256">
                      <w:marLeft w:val="0"/>
                      <w:marRight w:val="0"/>
                      <w:marTop w:val="0"/>
                      <w:marBottom w:val="0"/>
                      <w:divBdr>
                        <w:top w:val="none" w:sz="0" w:space="0" w:color="auto"/>
                        <w:left w:val="none" w:sz="0" w:space="0" w:color="auto"/>
                        <w:bottom w:val="none" w:sz="0" w:space="0" w:color="auto"/>
                        <w:right w:val="none" w:sz="0" w:space="0" w:color="auto"/>
                      </w:divBdr>
                    </w:div>
                    <w:div w:id="2091732863">
                      <w:marLeft w:val="0"/>
                      <w:marRight w:val="0"/>
                      <w:marTop w:val="0"/>
                      <w:marBottom w:val="0"/>
                      <w:divBdr>
                        <w:top w:val="none" w:sz="0" w:space="0" w:color="auto"/>
                        <w:left w:val="none" w:sz="0" w:space="0" w:color="auto"/>
                        <w:bottom w:val="none" w:sz="0" w:space="0" w:color="auto"/>
                        <w:right w:val="none" w:sz="0" w:space="0" w:color="auto"/>
                      </w:divBdr>
                      <w:divsChild>
                        <w:div w:id="801582230">
                          <w:marLeft w:val="75"/>
                          <w:marRight w:val="0"/>
                          <w:marTop w:val="0"/>
                          <w:marBottom w:val="0"/>
                          <w:divBdr>
                            <w:top w:val="none" w:sz="0" w:space="0" w:color="auto"/>
                            <w:left w:val="none" w:sz="0" w:space="0" w:color="auto"/>
                            <w:bottom w:val="none" w:sz="0" w:space="0" w:color="auto"/>
                            <w:right w:val="none" w:sz="0" w:space="0" w:color="auto"/>
                          </w:divBdr>
                          <w:divsChild>
                            <w:div w:id="870924687">
                              <w:marLeft w:val="0"/>
                              <w:marRight w:val="0"/>
                              <w:marTop w:val="0"/>
                              <w:marBottom w:val="0"/>
                              <w:divBdr>
                                <w:top w:val="none" w:sz="0" w:space="0" w:color="auto"/>
                                <w:left w:val="none" w:sz="0" w:space="0" w:color="auto"/>
                                <w:bottom w:val="none" w:sz="0" w:space="0" w:color="auto"/>
                                <w:right w:val="none" w:sz="0" w:space="0" w:color="auto"/>
                              </w:divBdr>
                              <w:divsChild>
                                <w:div w:id="11729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fontZoom(14)" TargetMode="External"/><Relationship Id="rId3" Type="http://schemas.openxmlformats.org/officeDocument/2006/relationships/webSettings" Target="webSettings.xml"/><Relationship Id="rId7" Type="http://schemas.openxmlformats.org/officeDocument/2006/relationships/hyperlink" Target="javascript:fontZoo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fontZoom(2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window.pri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474</Characters>
  <Application>Microsoft Office Word</Application>
  <DocSecurity>0</DocSecurity>
  <Lines>18</Lines>
  <Paragraphs>17</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6666666 666666</dc:creator>
  <cp:keywords/>
  <dc:description/>
  <cp:lastModifiedBy>6666666 666666</cp:lastModifiedBy>
  <cp:revision>2</cp:revision>
  <dcterms:created xsi:type="dcterms:W3CDTF">2025-07-23T01:20:00Z</dcterms:created>
  <dcterms:modified xsi:type="dcterms:W3CDTF">2025-07-23T01:21:00Z</dcterms:modified>
</cp:coreProperties>
</file>