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v0.4 配置中心与素材目录：规格增补</w:t>
      </w:r>
    </w:p>
    <w:p>
      <w:r>
        <w:t>日期：2026-10-21（北京时间）。状态：供评审的功能规格；不是已实现后台，也不是已联通云服务。继承 v0.3 基线 (../design-v0.3/README.md)的产品范围，本轮修补云存储、文件夹、AI 及其他运行配置的缺口。</w:t>
      </w:r>
    </w:p>
    <w:p>
      <w:pPr>
        <w:pStyle w:val="Heading2"/>
      </w:pPr>
      <w:r>
        <w:t>本轮核对结论</w:t>
      </w:r>
    </w:p>
    <w:p>
      <w:r>
        <w:t>此前文件已经覆盖编辑器、登录、会员、导出与 AI 的主业务方向，但配置功能尚不完整。v0.1 只列出对象存储、AI endpoint/key 和环境配置，未定义配置字段、用户文件夹、发布回滚和故障行为；C1 计划仅交付本地编辑与导出，不能替代云服务与运营后台。</w:t>
      </w:r>
    </w:p>
    <w:p>
      <w:r>
        <w:t>本轮补齐的是配置中心的设计合同。正式 OpenAPI、迁移、各供应商适配器、后台代码、真实连接测试及全部模块实施计划仍在后续开发中生成，不能据此宣称产品已具备完整上线条件。</w:t>
      </w:r>
    </w:p>
    <w:p>
      <w:pPr>
        <w:pStyle w:val="Heading2"/>
      </w:pPr>
      <w:r>
        <w:t>阅读入口</w:t>
      </w:r>
    </w:p>
    <w:p>
      <w:r>
        <w:t>- 01 配置中心、权限、密钥与版本发布 (01-配置中心与权限.md)</w:t>
      </w:r>
    </w:p>
    <w:p>
      <w:r>
        <w:t>- 02 云存储、自定义根目录与用户文件夹 (02-云存储与自定义文件夹.md)</w:t>
      </w:r>
    </w:p>
    <w:p>
      <w:r>
        <w:t>- 03 AI 供应商、模型、路由、用量与费用 (03-AI服务与模型配置.md)</w:t>
      </w:r>
    </w:p>
    <w:p>
      <w:r>
        <w:t>- 04 全配置清单、研发接口与验收 (04-配置清单与验收.md)</w:t>
      </w:r>
    </w:p>
    <w:p>
      <w:r>
        <w:t>- 配置规格 PDF (配置中心与素材目录-v0.4.pdf)／Word (配置中心与素材目录-v0.4.docx)／离线阅读 (review.html)</w:t>
      </w:r>
    </w:p>
    <w:p>
      <w:r>
        <w:t>- 后台与文件夹原型 (prototypes)／3页原型PDF (配置原型-v0.4.pdf)：P13 配置中心、P14 素材文件夹、P15 AI 模型配置；原创静态 SVG／PNG。</w:t>
      </w:r>
    </w:p>
    <w:p>
      <w:pPr>
        <w:pStyle w:val="Heading2"/>
      </w:pPr>
      <w:r>
        <w:t>推荐边界</w:t>
      </w:r>
    </w:p>
    <w:p>
      <w:r>
        <w:t>首期推荐“平台统一接入＋工作区个性设置”：平台管理员配置存储与 AI 服务，用户配置素材文件夹、相册默认参数和通知偏好。两种自定义目录分别设计：后台存储根前缀，以及用户可见的逻辑素材文件夹；后者不直接暴露云对象 key。</w:t>
      </w:r>
    </w:p>
    <w:p>
      <w:r>
        <w:t>“自定义文件夹”正在向用户确认具体所指。在答复前，两类均列为推荐规格，不能记为用户已经确认。工作区自带存储／自带 AI Key（BYOS／BYOK）作为候选扩展，首期默认关闭；若用户要求首期开放，需要另补授权、费用、密钥托管与故障责任合同。</w:t>
      </w:r>
    </w:p>
    <w:p>
      <w:pPr>
        <w:pStyle w:val="Heading2"/>
      </w:pPr>
      <w:r>
        <w:t>与既有计划的关系</w:t>
      </w:r>
    </w:p>
    <w:p>
      <w:r>
        <w:t>- C1 继续本地编辑与确定性导出；预留稳定 assetId，不把云路径写进文档层。</w:t>
      </w:r>
    </w:p>
    <w:p>
      <w:r>
        <w:t>- C2 使用模板／规则版本与排版参数，不把普通规则排版计入生图点数。</w:t>
      </w:r>
    </w:p>
    <w:p>
      <w:r>
        <w:t>- C3 增加云存储 profile、上传／目录 API、工作区权限和配置读取。</w:t>
      </w:r>
    </w:p>
    <w:p>
      <w:r>
        <w:t>- C4 增加配置发布、任务快照、资源 pin、会员 SKU／配额、账单与告警。</w:t>
      </w:r>
    </w:p>
    <w:p>
      <w:r>
        <w:t>- C5 增加 AI provider/model/route/preset、报价／审核／标识及运营配置。</w:t>
      </w:r>
    </w:p>
    <w:p>
      <w:r>
        <w:t>本增补若评审通过，C3–C5 开工前必须将其拆入对应详细计划；当前 C1 计划不等同于这些模块的实施计划。</w:t>
      </w:r>
    </w:p>
    <w:p>
      <w:r>
        <w:br w:type="page"/>
      </w:r>
    </w:p>
    <w:p>
      <w:pPr>
        <w:pStyle w:val="Heading1"/>
      </w:pPr>
      <w:r>
        <w:t>01 配置中心、权限与发布</w:t>
      </w:r>
    </w:p>
    <w:p>
      <w:pPr>
        <w:pStyle w:val="Heading2"/>
      </w:pPr>
      <w:r>
        <w:t>1. 目标和层级</w:t>
      </w:r>
    </w:p>
    <w:p>
      <w:r>
        <w:t>配置中心让运营者在后台维护合法的业务参数，部署参数与密钥由受控环境管理。网页和小程序只接收自己需要、允许公开的参数；修改页面上的输入框不能改变计费或资源权限。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修改者</w:t>
            </w:r>
          </w:p>
        </w:tc>
        <w:tc>
          <w:tcPr>
            <w:tcW w:type="dxa" w:w="2160"/>
          </w:tcPr>
          <w:p>
            <w:r>
              <w:t>生效方式</w:t>
            </w:r>
          </w:p>
        </w:tc>
      </w:tr>
      <w:tr>
        <w:tc>
          <w:tcPr>
            <w:tcW w:type="dxa" w:w="2160"/>
          </w:tcPr>
          <w:p>
            <w:r>
              <w:t>部署</w:t>
            </w:r>
          </w:p>
        </w:tc>
        <w:tc>
          <w:tcPr>
            <w:tcW w:type="dxa" w:w="2160"/>
          </w:tcPr>
          <w:p>
            <w:r>
              <w:t>数据库／Redis 地址、密钥服务、配置服务引导、worker 硬内存／进程限制、环境标识</w:t>
            </w:r>
          </w:p>
        </w:tc>
        <w:tc>
          <w:tcPr>
            <w:tcW w:type="dxa" w:w="2160"/>
          </w:tcPr>
          <w:p>
            <w:r>
              <w:t>部署运维</w:t>
            </w:r>
          </w:p>
        </w:tc>
        <w:tc>
          <w:tcPr>
            <w:tcW w:type="dxa" w:w="2160"/>
          </w:tcPr>
          <w:p>
            <w:r>
              <w:t>环境秘密配置＋受控重新部署，不放进依赖同一数据库的动态编辑表单</w:t>
            </w:r>
          </w:p>
        </w:tc>
      </w:tr>
      <w:tr>
        <w:tc>
          <w:tcPr>
            <w:tcW w:type="dxa" w:w="2160"/>
          </w:tcPr>
          <w:p>
            <w:r>
              <w:t>平台／环境</w:t>
            </w:r>
          </w:p>
        </w:tc>
        <w:tc>
          <w:tcPr>
            <w:tcW w:type="dxa" w:w="2160"/>
          </w:tcPr>
          <w:p>
            <w:r>
              <w:t>存储 profile、AI 服务、微信／支付接入引用、默认策略、能力开关</w:t>
            </w:r>
          </w:p>
        </w:tc>
        <w:tc>
          <w:tcPr>
            <w:tcW w:type="dxa" w:w="2160"/>
          </w:tcPr>
          <w:p>
            <w:r>
              <w:t>授权的平台管理员</w:t>
            </w:r>
          </w:p>
        </w:tc>
        <w:tc>
          <w:tcPr>
            <w:tcW w:type="dxa" w:w="2160"/>
          </w:tcPr>
          <w:p>
            <w:r>
              <w:t>草稿校验、连接／契约检查、原子发布</w:t>
            </w:r>
          </w:p>
        </w:tc>
      </w:tr>
      <w:tr>
        <w:tc>
          <w:tcPr>
            <w:tcW w:type="dxa" w:w="2160"/>
          </w:tcPr>
          <w:p>
            <w:r>
              <w:t>商业／内容</w:t>
            </w:r>
          </w:p>
        </w:tc>
        <w:tc>
          <w:tcPr>
            <w:tcW w:type="dxa" w:w="2160"/>
          </w:tcPr>
          <w:p>
            <w:r>
              <w:t>SKU、点数报价、模板／字体／风格版本、内容审核与标识规则</w:t>
            </w:r>
          </w:p>
        </w:tc>
        <w:tc>
          <w:tcPr>
            <w:tcW w:type="dxa" w:w="2160"/>
          </w:tcPr>
          <w:p>
            <w:r>
              <w:t>财务／内容各自角色</w:t>
            </w:r>
          </w:p>
        </w:tc>
        <w:tc>
          <w:tcPr>
            <w:tcW w:type="dxa" w:w="2160"/>
          </w:tcPr>
          <w:p>
            <w:r>
              <w:t>版本发布，历史订单／作品不改写</w:t>
            </w:r>
          </w:p>
        </w:tc>
      </w:tr>
      <w:tr>
        <w:tc>
          <w:tcPr>
            <w:tcW w:type="dxa" w:w="2160"/>
          </w:tcPr>
          <w:p>
            <w:r>
              <w:t>工作区</w:t>
            </w:r>
          </w:p>
        </w:tc>
        <w:tc>
          <w:tcPr>
            <w:tcW w:type="dxa" w:w="2160"/>
          </w:tcPr>
          <w:p>
            <w:r>
              <w:t>素材目录、默认相册尺寸／模板、通知和共享偏好</w:t>
            </w:r>
          </w:p>
        </w:tc>
        <w:tc>
          <w:tcPr>
            <w:tcW w:type="dxa" w:w="2160"/>
          </w:tcPr>
          <w:p>
            <w:r>
              <w:t>owner/admin；编辑者受限操作</w:t>
            </w:r>
          </w:p>
        </w:tc>
        <w:tc>
          <w:tcPr>
            <w:tcW w:type="dxa" w:w="2160"/>
          </w:tcPr>
          <w:p>
            <w:r>
              <w:t>API 校验后按 revision 保存；不能提高会员配额或覆盖平台禁用</w:t>
            </w:r>
          </w:p>
        </w:tc>
      </w:tr>
      <w:tr>
        <w:tc>
          <w:tcPr>
            <w:tcW w:type="dxa" w:w="2160"/>
          </w:tcPr>
          <w:p>
            <w:r>
              <w:t>个人</w:t>
            </w:r>
          </w:p>
        </w:tc>
        <w:tc>
          <w:tcPr>
            <w:tcW w:type="dxa" w:w="2160"/>
          </w:tcPr>
          <w:p>
            <w:r>
              <w:t>语言、展示时区、快捷键、编辑器界面偏好</w:t>
            </w:r>
          </w:p>
        </w:tc>
        <w:tc>
          <w:tcPr>
            <w:tcW w:type="dxa" w:w="2160"/>
          </w:tcPr>
          <w:p>
            <w:r>
              <w:t>当前用户</w:t>
            </w:r>
          </w:p>
        </w:tc>
        <w:tc>
          <w:tcPr>
            <w:tcW w:type="dxa" w:w="2160"/>
          </w:tcPr>
          <w:p>
            <w:r>
              <w:t>账户偏好，不改变跨端文档尺寸／色彩模型</w:t>
            </w:r>
          </w:p>
        </w:tc>
      </w:tr>
    </w:tbl>
    <w:p>
      <w:r>
        <w:t>环境固定 dev/staging/prod；不得让业务请求传 env 来切换存储或支付账户。推荐平台管理员初始只有一个受控管理员入口，后续可分工；AI 开发身份不自动获得真实生产账户权限。</w:t>
      </w:r>
    </w:p>
    <w:p>
      <w:pPr>
        <w:pStyle w:val="Heading2"/>
      </w:pPr>
      <w:r>
        <w:t>2. 模块与权限</w:t>
      </w:r>
    </w:p>
    <w:p>
      <w:r>
        <w:t>后台导航：配置概览、云存储、AI 服务、模型路由、登录与通知、支付渠道、商品权益、模板字体、导出队列、内容与分享、运维告警、变更记录。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权限</w:t>
            </w:r>
          </w:p>
        </w:tc>
        <w:tc>
          <w:tcPr>
            <w:tcW w:type="dxa" w:w="1728"/>
          </w:tcPr>
          <w:p>
            <w:r>
              <w:t>平台运维</w:t>
            </w:r>
          </w:p>
        </w:tc>
        <w:tc>
          <w:tcPr>
            <w:tcW w:type="dxa" w:w="1728"/>
          </w:tcPr>
          <w:p>
            <w:r>
              <w:t>财务运营</w:t>
            </w:r>
          </w:p>
        </w:tc>
        <w:tc>
          <w:tcPr>
            <w:tcW w:type="dxa" w:w="1728"/>
          </w:tcPr>
          <w:p>
            <w:r>
              <w:t>内容运营</w:t>
            </w:r>
          </w:p>
        </w:tc>
        <w:tc>
          <w:tcPr>
            <w:tcW w:type="dxa" w:w="1728"/>
          </w:tcPr>
          <w:p>
            <w:r>
              <w:t>工作区 owner/admin</w:t>
            </w:r>
          </w:p>
        </w:tc>
      </w:tr>
      <w:tr>
        <w:tc>
          <w:tcPr>
            <w:tcW w:type="dxa" w:w="1728"/>
          </w:tcPr>
          <w:p>
            <w:r>
              <w:t>存储／AI 连接草稿与测试</w:t>
            </w:r>
          </w:p>
        </w:tc>
        <w:tc>
          <w:tcPr>
            <w:tcW w:type="dxa" w:w="1728"/>
          </w:tcPr>
          <w:p>
            <w:r>
              <w:t>按授权可操作</w:t>
            </w:r>
          </w:p>
        </w:tc>
        <w:tc>
          <w:tcPr>
            <w:tcW w:type="dxa" w:w="1728"/>
          </w:tcPr>
          <w:p>
            <w:r>
              <w:t>仅成本摘要</w:t>
            </w:r>
          </w:p>
        </w:tc>
        <w:tc>
          <w:tcPr>
            <w:tcW w:type="dxa" w:w="1728"/>
          </w:tcPr>
          <w:p>
            <w:r>
              <w:t>仅可用能力</w:t>
            </w:r>
          </w:p>
        </w:tc>
        <w:tc>
          <w:tcPr>
            <w:tcW w:type="dxa" w:w="1728"/>
          </w:tcPr>
          <w:p>
            <w:r>
              <w:t>不可见平台凭据</w:t>
            </w:r>
          </w:p>
        </w:tc>
      </w:tr>
      <w:tr>
        <w:tc>
          <w:tcPr>
            <w:tcW w:type="dxa" w:w="1728"/>
          </w:tcPr>
          <w:p>
            <w:r>
              <w:t>SKU／点数价格</w:t>
            </w:r>
          </w:p>
        </w:tc>
        <w:tc>
          <w:tcPr>
            <w:tcW w:type="dxa" w:w="1728"/>
          </w:tcPr>
          <w:p>
            <w:r>
              <w:t>查看</w:t>
            </w:r>
          </w:p>
        </w:tc>
        <w:tc>
          <w:tcPr>
            <w:tcW w:type="dxa" w:w="1728"/>
          </w:tcPr>
          <w:p>
            <w:r>
              <w:t>编辑／发布</w:t>
            </w:r>
          </w:p>
        </w:tc>
        <w:tc>
          <w:tcPr>
            <w:tcW w:type="dxa" w:w="1728"/>
          </w:tcPr>
          <w:p>
            <w:r>
              <w:t>查看用户展示项</w:t>
            </w:r>
          </w:p>
        </w:tc>
        <w:tc>
          <w:tcPr>
            <w:tcW w:type="dxa" w:w="1728"/>
          </w:tcPr>
          <w:p>
            <w:r>
              <w:t>仅购买者视图</w:t>
            </w:r>
          </w:p>
        </w:tc>
      </w:tr>
      <w:tr>
        <w:tc>
          <w:tcPr>
            <w:tcW w:type="dxa" w:w="1728"/>
          </w:tcPr>
          <w:p>
            <w:r>
              <w:t>模板／字体／风格许可</w:t>
            </w:r>
          </w:p>
        </w:tc>
        <w:tc>
          <w:tcPr>
            <w:tcW w:type="dxa" w:w="1728"/>
          </w:tcPr>
          <w:p>
            <w:r>
              <w:t>查看</w:t>
            </w:r>
          </w:p>
        </w:tc>
        <w:tc>
          <w:tcPr>
            <w:tcW w:type="dxa" w:w="1728"/>
          </w:tcPr>
          <w:p>
            <w:r>
              <w:t>查看</w:t>
            </w:r>
          </w:p>
        </w:tc>
        <w:tc>
          <w:tcPr>
            <w:tcW w:type="dxa" w:w="1728"/>
          </w:tcPr>
          <w:p>
            <w:r>
              <w:t>编辑／发布</w:t>
            </w:r>
          </w:p>
        </w:tc>
        <w:tc>
          <w:tcPr>
            <w:tcW w:type="dxa" w:w="1728"/>
          </w:tcPr>
          <w:p>
            <w:r>
              <w:t>使用合法版本</w:t>
            </w:r>
          </w:p>
        </w:tc>
      </w:tr>
      <w:tr>
        <w:tc>
          <w:tcPr>
            <w:tcW w:type="dxa" w:w="1728"/>
          </w:tcPr>
          <w:p>
            <w:r>
              <w:t>配置发布／回滚</w:t>
            </w:r>
          </w:p>
        </w:tc>
        <w:tc>
          <w:tcPr>
            <w:tcW w:type="dxa" w:w="1728"/>
          </w:tcPr>
          <w:p>
            <w:r>
              <w:t>专项权限＋重新验证登录</w:t>
            </w:r>
          </w:p>
        </w:tc>
        <w:tc>
          <w:tcPr>
            <w:tcW w:type="dxa" w:w="1728"/>
          </w:tcPr>
          <w:p>
            <w:r>
              <w:t>仅商业命名空间权限</w:t>
            </w:r>
          </w:p>
        </w:tc>
        <w:tc>
          <w:tcPr>
            <w:tcW w:type="dxa" w:w="1728"/>
          </w:tcPr>
          <w:p>
            <w:r>
              <w:t>仅内容命名空间权限</w:t>
            </w:r>
          </w:p>
        </w:tc>
        <w:tc>
          <w:tcPr>
            <w:tcW w:type="dxa" w:w="1728"/>
          </w:tcPr>
          <w:p>
            <w:r>
              <w:t>无平台权限</w:t>
            </w:r>
          </w:p>
        </w:tc>
      </w:tr>
      <w:tr>
        <w:tc>
          <w:tcPr>
            <w:tcW w:type="dxa" w:w="1728"/>
          </w:tcPr>
          <w:p>
            <w:r>
              <w:t>素材文件夹／默认设置</w:t>
            </w:r>
          </w:p>
        </w:tc>
        <w:tc>
          <w:tcPr>
            <w:tcW w:type="dxa" w:w="1728"/>
          </w:tcPr>
          <w:p>
            <w:r>
              <w:t>不因角色自动读用户照片</w:t>
            </w:r>
          </w:p>
        </w:tc>
        <w:tc>
          <w:tcPr>
            <w:tcW w:type="dxa" w:w="1728"/>
          </w:tcPr>
          <w:p>
            <w:r>
              <w:t>无用户素材访问</w:t>
            </w:r>
          </w:p>
        </w:tc>
        <w:tc>
          <w:tcPr>
            <w:tcW w:type="dxa" w:w="1728"/>
          </w:tcPr>
          <w:p>
            <w:r>
              <w:t>无用户素材访问</w:t>
            </w:r>
          </w:p>
        </w:tc>
        <w:tc>
          <w:tcPr>
            <w:tcW w:type="dxa" w:w="1728"/>
          </w:tcPr>
          <w:p>
            <w:r>
              <w:t>按工作区角色操作</w:t>
            </w:r>
          </w:p>
        </w:tc>
      </w:tr>
      <w:tr>
        <w:tc>
          <w:tcPr>
            <w:tcW w:type="dxa" w:w="1728"/>
          </w:tcPr>
          <w:p>
            <w:r>
              <w:t>读回密钥明文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</w:tr>
    </w:tbl>
    <w:p>
      <w:r>
        <w:t>每次修改记录操作者、角色、原因、请求 ID、变更前后版本摘要和环境。审计不存密钥、原始照片或完整提示词。管理员看“连接可用”不等于可访问所有工作区的原片。</w:t>
      </w:r>
    </w:p>
    <w:p>
      <w:pPr>
        <w:pStyle w:val="Heading2"/>
      </w:pPr>
      <w:r>
        <w:t>3. 版本模型</w:t>
      </w:r>
    </w:p>
    <w:p>
      <w:r>
        <w:t>ConfigVersion：id、namespace、version、environment、schemaVersion、payload、secretBindings、dependencies、baseVersion、state、validationReport、createdBy、createdAt、publishedAt。</w:t>
      </w:r>
    </w:p>
    <w:p>
      <w:r>
        <w:t>secretBindings 只存 secretRef＋不可变 secretVersion；payload 禁止 key/token/password/certificatePrivateKey 等明文字段。ConfigRelease 引用一组相容 ConfigVersion、releaseId、effectiveAt、reason；当前 release 指针在事务内切换。进程刷新失败时继续使用上一已验证快照并告警，不混用新模型与旧价格。</w:t>
      </w:r>
    </w:p>
    <w:p>
      <w:r>
        <w:t>状态为 draft→validated→published→retired；已发布版本不可修改。更新产生新草稿；draft 同时编辑须 baseVersion/If-Match，冲突返回409。没有有效配置是 unconfigured，不能当成“连接成功”。</w:t>
      </w:r>
    </w:p>
    <w:p>
      <w:r>
        <w:t>发布流程：编辑草稿 → 结构／权限／依赖校验 → 查看影响范围 → 必要连接／契约验证 → 发布 → 观察。影响预览列出新增请求路由、存储新写入位置、预计费用参数变化、现有快照是否保持、需要重新配置的平台项。</w:t>
      </w:r>
    </w:p>
    <w:p>
      <w:r>
        <w:t>回滚是重新发布旧版本组合，必须复验密钥是否仍有效、依赖是否兼容；不能恢复已经撤销的凭据。回滚配置不回滚账本、不删新产生的文件、不改旧订单和既有任务。紧急停用独立为有审计的拒绝新请求开关；查询／结算／安全删除仍可按规则继续。</w:t>
      </w:r>
    </w:p>
    <w:p>
      <w:pPr>
        <w:pStyle w:val="Heading2"/>
      </w:pPr>
      <w:r>
        <w:t>4. 密钥输入和测试</w:t>
      </w:r>
    </w:p>
    <w:p>
      <w:r>
        <w:t>- 后台只允许写入新 secret 值或选择已有 secretRef；返回掩码、版本、最后校验时间、到期时间和权限状态。没有“显示完整密钥”或前端直连供应商功能。</w:t>
      </w:r>
    </w:p>
    <w:p>
      <w:r>
        <w:t>- 生产 secrets 由密钥服务加密存储；测试用独立服务身份；凭据按必要操作和桶／前缀约束。密钥轮换分为写新版本、测试、切换新请求、确认旧任务完成、撤销旧版本。</w:t>
      </w:r>
    </w:p>
    <w:p>
      <w:r>
        <w:t>- 配置 endpoint 仅允许经部署策略批准的 HTTPS 主机；禁用用户自定义任意 headers、脚本、模板表达式。阻断 loopback／私网／链路本地／云元数据地址、DNS 重绑定及重定向绕过。开发环境的本地模拟适配器与生产分离。</w:t>
      </w:r>
    </w:p>
    <w:p>
      <w:r>
        <w:t>- 连接测试有 testId、测试配置 hash、结果层级、时间、错误码和耗时，5分钟内有效；配置或凭据版本改变即失效。成功必须写明验证了 DNS／认证／对象写读删／模型推理中的哪些内容。</w:t>
      </w:r>
    </w:p>
    <w:p>
      <w:r>
        <w:t>- 有费用的样图测试单独显示预计成本并由操作者确认，计入平台测试预算，不能默认消耗客户点数。</w:t>
      </w:r>
    </w:p>
    <w:p>
      <w:pPr>
        <w:pStyle w:val="Heading2"/>
      </w:pPr>
      <w:r>
        <w:t>5. 依赖与上线就绪</w:t>
      </w:r>
    </w:p>
    <w:p>
      <w:r>
        <w:t>GET /v1/capabilities 返回当前客户端可用能力：available／disabled／unconfigured／degraded、通用原因和 action；不返回存储桶、内部 endpoint 或密钥引用。配置缺失时可以进入已有作品读取／本地恢复，不展示可用的云上传、购买或生成成功按钮。</w:t>
      </w:r>
    </w:p>
    <w:p>
      <w:r>
        <w:t>上线就绪矩阵分别检查：存储可写可读、字体与模板许可、微信应用能力、支付渠道、AI 模型契约／预算／审核、worker／备份／通知。某一检查通过只使对应能力就绪，不能产生全站“已验证完整”标签。</w:t>
      </w:r>
    </w:p>
    <w:p>
      <w:pPr>
        <w:pStyle w:val="Heading2"/>
      </w:pPr>
      <w:r>
        <w:t>6. 首期与扩展</w:t>
      </w:r>
    </w:p>
    <w:p>
      <w:r>
        <w:t>首期需要配置版本、权限、草稿／测试／发布／回滚、密钥轮换、连接状态、能力开关和审计。按百分比自动灰度、多区域调度、工作区自带密钥、配置可视化脚本编排为后续扩展；不得通过任意脚本／任意 URL 来替代尚未开发的适配器。</w:t>
      </w:r>
    </w:p>
    <w:p>
      <w:r>
        <w:br w:type="page"/>
      </w:r>
    </w:p>
    <w:p>
      <w:pPr>
        <w:pStyle w:val="Heading1"/>
      </w:pPr>
      <w:r>
        <w:t>02 云存储与自定义文件夹</w:t>
      </w:r>
    </w:p>
    <w:p>
      <w:pPr>
        <w:pStyle w:val="Heading2"/>
      </w:pPr>
      <w:r>
        <w:t>1. 两类目录</w:t>
      </w:r>
    </w:p>
    <w:p>
      <w:r>
        <w:t>平台存储根目录决定云对象放在哪里，例如 album/prod/workspaces/...；用户素材文件夹决定素材库如何组织，例如“客户／张女士／婚礼原片”。两者独立：重命名用户文件夹不需要复制整个云存储目录，也不改变相册中的 assetId。</w:t>
      </w:r>
    </w:p>
    <w:p>
      <w:r>
        <w:t>当前推荐两者都支持，用户尚在确认自定义文件夹的具体范围。本章作为推荐设计，不将其自动记为已确认功能。</w:t>
      </w:r>
    </w:p>
    <w:p>
      <w:pPr>
        <w:pStyle w:val="Heading2"/>
      </w:pPr>
      <w:r>
        <w:t>2. 云存储 profile 字段</w:t>
      </w:r>
    </w:p>
    <w:p>
      <w:r>
        <w:t>profile 按环境隔离、按版本发布；首期一个默认写入 profile，可有多个旧只读 profile。供应商候选为阿里 OSS、腾讯 COS 和 S3 兼容存储；每个 adapter 独立实现、测试后才允许启用，不能宣称填任意 S3 地址就必然兼容。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类型／约束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id／version／environment</w:t>
            </w:r>
          </w:p>
        </w:tc>
        <w:tc>
          <w:tcPr>
            <w:tcW w:type="dxa" w:w="2880"/>
          </w:tcPr>
          <w:p>
            <w:r>
              <w:t>不可变引用</w:t>
            </w:r>
          </w:p>
        </w:tc>
        <w:tc>
          <w:tcPr>
            <w:tcW w:type="dxa" w:w="2880"/>
          </w:tcPr>
          <w:p>
            <w:r>
              <w:t>新请求与历史对象位置追溯</w:t>
            </w:r>
          </w:p>
        </w:tc>
      </w:tr>
      <w:tr>
        <w:tc>
          <w:tcPr>
            <w:tcW w:type="dxa" w:w="2880"/>
          </w:tcPr>
          <w:p>
            <w:r>
              <w:t>provider／adapterVersion</w:t>
            </w:r>
          </w:p>
        </w:tc>
        <w:tc>
          <w:tcPr>
            <w:tcW w:type="dxa" w:w="2880"/>
          </w:tcPr>
          <w:p>
            <w:r>
              <w:t>oss/cos/s3；必须已有实现</w:t>
            </w:r>
          </w:p>
        </w:tc>
        <w:tc>
          <w:tcPr>
            <w:tcW w:type="dxa" w:w="2880"/>
          </w:tcPr>
          <w:p>
            <w:r>
              <w:t>选择对应签名、分片和校验逻辑</w:t>
            </w:r>
          </w:p>
        </w:tc>
      </w:tr>
      <w:tr>
        <w:tc>
          <w:tcPr>
            <w:tcW w:type="dxa" w:w="2880"/>
          </w:tcPr>
          <w:p>
            <w:r>
              <w:t>region／endpoint／bucket</w:t>
            </w:r>
          </w:p>
        </w:tc>
        <w:tc>
          <w:tcPr>
            <w:tcW w:type="dxa" w:w="2880"/>
          </w:tcPr>
          <w:p>
            <w:r>
              <w:t>必填，HTTPS，批准主机</w:t>
            </w:r>
          </w:p>
        </w:tc>
        <w:tc>
          <w:tcPr>
            <w:tcW w:type="dxa" w:w="2880"/>
          </w:tcPr>
          <w:p>
            <w:r>
              <w:t>服务端存储连接；不允许通过客户端传参替换</w:t>
            </w:r>
          </w:p>
        </w:tc>
      </w:tr>
      <w:tr>
        <w:tc>
          <w:tcPr>
            <w:tcW w:type="dxa" w:w="2880"/>
          </w:tcPr>
          <w:p>
            <w:r>
              <w:t>credentialRef／credentialVersion</w:t>
            </w:r>
          </w:p>
        </w:tc>
        <w:tc>
          <w:tcPr>
            <w:tcW w:type="dxa" w:w="2880"/>
          </w:tcPr>
          <w:p>
            <w:r>
              <w:t>必填秘密引用</w:t>
            </w:r>
          </w:p>
        </w:tc>
        <w:tc>
          <w:tcPr>
            <w:tcW w:type="dxa" w:w="2880"/>
          </w:tcPr>
          <w:p>
            <w:r>
              <w:t>分离读／写／清理权限，禁止明文回传</w:t>
            </w:r>
          </w:p>
        </w:tc>
      </w:tr>
      <w:tr>
        <w:tc>
          <w:tcPr>
            <w:tcW w:type="dxa" w:w="2880"/>
          </w:tcPr>
          <w:p>
            <w:r>
              <w:t>basePrefix</w:t>
            </w:r>
          </w:p>
        </w:tc>
        <w:tc>
          <w:tcPr>
            <w:tcW w:type="dxa" w:w="2880"/>
          </w:tcPr>
          <w:p>
            <w:r>
              <w:t>1–256字符、非空相对前缀</w:t>
            </w:r>
          </w:p>
        </w:tc>
        <w:tc>
          <w:tcPr>
            <w:tcW w:type="dxa" w:w="2880"/>
          </w:tcPr>
          <w:p>
            <w:r>
              <w:t>自定义根目录；禁止 / 开头、反斜线、..、控制字符及编码后越界</w:t>
            </w:r>
          </w:p>
        </w:tc>
      </w:tr>
      <w:tr>
        <w:tc>
          <w:tcPr>
            <w:tcW w:type="dxa" w:w="2880"/>
          </w:tcPr>
          <w:p>
            <w:r>
              <w:t>keyPatternVersion</w:t>
            </w:r>
          </w:p>
        </w:tc>
        <w:tc>
          <w:tcPr>
            <w:tcW w:type="dxa" w:w="2880"/>
          </w:tcPr>
          <w:p>
            <w:r>
              <w:t>首期仅 v1</w:t>
            </w:r>
          </w:p>
        </w:tc>
        <w:tc>
          <w:tcPr>
            <w:tcW w:type="dxa" w:w="2880"/>
          </w:tcPr>
          <w:p>
            <w:r>
              <w:t>固定 token，不接受任意表达式</w:t>
            </w:r>
          </w:p>
        </w:tc>
      </w:tr>
      <w:tr>
        <w:tc>
          <w:tcPr>
            <w:tcW w:type="dxa" w:w="2880"/>
          </w:tcPr>
          <w:p>
            <w:r>
              <w:t>publicAccess</w:t>
            </w:r>
          </w:p>
        </w:tc>
        <w:tc>
          <w:tcPr>
            <w:tcW w:type="dxa" w:w="2880"/>
          </w:tcPr>
          <w:p>
            <w:r>
              <w:t>固定 false</w:t>
            </w:r>
          </w:p>
        </w:tc>
        <w:tc>
          <w:tcPr>
            <w:tcW w:type="dxa" w:w="2880"/>
          </w:tcPr>
          <w:p>
            <w:r>
              <w:t>原片／预览／产物全部私有；分享仍先鉴权</w:t>
            </w:r>
          </w:p>
        </w:tc>
      </w:tr>
      <w:tr>
        <w:tc>
          <w:tcPr>
            <w:tcW w:type="dxa" w:w="2880"/>
          </w:tcPr>
          <w:p>
            <w:r>
              <w:t>downloadDomain／cdnMode</w:t>
            </w:r>
          </w:p>
        </w:tc>
        <w:tc>
          <w:tcPr>
            <w:tcW w:type="dxa" w:w="2880"/>
          </w:tcPr>
          <w:p>
            <w:r>
              <w:t>可选，需私有签名能力</w:t>
            </w:r>
          </w:p>
        </w:tc>
        <w:tc>
          <w:tcPr>
            <w:tcW w:type="dxa" w:w="2880"/>
          </w:tcPr>
          <w:p>
            <w:r>
              <w:t>没有验证签名的 CDN 时使用源站短期 URL，不开放公共桶</w:t>
            </w:r>
          </w:p>
        </w:tc>
      </w:tr>
      <w:tr>
        <w:tc>
          <w:tcPr>
            <w:tcW w:type="dxa" w:w="2880"/>
          </w:tcPr>
          <w:p>
            <w:r>
              <w:t>allowedOrigins</w:t>
            </w:r>
          </w:p>
        </w:tc>
        <w:tc>
          <w:tcPr>
            <w:tcW w:type="dxa" w:w="2880"/>
          </w:tcPr>
          <w:p>
            <w:r>
              <w:t>精确 HTTPS 域名集合</w:t>
            </w:r>
          </w:p>
        </w:tc>
        <w:tc>
          <w:tcPr>
            <w:tcW w:type="dxa" w:w="2880"/>
          </w:tcPr>
          <w:p>
            <w:r>
              <w:t>网页上传／预览 CORS，不使用带凭据的 *</w:t>
            </w:r>
          </w:p>
        </w:tc>
      </w:tr>
      <w:tr>
        <w:tc>
          <w:tcPr>
            <w:tcW w:type="dxa" w:w="2880"/>
          </w:tcPr>
          <w:p>
            <w:r>
              <w:t>uploadTtlSeconds／downloadTtlSeconds</w:t>
            </w:r>
          </w:p>
        </w:tc>
        <w:tc>
          <w:tcPr>
            <w:tcW w:type="dxa" w:w="2880"/>
          </w:tcPr>
          <w:p>
            <w:r>
              <w:t>建议900／300；正整数≤3600</w:t>
            </w:r>
          </w:p>
        </w:tc>
        <w:tc>
          <w:tcPr>
            <w:tcW w:type="dxa" w:w="2880"/>
          </w:tcPr>
          <w:p>
            <w:r>
              <w:t>短期凭据有效期；不承诺 URL 可即时逐条撤销</w:t>
            </w:r>
          </w:p>
        </w:tc>
      </w:tr>
      <w:tr>
        <w:tc>
          <w:tcPr>
            <w:tcW w:type="dxa" w:w="2880"/>
          </w:tcPr>
          <w:p>
            <w:r>
              <w:t>encryptionMode</w:t>
            </w:r>
          </w:p>
        </w:tc>
        <w:tc>
          <w:tcPr>
            <w:tcW w:type="dxa" w:w="2880"/>
          </w:tcPr>
          <w:p>
            <w:r>
              <w:t>providerManaged／kms</w:t>
            </w:r>
          </w:p>
        </w:tc>
        <w:tc>
          <w:tcPr>
            <w:tcW w:type="dxa" w:w="2880"/>
          </w:tcPr>
          <w:p>
            <w:r>
              <w:t>仅支持 adapter 已验证模式；KMS 需对应引用和权限</w:t>
            </w:r>
          </w:p>
        </w:tc>
      </w:tr>
      <w:tr>
        <w:tc>
          <w:tcPr>
            <w:tcW w:type="dxa" w:w="2880"/>
          </w:tcPr>
          <w:p>
            <w:r>
              <w:t>multipartThresholdBytes／partBytes</w:t>
            </w:r>
          </w:p>
        </w:tc>
        <w:tc>
          <w:tcPr>
            <w:tcW w:type="dxa" w:w="2880"/>
          </w:tcPr>
          <w:p>
            <w:r>
              <w:t>依供应商能力校验</w:t>
            </w:r>
          </w:p>
        </w:tc>
        <w:tc>
          <w:tcPr>
            <w:tcW w:type="dxa" w:w="2880"/>
          </w:tcPr>
          <w:p>
            <w:r>
              <w:t>首期若不实现分片则 UI 标为不支持，不接受假配置</w:t>
            </w:r>
          </w:p>
        </w:tc>
      </w:tr>
      <w:tr>
        <w:tc>
          <w:tcPr>
            <w:tcW w:type="dxa" w:w="2880"/>
          </w:tcPr>
          <w:p>
            <w:r>
              <w:t>retentionPolicyRef／quotaPolicyRef</w:t>
            </w:r>
          </w:p>
        </w:tc>
        <w:tc>
          <w:tcPr>
            <w:tcW w:type="dxa" w:w="2880"/>
          </w:tcPr>
          <w:p>
            <w:r>
              <w:t>发布版本引用</w:t>
            </w:r>
          </w:p>
        </w:tc>
        <w:tc>
          <w:tcPr>
            <w:tcW w:type="dxa" w:w="2880"/>
          </w:tcPr>
          <w:p>
            <w:r>
              <w:t>回收期、导出过期、容量与成本告警</w:t>
            </w:r>
          </w:p>
        </w:tc>
      </w:tr>
    </w:tbl>
    <w:p>
      <w:r>
        <w:t>推荐对象 key 规则：{basePrefix}/{workspaceId}/{kind}/{yyyy}/{mm}/{assetId}/{contentHash}.{ext}；kind 仅 original／normalized／preview／document／font／template／generated／export／temporary。yyyy/mm 为创建时 UTC 年月。生成结果、导出产物也通过相应 ID 存储，不使用用户文件夹名、客户姓名、原始文件名或请求中的路径拼 key。</w:t>
      </w:r>
    </w:p>
    <w:p>
      <w:r>
        <w:t>后台提供“路径预览”：输入示例工作区、素材类型后显示展开结果，提示此变更只影响新写入。prefix 改名不是旧文件自动迁移；保存前校验同环境 profile 不会覆盖其他业务对象。</w:t>
      </w:r>
    </w:p>
    <w:p>
      <w:pPr>
        <w:pStyle w:val="Heading2"/>
      </w:pPr>
      <w:r>
        <w:t>3. 连接测试与上传</w:t>
      </w:r>
    </w:p>
    <w:p>
      <w:r>
        <w:t>连接测试：使用独立随机测试 key，在限定 temporary 前缀执行 PUT→GET→校验字节／hash→DELETE→确认清理。只列出桶不算写读通过；删除失败显示清理告警并纳入回收。禁止测试动作删除 prefix 下既有对象；不自动创建公共桶或扩大凭据权限。</w:t>
      </w:r>
    </w:p>
    <w:p>
      <w:r>
        <w:t>上传流程：鉴权和配额预占 → 服务端生成唯一 key／受限凭据 → 客户端上传 → complete → HEAD／magic／解码验证 → ready 或 rejected。25MB／80MP 等限制由服务端强制；归一化图／预览单独保存；照片不因上传云端自动发给 AI 供应商。相同工作区按 hash 提示重复，不向其他工作区泄露去重结果。</w:t>
      </w:r>
    </w:p>
    <w:p>
      <w:r>
        <w:t>素材记录至少有 workspaceId、assetId、origin、originalFilename（私有展示字段）、hash、width/height、state、folderId、createdAt；对象位置单独存 StorageObject{storageProfileId,profileVersion,bucket,key,objectVersionId,sha256,variant}。不可在读取时用当前 basePrefix 反推旧路径；相册文档继续只引用稳定 assetId。</w:t>
      </w:r>
    </w:p>
    <w:p>
      <w:pPr>
        <w:pStyle w:val="Heading2"/>
      </w:pPr>
      <w:r>
        <w:t>4. 用户逻辑文件夹</w:t>
      </w:r>
    </w:p>
    <w:p>
      <w:r>
        <w:t>推荐功能：新建、重命名、移动、批量移入、搜索、面包屑、按名称／时间排序、文件夹内上传与回收站。首期覆盖照片／生成素材库；相册项目列表独立分类，跨页排序不是文件夹排序。标签／智能相册可后续加入。</w:t>
      </w:r>
    </w:p>
    <w:p>
      <w:r>
        <w:t>AssetFolder{id,workspaceId,parentId,name,normalizedName,revision,createdBy,createdAt,deletedAt}。根目录为固定虚拟节点；同工作区同父级活跃文件夹名称唯一，采用 NFC＋大小写折叠比较。名称1–80个Unicode码点，禁止 /、\、控制字符、.、..，最大10级；前后空白去除。用户展示名不被用于对象 key。</w:t>
      </w:r>
    </w:p>
    <w:p>
      <w:r>
        <w:t>移动用事务检查工作区、角色、目标存在、循环、深度、名称冲突及 expectedRevision。两次并发重命名只有一个成功，另一方409；跨工作区移动首期拒绝，不能用“换 folderId”改变所有权。文件夹不提供独立外部共享 ACL，继承工作区权限，避免让移动操作绕过权限。</w:t>
      </w:r>
    </w:p>
    <w:p>
      <w:r>
        <w:t>建议工作区 owner/admin/designer 可管理素材和目录，viewer 只读；是否开放 designer 删除由角色策略控制。小程序可选择／新建简易目录、上传到目录、浏览／搜索；复杂批量移动可在网页完成，接口一致。</w:t>
      </w:r>
    </w:p>
    <w:p>
      <w:r>
        <w:t>删除界面显示子文件夹／素材数量以及“移入回收站，不会立即删除云对象”。首期使用中素材不直接删除：列出引用相册／活动任务数量，整批拒绝会破坏引用的目录删除；用户可以先独立移动未引用项，再清理无引用目录，不执行隐含的部分成功。不能级联静默移除作品中的图片。目录树删除／恢复按 operationId 和原 parentId 追溯；恢复时若同名冲突，提示重命名或改目标，不覆盖现存目录。</w:t>
      </w:r>
    </w:p>
    <w:p>
      <w:r>
        <w:t>回收期建议30天；超过期限物理清除前再次检查 revision、正在处理任务的 pin、合法保留要求和备份策略。会员到期／配额超额限制新增上传，保留现有访问与下载，不自动清空素材。逻辑移入回收站不代表已释放物理存储配额；配额在确认物理对象清理后更新，向用户解释占用来源。</w:t>
      </w:r>
    </w:p>
    <w:p>
      <w:pPr>
        <w:pStyle w:val="Heading2"/>
      </w:pPr>
      <w:r>
        <w:t>5. 根目录变更、存储迁移和下载</w:t>
      </w:r>
    </w:p>
    <w:p>
      <w:r>
        <w:t>切换默认 profile／basePrefix 只改变新上传和新产物写入。旧素材按对象记录读取；旧凭据在历史资源仍需读取时不能直接撤销。后台须展示每个 profile 的对象数、字节、活动任务引用和可否退役。</w:t>
      </w:r>
    </w:p>
    <w:p>
      <w:r>
        <w:t>历史迁移为独立任务：选范围→预估流量／存储费用→确认→复制→逐对象校验尺寸与SHA→条件更新locator→保留旧副本→引用核对→按保留策略清理。数据库不进行全局字符串替换；活动导出快照 pin 的旧 locator 保留到任务结束，迁移不能令已冻结快照失效。失败从逐对象检查点续传；回滚路由不自动删除新副本。跨区域迁移还需明确用户数据位置政策与供应商能力。</w:t>
      </w:r>
    </w:p>
    <w:p>
      <w:r>
        <w:t>下载先验证成员／分享权限，再发5分钟签名 URL。分享撤销后不发新 URL；已签发直连 URL 在有效期内可能仍可用。若要求即时撤销，必须使用网关／CDN边缘鉴权，不能把短期签名当即时撤销。私有 CDN 需要密钥、缓存 key、到期与源站回源策略实测后启用。</w:t>
      </w:r>
    </w:p>
    <w:p>
      <w:pPr>
        <w:pStyle w:val="Heading2"/>
      </w:pPr>
      <w:r>
        <w:t>6. 配额与保留</w:t>
      </w:r>
    </w:p>
    <w:p>
      <w:r>
        <w:t>配额按工作区、资源类别与物理占用计算；上传预占→校验成功转已用→失败释放，防止并发超额；去重计量规则只在工作区内生效。原片、归一图、版本与回收站单列用量；平台公共字体／模板字节不重复计入每个工作区存储，工作区自有生成素材计入。导出临时文件保留建议7天；未完成上传临时对象24小时清理，但不删除活动上传／任务 pin。</w:t>
      </w:r>
    </w:p>
    <w:p>
      <w:r>
        <w:t>数据库备份与对象备份分开配置，恢复时重放删除标记。不能把“迁到新桶”当备份，也不能让云生命周期规则独立删除仍被项目引用的原片；后台发布保留策略时检查这种冲突并阻断。</w:t>
      </w:r>
    </w:p>
    <w:p>
      <w:r>
        <w:br w:type="page"/>
      </w:r>
    </w:p>
    <w:p>
      <w:pPr>
        <w:pStyle w:val="Heading1"/>
      </w:pPr>
      <w:r>
        <w:t>03 AI 服务、模型与费用配置</w:t>
      </w:r>
    </w:p>
    <w:p>
      <w:pPr>
        <w:pStyle w:val="Heading2"/>
      </w:pPr>
      <w:r>
        <w:t>1. 能力分开配置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执行方式</w:t>
            </w:r>
          </w:p>
        </w:tc>
        <w:tc>
          <w:tcPr>
            <w:tcW w:type="dxa" w:w="2880"/>
          </w:tcPr>
          <w:p>
            <w:r>
              <w:t>费用与隐私</w:t>
            </w:r>
          </w:p>
        </w:tc>
      </w:tr>
      <w:tr>
        <w:tc>
          <w:tcPr>
            <w:tcW w:type="dxa" w:w="2880"/>
          </w:tcPr>
          <w:p>
            <w:r>
              <w:t>规则智能排版</w:t>
            </w:r>
          </w:p>
        </w:tc>
        <w:tc>
          <w:tcPr>
            <w:tcW w:type="dxa" w:w="2880"/>
          </w:tcPr>
          <w:p>
            <w:r>
              <w:t>自有规则／模板引擎</w:t>
            </w:r>
          </w:p>
        </w:tc>
        <w:tc>
          <w:tcPr>
            <w:tcW w:type="dxa" w:w="2880"/>
          </w:tcPr>
          <w:p>
            <w:r>
              <w:t>默认不调用外部生图、不消耗生图点数</w:t>
            </w:r>
          </w:p>
        </w:tc>
      </w:tr>
      <w:tr>
        <w:tc>
          <w:tcPr>
            <w:tcW w:type="dxa" w:w="2880"/>
          </w:tcPr>
          <w:p>
            <w:r>
              <w:t>标题／章节建议</w:t>
            </w:r>
          </w:p>
        </w:tc>
        <w:tc>
          <w:tcPr>
            <w:tcW w:type="dxa" w:w="2880"/>
          </w:tcPr>
          <w:p>
            <w:r>
              <w:t>可选文本模型</w:t>
            </w:r>
          </w:p>
        </w:tc>
        <w:tc>
          <w:tcPr>
            <w:tcW w:type="dxa" w:w="2880"/>
          </w:tcPr>
          <w:p>
            <w:r>
              <w:t>独立 capability 与报价，不作为完整成册的强依赖</w:t>
            </w:r>
          </w:p>
        </w:tc>
      </w:tr>
      <w:tr>
        <w:tc>
          <w:tcPr>
            <w:tcW w:type="dxa" w:w="2880"/>
          </w:tcPr>
          <w:p>
            <w:r>
              <w:t>文生图</w:t>
            </w:r>
          </w:p>
        </w:tc>
        <w:tc>
          <w:tcPr>
            <w:tcW w:type="dxa" w:w="2880"/>
          </w:tcPr>
          <w:p>
            <w:r>
              <w:t>生图 provider/model</w:t>
            </w:r>
          </w:p>
        </w:tc>
        <w:tc>
          <w:tcPr>
            <w:tcW w:type="dxa" w:w="2880"/>
          </w:tcPr>
          <w:p>
            <w:r>
              <w:t>接受任务前报价，成功一次结算</w:t>
            </w:r>
          </w:p>
        </w:tc>
      </w:tr>
      <w:tr>
        <w:tc>
          <w:tcPr>
            <w:tcW w:type="dxa" w:w="2880"/>
          </w:tcPr>
          <w:p>
            <w:r>
              <w:t>参考图水墨／彩绘</w:t>
            </w:r>
          </w:p>
        </w:tc>
        <w:tc>
          <w:tcPr>
            <w:tcW w:type="dxa" w:w="2880"/>
          </w:tcPr>
          <w:p>
            <w:r>
              <w:t>支持图生图的 model</w:t>
            </w:r>
          </w:p>
        </w:tc>
        <w:tc>
          <w:tcPr>
            <w:tcW w:type="dxa" w:w="2880"/>
          </w:tcPr>
          <w:p>
            <w:r>
              <w:t>明确参考图用途与传输；原片保留，结果新建素材</w:t>
            </w:r>
          </w:p>
        </w:tc>
      </w:tr>
      <w:tr>
        <w:tc>
          <w:tcPr>
            <w:tcW w:type="dxa" w:w="2880"/>
          </w:tcPr>
          <w:p>
            <w:r>
              <w:t>内容审核与来源标识</w:t>
            </w:r>
          </w:p>
        </w:tc>
        <w:tc>
          <w:tcPr>
            <w:tcW w:type="dxa" w:w="2880"/>
          </w:tcPr>
          <w:p>
            <w:r>
              <w:t>自有／供应商适配器</w:t>
            </w:r>
          </w:p>
        </w:tc>
        <w:tc>
          <w:tcPr>
            <w:tcW w:type="dxa" w:w="2880"/>
          </w:tcPr>
          <w:p>
            <w:r>
              <w:t>配置失败时阻断相应生成／发布，不隐藏缺口</w:t>
            </w:r>
          </w:p>
        </w:tc>
      </w:tr>
    </w:tbl>
    <w:p>
      <w:r>
        <w:t>不能只提供一个 API Key 输入框就宣称这些能力全部可用。OpenAI 兼容聊天接口不等于兼容生图、参考图、异步查询或取消；每个 adapter 必须声明能力并通过契约用例。</w:t>
      </w:r>
    </w:p>
    <w:p>
      <w:pPr>
        <w:pStyle w:val="Heading2"/>
      </w:pPr>
      <w:r>
        <w:t>2. 服务连接 ProviderConnection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约束与意义</w:t>
            </w:r>
          </w:p>
        </w:tc>
      </w:tr>
      <w:tr>
        <w:tc>
          <w:tcPr>
            <w:tcW w:type="dxa" w:w="4320"/>
          </w:tcPr>
          <w:p>
            <w:r>
              <w:t>id／version／name／environment</w:t>
            </w:r>
          </w:p>
        </w:tc>
        <w:tc>
          <w:tcPr>
            <w:tcW w:type="dxa" w:w="4320"/>
          </w:tcPr>
          <w:p>
            <w:r>
              <w:t>不可变版本，友好名称与环境隔离</w:t>
            </w:r>
          </w:p>
        </w:tc>
      </w:tr>
      <w:tr>
        <w:tc>
          <w:tcPr>
            <w:tcW w:type="dxa" w:w="4320"/>
          </w:tcPr>
          <w:p>
            <w:r>
              <w:t>adapterId／adapterVersion</w:t>
            </w:r>
          </w:p>
        </w:tc>
        <w:tc>
          <w:tcPr>
            <w:tcW w:type="dxa" w:w="4320"/>
          </w:tcPr>
          <w:p>
            <w:r>
              <w:t>选择已实现的供应商适配器；没有适配器的连接不能发布为可用</w:t>
            </w:r>
          </w:p>
        </w:tc>
      </w:tr>
      <w:tr>
        <w:tc>
          <w:tcPr>
            <w:tcW w:type="dxa" w:w="4320"/>
          </w:tcPr>
          <w:p>
            <w:r>
              <w:t>baseUrl</w:t>
            </w:r>
          </w:p>
        </w:tc>
        <w:tc>
          <w:tcPr>
            <w:tcW w:type="dxa" w:w="4320"/>
          </w:tcPr>
          <w:p>
            <w:r>
              <w:t>经平台批准的 HTTPS 地址，不拼接用户提供 URL</w:t>
            </w:r>
          </w:p>
        </w:tc>
      </w:tr>
      <w:tr>
        <w:tc>
          <w:tcPr>
            <w:tcW w:type="dxa" w:w="4320"/>
          </w:tcPr>
          <w:p>
            <w:r>
              <w:t>apiKeyRef／secretVersion</w:t>
            </w:r>
          </w:p>
        </w:tc>
        <w:tc>
          <w:tcPr>
            <w:tcW w:type="dxa" w:w="4320"/>
          </w:tcPr>
          <w:p>
            <w:r>
              <w:t>服务端秘密引用；不得进入网页／小程序包</w:t>
            </w:r>
          </w:p>
        </w:tc>
      </w:tr>
      <w:tr>
        <w:tc>
          <w:tcPr>
            <w:tcW w:type="dxa" w:w="4320"/>
          </w:tcPr>
          <w:p>
            <w:r>
              <w:t>authMode</w:t>
            </w:r>
          </w:p>
        </w:tc>
        <w:tc>
          <w:tcPr>
            <w:tcW w:type="dxa" w:w="4320"/>
          </w:tcPr>
          <w:p>
            <w:r>
              <w:t>adapter 预定义 bearer／签名等，不开放任意认证脚本</w:t>
            </w:r>
          </w:p>
        </w:tc>
      </w:tr>
      <w:tr>
        <w:tc>
          <w:tcPr>
            <w:tcW w:type="dxa" w:w="4320"/>
          </w:tcPr>
          <w:p>
            <w:r>
              <w:t>accountProjectRef／region</w:t>
            </w:r>
          </w:p>
        </w:tc>
        <w:tc>
          <w:tcPr>
            <w:tcW w:type="dxa" w:w="4320"/>
          </w:tcPr>
          <w:p>
            <w:r>
              <w:t>可选；供应商项目、区域等公开配置与秘密配置分离</w:t>
            </w:r>
          </w:p>
        </w:tc>
      </w:tr>
      <w:tr>
        <w:tc>
          <w:tcPr>
            <w:tcW w:type="dxa" w:w="4320"/>
          </w:tcPr>
          <w:p>
            <w:r>
              <w:t>connectTimeoutMs／requestTimeoutMs</w:t>
            </w:r>
          </w:p>
        </w:tc>
        <w:tc>
          <w:tcPr>
            <w:tcW w:type="dxa" w:w="4320"/>
          </w:tcPr>
          <w:p>
            <w:r>
              <w:t>adapter 约定范围，默认5秒连接／60秒单次请求；异步任务不把整个生成时长当一次HTTP超时</w:t>
            </w:r>
          </w:p>
        </w:tc>
      </w:tr>
      <w:tr>
        <w:tc>
          <w:tcPr>
            <w:tcW w:type="dxa" w:w="4320"/>
          </w:tcPr>
          <w:p>
            <w:r>
              <w:t>maxConcurrent／requestsPerMinute</w:t>
            </w:r>
          </w:p>
        </w:tc>
        <w:tc>
          <w:tcPr>
            <w:tcW w:type="dxa" w:w="4320"/>
          </w:tcPr>
          <w:p>
            <w:r>
              <w:t>正整数，平台／供应商／工作区限制取最严；服务端原子执行</w:t>
            </w:r>
          </w:p>
        </w:tc>
      </w:tr>
      <w:tr>
        <w:tc>
          <w:tcPr>
            <w:tcW w:type="dxa" w:w="4320"/>
          </w:tcPr>
          <w:p>
            <w:r>
              <w:t>dailyBudgetFen</w:t>
            </w:r>
          </w:p>
        </w:tc>
        <w:tc>
          <w:tcPr>
            <w:tcW w:type="dxa" w:w="4320"/>
          </w:tcPr>
          <w:p>
            <w:r>
              <w:t>生产必填非负整数；0表示停止新付费任务，不表示无限；预算日按 Asia/Shanghai，账本时间仍存 UTC</w:t>
            </w:r>
          </w:p>
        </w:tc>
      </w:tr>
      <w:tr>
        <w:tc>
          <w:tcPr>
            <w:tcW w:type="dxa" w:w="4320"/>
          </w:tcPr>
          <w:p>
            <w:r>
              <w:t>allowedDataUse／retentionPolicyRef</w:t>
            </w:r>
          </w:p>
        </w:tc>
        <w:tc>
          <w:tcPr>
            <w:tcW w:type="dxa" w:w="4320"/>
          </w:tcPr>
          <w:p>
            <w:r>
              <w:t>参考图可否传输、保留／训练用途声明、删除能力和服务区域；在用户确认前展示实际适用政策</w:t>
            </w:r>
          </w:p>
        </w:tc>
      </w:tr>
      <w:tr>
        <w:tc>
          <w:tcPr>
            <w:tcW w:type="dxa" w:w="4320"/>
          </w:tcPr>
          <w:p>
            <w:r>
              <w:t>enabled／healthStatus</w:t>
            </w:r>
          </w:p>
        </w:tc>
        <w:tc>
          <w:tcPr>
            <w:tcW w:type="dxa" w:w="4320"/>
          </w:tcPr>
          <w:p>
            <w:r>
              <w:t>disabled／unconfigured／ready／degraded；禁用默认只停新任务，已有任务仍可查询／终结</w:t>
            </w:r>
          </w:p>
        </w:tc>
      </w:tr>
    </w:tbl>
    <w:p>
      <w:r>
        <w:t>生产 secret 来自密钥服务。预算预警阈值默认80%，达到100%停止接受新的付费生成；已接受任务保留预算预占，不因日切或降额度重复扣用户点数。采购成本与对用户点数定价分开，不能把供应商金额直接当点数余额。</w:t>
      </w:r>
    </w:p>
    <w:p>
      <w:pPr>
        <w:pStyle w:val="Heading2"/>
      </w:pPr>
      <w:r>
        <w:t>3. 模型 ModelVersion 与参数</w:t>
      </w:r>
    </w:p>
    <w:p>
      <w:r>
        <w:t>ModelVersion：id、version、providerConnectionId/version、providerModelId、providerModelVersion、displayName、capabilities、inputSchemaVersion、outputSchemaVersion、parameterSchema、limits、licenseRef、commercialAllowed、labelPolicyRef、moderationPolicyRef、estimatedCostRuleRef、testReportRef、state。</w:t>
      </w:r>
    </w:p>
    <w:p>
      <w:r>
        <w:t>capabilities 至少区分 textToImage／imageToImage／textSuggestion／asyncQuery／cancel／idempotentSubmit；unsupported 的能力不显示可点操作。模型列表可手动登记，供应商没有列模型 API 时不伪造自动发现；“认证成功”也不代表登记的模型能推理。</w:t>
      </w:r>
    </w:p>
    <w:p>
      <w:r>
        <w:t>参数按 adapter 白名单映射：prompt／negativePrompt（若支持）、ratio 或 width/height、imageCount、referenceStrength、seed、steps／guidance（若支持）。不支持参数隐藏或只读说明；不偷偷忽略用户参数。尺寸、像素、格式、提示词长度、参考图张数／大小均由模型版本限制，超出先拒绝再报价。</w:t>
      </w:r>
    </w:p>
    <w:p>
      <w:r>
        <w:t>首期建议每个生成子任务1张图；多张请求拆成子任务各自报价与终态，避免半成功费用含糊。seed 只在供应商支持时展示，明确不承诺供应商逐像素复现。</w:t>
      </w:r>
    </w:p>
    <w:p>
      <w:r>
        <w:t>模型许可证记录来源、条款版本、商业范围、地域／内容限制、是否允许参考图及生成结果商用；有效期变化不能抹掉已有结果来源。供应商或模型“可商用”仍不能代替用户对参考图的合法授权。</w:t>
      </w:r>
    </w:p>
    <w:p>
      <w:pPr>
        <w:pStyle w:val="Heading2"/>
      </w:pPr>
      <w:r>
        <w:t>4. 路由、预设和默认模型</w:t>
      </w:r>
    </w:p>
    <w:p>
      <w:r>
        <w:t>RouteVersion 按 capability 绑定首选 ModelVersion 和可选备用。首期默认单个确定模型；路由切换影响新报价，不改变已接受任务。后台可以分别选择排版标题建议模型、文生图模型、参考图彩绘模型和审核策略，不用一个全局默认覆盖所有能力。</w:t>
      </w:r>
    </w:p>
    <w:p>
      <w:r>
        <w:t>自动备用只允许在确定尚未被上游接受的阶段使用，且仍满足已经报价的能力／质量／费用合同；否则撤销报价并请求重新确认。提交超时或状态未知时保持原 providerRequestId 查询，禁止自动跨模型再付费提交。</w:t>
      </w:r>
    </w:p>
    <w:p>
      <w:r>
        <w:t>PresetVersion：id／version、名称／分类、原创或授权来源、支持模型与参数模板、可编辑参数、示例及其用途许可、报价策略版本、审核／标识策略、状态。首期初始候选为山水水墨、人像淡彩、花鸟写意；示例在实际授权或原创生成后制作，不能复制受限 Zine 示例。非商业、许可不明、过期或依赖未就绪预设不能上架。</w:t>
      </w:r>
    </w:p>
    <w:p>
      <w:r>
        <w:t>文字模板只允许定义好的插值字段，不执行模型返回代码／任意模板表达式。生成图插入为图片层，标题、姓名、日期仍独立文字层，改字不触发生图和重复扣点。</w:t>
      </w:r>
    </w:p>
    <w:p>
      <w:pPr>
        <w:pStyle w:val="Heading2"/>
      </w:pPr>
      <w:r>
        <w:t>5. 报价、预算与任务版本</w:t>
      </w:r>
    </w:p>
    <w:p>
      <w:r>
        <w:t>Quote 固定 configReleaseId、routeVersion、modelVersion、presetVersion、costRuleVersion、点数、预估供应商成本、输入hash／参考图授权、有效期；建议有效5分钟，未接受不预占点数。接受时检查未过期、模型能力／预算可用、参考图可访问，再在事务内预占用户点数与平台成本预算，生成幂等任务和 outbox。</w:t>
      </w:r>
    </w:p>
    <w:p>
      <w:r>
        <w:t>任务冻结上述业务版本及供应商连接／秘密版本引用；任何配置发布不能改写运行中的 prompt、模型、价格或输出规格。紧急泄露凭据可以立即撤销，此时受影响任务先查询／终结，不把密钥轮换当作可重复生图的理由。</w:t>
      </w:r>
    </w:p>
    <w:p>
      <w:r>
        <w:t>预算控制使用供应商／环境的当日预占＋已发生费用；预算归属稳定 accountBillingId，不因连接版本、密钥轮换或模型切换归零。同一采购账户下多个连接共享账户预算并叠加各自上限。保守预算不足时拒绝新任务，防止并发请求穿透预算。日切保留旧日未终局预占；查询供应商成本与用户点数结算分别对账。非收费的 query 若供应商按请求计费，仍纳入平台成本记录。</w:t>
      </w:r>
    </w:p>
    <w:p>
      <w:r>
        <w:t>明确成功且审核通过后结算一次；明确失败／拒绝释放一次；未知状态查询并保留预占，建议终局上限30分钟，可按供应商合同调整。超过终局时限按既有会员文档释放、迟到结果不再次扣点／发布。不能由管理员把状态任意改为成功来绕过账本。</w:t>
      </w:r>
    </w:p>
    <w:p>
      <w:pPr>
        <w:pStyle w:val="Heading2"/>
      </w:pPr>
      <w:r>
        <w:t>6. 输入输出与连接测试</w:t>
      </w:r>
    </w:p>
    <w:p>
      <w:r>
        <w:t>输入参考图先验证当前工作区授权、格式、尺寸和用户用途确认，仅对选中的参考图生成短期供应商可用输入；不把全部相册上传。默认不向供应商泄露GPS和原始文件名。</w:t>
      </w:r>
    </w:p>
    <w:p>
      <w:r>
        <w:t>输出由服务端拉取／接收：只允许供应商已批准结果域名，限制下载大小、重定向、超时和实际解码像素；校验 MIME／magic／hash。进入 quarantine→审核／标识处理→ready，合格结果入私有素材库；网页不直接把上游临时 URL 当永久图片引用。</w:t>
      </w:r>
    </w:p>
    <w:p>
      <w:r>
        <w:t>连接测试分三层：网络／认证检查、能力契约检查、真实样图检查。真实样图测试明确显示预计费用，由平台测试预算承担；使用自制描述／授权参考图，不使用客户原片。结果报告实际模型、参数、生效配置版本、耗时、上游任务ID、可追溯输出与实际成本。</w:t>
      </w:r>
    </w:p>
    <w:p>
      <w:r>
        <w:t>适配器契约必测：同步成功、异步查询、明确拒绝、鉴权失败、429、提交超时但上游已接受、重复回调、取消竞态、坏结果和恶意URL。测试通过前模型状态为 unverified，不出现在用户可用模型列表。</w:t>
      </w:r>
    </w:p>
    <w:p>
      <w:pPr>
        <w:pStyle w:val="Heading2"/>
      </w:pPr>
      <w:r>
        <w:t>7. 管理界面与用户设置</w:t>
      </w:r>
    </w:p>
    <w:p>
      <w:r>
        <w:t>后台提供连接、模型、路由、预设、报价、用量／费用、测试记录及密钥轮换页面。列表显示可用能力、最后测试时间、版本和预算；日志显示任务号与错误类别，不显示完整密钥／提示词。</w:t>
      </w:r>
    </w:p>
    <w:p>
      <w:r>
        <w:t>用户界面仅可选择已发布风格／允许模型、支持的画幅／强度／张数、素材目录和当前用途；隐藏平台 endpoint、供应商秘密和采购成本。工作区不允许用偏好参数提高配额、跳过审核或覆盖标识政策。BYOK 若以后启用，另行设计工作区秘密托管、供应商费用归属及是否收取平台服务点数，不能默认为免计费或允许绕过内容规则。</w:t>
      </w:r>
    </w:p>
    <w:p>
      <w:r>
        <w:br w:type="page"/>
      </w:r>
    </w:p>
    <w:p>
      <w:pPr>
        <w:pStyle w:val="Heading1"/>
      </w:pPr>
      <w:r>
        <w:t>04 配置清单、研发合同与验收</w:t>
      </w:r>
    </w:p>
    <w:p>
      <w:pPr>
        <w:pStyle w:val="Heading2"/>
      </w:pPr>
      <w:r>
        <w:t>1. 首期配置覆盖表</w:t>
      </w:r>
    </w:p>
    <w:p>
      <w:r>
        <w:t>下表是首期必须设计／实现的配置面，不表示代码已经存在。推荐默认值仍需在对应单元验证；生产凭据、价格、供应商选择和保留政策在接入前确认。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配置域</w:t>
            </w:r>
          </w:p>
        </w:tc>
        <w:tc>
          <w:tcPr>
            <w:tcW w:type="dxa" w:w="2160"/>
          </w:tcPr>
          <w:p>
            <w:r>
              <w:t>必备配置</w:t>
            </w:r>
          </w:p>
        </w:tc>
        <w:tc>
          <w:tcPr>
            <w:tcW w:type="dxa" w:w="2160"/>
          </w:tcPr>
          <w:p>
            <w:r>
              <w:t>界面／修改者</w:t>
            </w:r>
          </w:p>
        </w:tc>
        <w:tc>
          <w:tcPr>
            <w:tcW w:type="dxa" w:w="2160"/>
          </w:tcPr>
          <w:p>
            <w:r>
              <w:t>研发归属</w:t>
            </w:r>
          </w:p>
        </w:tc>
      </w:tr>
      <w:tr>
        <w:tc>
          <w:tcPr>
            <w:tcW w:type="dxa" w:w="2160"/>
          </w:tcPr>
          <w:p>
            <w:r>
              <w:t>系统／环境</w:t>
            </w:r>
          </w:p>
        </w:tc>
        <w:tc>
          <w:tcPr>
            <w:tcW w:type="dxa" w:w="2160"/>
          </w:tcPr>
          <w:p>
            <w:r>
              <w:t>产品名、站点域名、支持联系方式、协议／隐私版本、web／mini能力开关、维护模式</w:t>
            </w:r>
          </w:p>
        </w:tc>
        <w:tc>
          <w:tcPr>
            <w:tcW w:type="dxa" w:w="2160"/>
          </w:tcPr>
          <w:p>
            <w:r>
              <w:t>平台设置；部署域名受白名单控制</w:t>
            </w:r>
          </w:p>
        </w:tc>
        <w:tc>
          <w:tcPr>
            <w:tcW w:type="dxa" w:w="2160"/>
          </w:tcPr>
          <w:p>
            <w:r>
              <w:t>C3／发布</w:t>
            </w:r>
          </w:p>
        </w:tc>
      </w:tr>
      <w:tr>
        <w:tc>
          <w:tcPr>
            <w:tcW w:type="dxa" w:w="2160"/>
          </w:tcPr>
          <w:p>
            <w:r>
              <w:t>云存储</w:t>
            </w:r>
          </w:p>
        </w:tc>
        <w:tc>
          <w:tcPr>
            <w:tcW w:type="dxa" w:w="2160"/>
          </w:tcPr>
          <w:p>
            <w:r>
              <w:t>provider、region、bucket、endpoint、secretRef、根前缀、私有下载、CORS、保留／配额</w:t>
            </w:r>
          </w:p>
        </w:tc>
        <w:tc>
          <w:tcPr>
            <w:tcW w:type="dxa" w:w="2160"/>
          </w:tcPr>
          <w:p>
            <w:r>
              <w:t>云存储后台；仅平台运维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用户文件夹</w:t>
            </w:r>
          </w:p>
        </w:tc>
        <w:tc>
          <w:tcPr>
            <w:tcW w:type="dxa" w:w="2160"/>
          </w:tcPr>
          <w:p>
            <w:r>
              <w:t>新建、层级、名称、移动、批量整理、目录内上传、搜索、回收／恢复</w:t>
            </w:r>
          </w:p>
        </w:tc>
        <w:tc>
          <w:tcPr>
            <w:tcW w:type="dxa" w:w="2160"/>
          </w:tcPr>
          <w:p>
            <w:r>
              <w:t>素材库；工作区角色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上传／素材</w:t>
            </w:r>
          </w:p>
        </w:tc>
        <w:tc>
          <w:tcPr>
            <w:tcW w:type="dxa" w:w="2160"/>
          </w:tcPr>
          <w:p>
            <w:r>
              <w:t>JPEG／PNG、25MB、80MP、500张／项目、预览尺寸、去重、未完成上传清理、使用中删除规则</w:t>
            </w:r>
          </w:p>
        </w:tc>
        <w:tc>
          <w:tcPr>
            <w:tcW w:type="dxa" w:w="2160"/>
          </w:tcPr>
          <w:p>
            <w:r>
              <w:t>配额策略；用户仅查看限制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AI 供应商</w:t>
            </w:r>
          </w:p>
        </w:tc>
        <w:tc>
          <w:tcPr>
            <w:tcW w:type="dxa" w:w="2160"/>
          </w:tcPr>
          <w:p>
            <w:r>
              <w:t>适配器、endpoint、凭据引用、超时、并发、限流、预算、数据用途</w:t>
            </w:r>
          </w:p>
        </w:tc>
        <w:tc>
          <w:tcPr>
            <w:tcW w:type="dxa" w:w="2160"/>
          </w:tcPr>
          <w:p>
            <w:r>
              <w:t>AI连接后台</w:t>
            </w:r>
          </w:p>
        </w:tc>
        <w:tc>
          <w:tcPr>
            <w:tcW w:type="dxa" w:w="2160"/>
          </w:tcPr>
          <w:p>
            <w:r>
              <w:t>C5／C4预算</w:t>
            </w:r>
          </w:p>
        </w:tc>
      </w:tr>
      <w:tr>
        <w:tc>
          <w:tcPr>
            <w:tcW w:type="dxa" w:w="2160"/>
          </w:tcPr>
          <w:p>
            <w:r>
              <w:t>AI 模型／路由</w:t>
            </w:r>
          </w:p>
        </w:tc>
        <w:tc>
          <w:tcPr>
            <w:tcW w:type="dxa" w:w="2160"/>
          </w:tcPr>
          <w:p>
            <w:r>
              <w:t>能力、默认模型、参数白名单、尺寸、参考图、路由版本、备用条件</w:t>
            </w:r>
          </w:p>
        </w:tc>
        <w:tc>
          <w:tcPr>
            <w:tcW w:type="dxa" w:w="2160"/>
          </w:tcPr>
          <w:p>
            <w:r>
              <w:t>模型／路由后台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AI 风格／报价</w:t>
            </w:r>
          </w:p>
        </w:tc>
        <w:tc>
          <w:tcPr>
            <w:tcW w:type="dxa" w:w="2160"/>
          </w:tcPr>
          <w:p>
            <w:r>
              <w:t>原创／授权、版本、示例、支持模型、用户点数、成本规则、5分钟报价</w:t>
            </w:r>
          </w:p>
        </w:tc>
        <w:tc>
          <w:tcPr>
            <w:tcW w:type="dxa" w:w="2160"/>
          </w:tcPr>
          <w:p>
            <w:r>
              <w:t>内容＋财务分权</w:t>
            </w:r>
          </w:p>
        </w:tc>
        <w:tc>
          <w:tcPr>
            <w:tcW w:type="dxa" w:w="2160"/>
          </w:tcPr>
          <w:p>
            <w:r>
              <w:t>C5／C4</w:t>
            </w:r>
          </w:p>
        </w:tc>
      </w:tr>
      <w:tr>
        <w:tc>
          <w:tcPr>
            <w:tcW w:type="dxa" w:w="2160"/>
          </w:tcPr>
          <w:p>
            <w:r>
              <w:t>登录／账号</w:t>
            </w:r>
          </w:p>
        </w:tc>
        <w:tc>
          <w:tcPr>
            <w:tcW w:type="dxa" w:w="2160"/>
          </w:tcPr>
          <w:p>
            <w:r>
              <w:t>网页／小程序AppID、登录回调域、secretRef、会话期限、绑定、注销；短信可选</w:t>
            </w:r>
          </w:p>
        </w:tc>
        <w:tc>
          <w:tcPr>
            <w:tcW w:type="dxa" w:w="2160"/>
          </w:tcPr>
          <w:p>
            <w:r>
              <w:t>登录后台；生效受平台能力约束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工作区／授权</w:t>
            </w:r>
          </w:p>
        </w:tc>
        <w:tc>
          <w:tcPr>
            <w:tcW w:type="dxa" w:w="2160"/>
          </w:tcPr>
          <w:p>
            <w:r>
              <w:t>角色、席位字段、可用功能、容量／并发权益、兑换码规则</w:t>
            </w:r>
          </w:p>
        </w:tc>
        <w:tc>
          <w:tcPr>
            <w:tcW w:type="dxa" w:w="2160"/>
          </w:tcPr>
          <w:p>
            <w:r>
              <w:t>权益后台；工作区不能改平台授予值</w:t>
            </w:r>
          </w:p>
        </w:tc>
        <w:tc>
          <w:tcPr>
            <w:tcW w:type="dxa" w:w="2160"/>
          </w:tcPr>
          <w:p>
            <w:r>
              <w:t>C3／C4</w:t>
            </w:r>
          </w:p>
        </w:tc>
      </w:tr>
      <w:tr>
        <w:tc>
          <w:tcPr>
            <w:tcW w:type="dxa" w:w="2160"/>
          </w:tcPr>
          <w:p>
            <w:r>
              <w:t>支付</w:t>
            </w:r>
          </w:p>
        </w:tc>
        <w:tc>
          <w:tcPr>
            <w:tcW w:type="dxa" w:w="2160"/>
          </w:tcPr>
          <w:p>
            <w:r>
              <w:t>商户／应用、证书／签名key引用、回调、渠道capability、查询／退款、商品映射</w:t>
            </w:r>
          </w:p>
        </w:tc>
        <w:tc>
          <w:tcPr>
            <w:tcW w:type="dxa" w:w="2160"/>
          </w:tcPr>
          <w:p>
            <w:r>
              <w:t>支付配置；实际准入验证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商品／会员</w:t>
            </w:r>
          </w:p>
        </w:tc>
        <w:tc>
          <w:tcPr>
            <w:tcW w:type="dxa" w:w="2160"/>
          </w:tcPr>
          <w:p>
            <w:r>
              <w:t>SKU版本、价格（分）、天数、额度／赠送、有效期、退款规则、停售</w:t>
            </w:r>
          </w:p>
        </w:tc>
        <w:tc>
          <w:tcPr>
            <w:tcW w:type="dxa" w:w="2160"/>
          </w:tcPr>
          <w:p>
            <w:r>
              <w:t>财务后台；价格须经营者确认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相册默认值</w:t>
            </w:r>
          </w:p>
        </w:tc>
        <w:tc>
          <w:tcPr>
            <w:tcW w:type="dxa" w:w="2160"/>
          </w:tcPr>
          <w:p>
            <w:r>
              <w:t>场景、单页尺寸、内页跨页数、出血3mm／安全区5mm建议值、默认模板</w:t>
            </w:r>
          </w:p>
        </w:tc>
        <w:tc>
          <w:tcPr>
            <w:tcW w:type="dxa" w:w="2160"/>
          </w:tcPr>
          <w:p>
            <w:r>
              <w:t>新建相册／工作区偏好</w:t>
            </w:r>
          </w:p>
        </w:tc>
        <w:tc>
          <w:tcPr>
            <w:tcW w:type="dxa" w:w="2160"/>
          </w:tcPr>
          <w:p>
            <w:r>
              <w:t>C1／C3</w:t>
            </w:r>
          </w:p>
        </w:tc>
      </w:tr>
      <w:tr>
        <w:tc>
          <w:tcPr>
            <w:tcW w:type="dxa" w:w="2160"/>
          </w:tcPr>
          <w:p>
            <w:r>
              <w:t>编辑器／排版</w:t>
            </w:r>
          </w:p>
        </w:tc>
        <w:tc>
          <w:tcPr>
            <w:tcW w:type="dxa" w:w="2160"/>
          </w:tcPr>
          <w:p>
            <w:r>
              <w:t>33配方版本、强度、字体版本、模板槽位、排版硬约束／评分、候选数量</w:t>
            </w:r>
          </w:p>
        </w:tc>
        <w:tc>
          <w:tcPr>
            <w:tcW w:type="dxa" w:w="2160"/>
          </w:tcPr>
          <w:p>
            <w:r>
              <w:t>内容与规则后台；不允许任意执行脚本</w:t>
            </w:r>
          </w:p>
        </w:tc>
        <w:tc>
          <w:tcPr>
            <w:tcW w:type="dxa" w:w="2160"/>
          </w:tcPr>
          <w:p>
            <w:r>
              <w:t>C1／C2／C5内容</w:t>
            </w:r>
          </w:p>
        </w:tc>
      </w:tr>
      <w:tr>
        <w:tc>
          <w:tcPr>
            <w:tcW w:type="dxa" w:w="2160"/>
          </w:tcPr>
          <w:p>
            <w:r>
              <w:t>导出</w:t>
            </w:r>
          </w:p>
        </w:tc>
        <w:tc>
          <w:tcPr>
            <w:tcW w:type="dxa" w:w="2160"/>
          </w:tcPr>
          <w:p>
            <w:r>
              <w:t>PNG／JPG／PDF、72／150／300DPI、singlePage／spread、50MP、内存预算、警告确认、产物7天保留</w:t>
            </w:r>
          </w:p>
        </w:tc>
        <w:tc>
          <w:tcPr>
            <w:tcW w:type="dxa" w:w="2160"/>
          </w:tcPr>
          <w:p>
            <w:r>
              <w:t>导出策略＋用户允许的选项</w:t>
            </w:r>
          </w:p>
        </w:tc>
        <w:tc>
          <w:tcPr>
            <w:tcW w:type="dxa" w:w="2160"/>
          </w:tcPr>
          <w:p>
            <w:r>
              <w:t>C1／C4</w:t>
            </w:r>
          </w:p>
        </w:tc>
      </w:tr>
      <w:tr>
        <w:tc>
          <w:tcPr>
            <w:tcW w:type="dxa" w:w="2160"/>
          </w:tcPr>
          <w:p>
            <w:r>
              <w:t>队列／worker</w:t>
            </w:r>
          </w:p>
        </w:tc>
        <w:tc>
          <w:tcPr>
            <w:tcW w:type="dxa" w:w="2160"/>
          </w:tcPr>
          <w:p>
            <w:r>
              <w:t>并发、租约、重试3次／10/30/90秒建议退避、公平调度、取消、OOM规则</w:t>
            </w:r>
          </w:p>
        </w:tc>
        <w:tc>
          <w:tcPr>
            <w:tcW w:type="dxa" w:w="2160"/>
          </w:tcPr>
          <w:p>
            <w:r>
              <w:t>运维策略，不超过部署硬上限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审核／AI标识</w:t>
            </w:r>
          </w:p>
        </w:tc>
        <w:tc>
          <w:tcPr>
            <w:tcW w:type="dxa" w:w="2160"/>
          </w:tcPr>
          <w:p>
            <w:r>
              <w:t>审核provider／secretRef、政策版本、参考图用途、来源追溯、显隐标识规则、拒绝／申诉入口</w:t>
            </w:r>
          </w:p>
        </w:tc>
        <w:tc>
          <w:tcPr>
            <w:tcW w:type="dxa" w:w="2160"/>
          </w:tcPr>
          <w:p>
            <w:r>
              <w:t>内容／合规配置；上线前核验实际规则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分享／下载</w:t>
            </w:r>
          </w:p>
        </w:tc>
        <w:tc>
          <w:tcPr>
            <w:tcW w:type="dxa" w:w="2160"/>
          </w:tcPr>
          <w:p>
            <w:r>
              <w:t>默认私有、分享有效期、撤销、短期URL300秒、是否使用网关即时鉴权</w:t>
            </w:r>
          </w:p>
        </w:tc>
        <w:tc>
          <w:tcPr>
            <w:tcW w:type="dxa" w:w="2160"/>
          </w:tcPr>
          <w:p>
            <w:r>
              <w:t>用户授权范围内设置；平台定义上限</w:t>
            </w:r>
          </w:p>
        </w:tc>
        <w:tc>
          <w:tcPr>
            <w:tcW w:type="dxa" w:w="2160"/>
          </w:tcPr>
          <w:p>
            <w:r>
              <w:t>C3／C4</w:t>
            </w:r>
          </w:p>
        </w:tc>
      </w:tr>
      <w:tr>
        <w:tc>
          <w:tcPr>
            <w:tcW w:type="dxa" w:w="2160"/>
          </w:tcPr>
          <w:p>
            <w:r>
              <w:t>通知</w:t>
            </w:r>
          </w:p>
        </w:tc>
        <w:tc>
          <w:tcPr>
            <w:tcW w:type="dxa" w:w="2160"/>
          </w:tcPr>
          <w:p>
            <w:r>
              <w:t>小程序订阅消息、站内通知、短信可选、事件模板、凭据、用户授权／退订</w:t>
            </w:r>
          </w:p>
        </w:tc>
        <w:tc>
          <w:tcPr>
            <w:tcW w:type="dxa" w:w="2160"/>
          </w:tcPr>
          <w:p>
            <w:r>
              <w:t>平台模板＋个人偏好</w:t>
            </w:r>
          </w:p>
        </w:tc>
        <w:tc>
          <w:tcPr>
            <w:tcW w:type="dxa" w:w="2160"/>
          </w:tcPr>
          <w:p>
            <w:r>
              <w:t>C3／C4／发布</w:t>
            </w:r>
          </w:p>
        </w:tc>
      </w:tr>
      <w:tr>
        <w:tc>
          <w:tcPr>
            <w:tcW w:type="dxa" w:w="2160"/>
          </w:tcPr>
          <w:p>
            <w:r>
              <w:t>备份／删除</w:t>
            </w:r>
          </w:p>
        </w:tc>
        <w:tc>
          <w:tcPr>
            <w:tcW w:type="dxa" w:w="2160"/>
          </w:tcPr>
          <w:p>
            <w:r>
              <w:t>DB备份、对象版本／备份、恢复、30天回收建议值、删除标记、日志保留</w:t>
            </w:r>
          </w:p>
        </w:tc>
        <w:tc>
          <w:tcPr>
            <w:tcW w:type="dxa" w:w="2160"/>
          </w:tcPr>
          <w:p>
            <w:r>
              <w:t>运维部署＋公开政策</w:t>
            </w:r>
          </w:p>
        </w:tc>
        <w:tc>
          <w:tcPr>
            <w:tcW w:type="dxa" w:w="2160"/>
          </w:tcPr>
          <w:p>
            <w:r>
              <w:t>发布</w:t>
            </w:r>
          </w:p>
        </w:tc>
      </w:tr>
      <w:tr>
        <w:tc>
          <w:tcPr>
            <w:tcW w:type="dxa" w:w="2160"/>
          </w:tcPr>
          <w:p>
            <w:r>
              <w:t>监控／运营</w:t>
            </w:r>
          </w:p>
        </w:tc>
        <w:tc>
          <w:tcPr>
            <w:tcW w:type="dxa" w:w="2160"/>
          </w:tcPr>
          <w:p>
            <w:r>
              <w:t>存储／生成成本、失败率、队列延迟、80%／100%预算告警、受控告警目的地、审计</w:t>
            </w:r>
          </w:p>
        </w:tc>
        <w:tc>
          <w:tcPr>
            <w:tcW w:type="dxa" w:w="2160"/>
          </w:tcPr>
          <w:p>
            <w:r>
              <w:t>运维／财务按权限查看</w:t>
            </w:r>
          </w:p>
        </w:tc>
        <w:tc>
          <w:tcPr>
            <w:tcW w:type="dxa" w:w="2160"/>
          </w:tcPr>
          <w:p>
            <w:r>
              <w:t>C4／C5／发布</w:t>
            </w:r>
          </w:p>
        </w:tc>
      </w:tr>
    </w:tbl>
    <w:p>
      <w:r>
        <w:t>推荐在后台概览显示每域状态、负责人角色、有效版本、未配置项及最近测试，而不是一个笼统的“系统设置”。Redis／数据库／秘密服务的根连接保留在部署配置，不能要求从一个尚未连接的数据库里读取自己的地址。</w:t>
      </w:r>
    </w:p>
    <w:p>
      <w:pPr>
        <w:pStyle w:val="Heading2"/>
      </w:pPr>
      <w:r>
        <w:t>2. 数据与接口增补</w:t>
      </w:r>
    </w:p>
    <w:p>
      <w:r>
        <w:t>本节为接口合同建议；正式 OpenAPI、DTO、迁移及错误码枚举在对应计划中落地。</w:t>
      </w:r>
    </w:p>
    <w:p>
      <w:r>
        <w:t>新增实体：config_versions／config_releases／config_tests／config_audit_events、storage_profiles／storage_objects／storage_migration_items、asset_folders／folder_operations、ai_provider_versions／ai_model_versions／ai_route_versions／cost_rule_versions／provider_budget_reservations。现有 project/revision、job/snapshot、asset、SKU、ledger 复用，不复制第二套账本。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</w:t>
            </w:r>
          </w:p>
        </w:tc>
        <w:tc>
          <w:tcPr>
            <w:tcW w:type="dxa" w:w="4320"/>
          </w:tcPr>
          <w:p>
            <w:r>
              <w:t>合同要点</w:t>
            </w:r>
          </w:p>
        </w:tc>
      </w:tr>
      <w:tr>
        <w:tc>
          <w:tcPr>
            <w:tcW w:type="dxa" w:w="4320"/>
          </w:tcPr>
          <w:p>
            <w:r>
              <w:t>GET /v1/admin/config/overview</w:t>
            </w:r>
          </w:p>
        </w:tc>
        <w:tc>
          <w:tcPr>
            <w:tcW w:type="dxa" w:w="4320"/>
          </w:tcPr>
          <w:p>
            <w:r>
              <w:t>各域状态与公开摘要，按角色过滤；不回传秘密</w:t>
            </w:r>
          </w:p>
        </w:tc>
      </w:tr>
      <w:tr>
        <w:tc>
          <w:tcPr>
            <w:tcW w:type="dxa" w:w="4320"/>
          </w:tcPr>
          <w:p>
            <w:r>
              <w:t>POST /v1/admin/config/{namespace}/drafts</w:t>
            </w:r>
          </w:p>
        </w:tc>
        <w:tc>
          <w:tcPr>
            <w:tcW w:type="dxa" w:w="4320"/>
          </w:tcPr>
          <w:p>
            <w:r>
              <w:t>baseVersion、payload、secretBindings；结构／权限校验</w:t>
            </w:r>
          </w:p>
        </w:tc>
      </w:tr>
      <w:tr>
        <w:tc>
          <w:tcPr>
            <w:tcW w:type="dxa" w:w="4320"/>
          </w:tcPr>
          <w:p>
            <w:r>
              <w:t>PATCH /v1/admin/config/drafts/{id}</w:t>
            </w:r>
          </w:p>
        </w:tc>
        <w:tc>
          <w:tcPr>
            <w:tcW w:type="dxa" w:w="4320"/>
          </w:tcPr>
          <w:p>
            <w:r>
              <w:t>If-Match；409冲突；密钥只能更换引用或新版本</w:t>
            </w:r>
          </w:p>
        </w:tc>
      </w:tr>
      <w:tr>
        <w:tc>
          <w:tcPr>
            <w:tcW w:type="dxa" w:w="4320"/>
          </w:tcPr>
          <w:p>
            <w:r>
              <w:t>POST /v1/admin/config/drafts/{id}/tests</w:t>
            </w:r>
          </w:p>
        </w:tc>
        <w:tc>
          <w:tcPr>
            <w:tcW w:type="dxa" w:w="4320"/>
          </w:tcPr>
          <w:p>
            <w:r>
              <w:t>testKind=connection/contract/sample；样图需成本确认／测试预算</w:t>
            </w:r>
          </w:p>
        </w:tc>
      </w:tr>
      <w:tr>
        <w:tc>
          <w:tcPr>
            <w:tcW w:type="dxa" w:w="4320"/>
          </w:tcPr>
          <w:p>
            <w:r>
              <w:t>POST /v1/admin/config/releases</w:t>
            </w:r>
          </w:p>
        </w:tc>
        <w:tc>
          <w:tcPr>
            <w:tcW w:type="dxa" w:w="4320"/>
          </w:tcPr>
          <w:p>
            <w:r>
              <w:t>versionIds、testIds、reason；原子发布一致组合，检查测试与配置hash绑定</w:t>
            </w:r>
          </w:p>
        </w:tc>
      </w:tr>
      <w:tr>
        <w:tc>
          <w:tcPr>
            <w:tcW w:type="dxa" w:w="4320"/>
          </w:tcPr>
          <w:p>
            <w:r>
              <w:t>POST /v1/admin/config/releases/{id}/rollback</w:t>
            </w:r>
          </w:p>
        </w:tc>
        <w:tc>
          <w:tcPr>
            <w:tcW w:type="dxa" w:w="4320"/>
          </w:tcPr>
          <w:p>
            <w:r>
              <w:t>reason、expectedCurrentRelease；复验有效性并生成新release，不覆写历史</w:t>
            </w:r>
          </w:p>
        </w:tc>
      </w:tr>
      <w:tr>
        <w:tc>
          <w:tcPr>
            <w:tcW w:type="dxa" w:w="4320"/>
          </w:tcPr>
          <w:p>
            <w:r>
              <w:t>GET /v1/admin/config/audit</w:t>
            </w:r>
          </w:p>
        </w:tc>
        <w:tc>
          <w:tcPr>
            <w:tcW w:type="dxa" w:w="4320"/>
          </w:tcPr>
          <w:p>
            <w:r>
              <w:t>时间／操作者／命名空间筛选，按权限返回脱敏差异</w:t>
            </w:r>
          </w:p>
        </w:tc>
      </w:tr>
      <w:tr>
        <w:tc>
          <w:tcPr>
            <w:tcW w:type="dxa" w:w="4320"/>
          </w:tcPr>
          <w:p>
            <w:r>
              <w:t>GET /v1/capabilities</w:t>
            </w:r>
          </w:p>
        </w:tc>
        <w:tc>
          <w:tcPr>
            <w:tcW w:type="dxa" w:w="4320"/>
          </w:tcPr>
          <w:p>
            <w:r>
              <w:t>客户端允许的能力、状态、通用原因，禁止泄露内部连接信息</w:t>
            </w:r>
          </w:p>
        </w:tc>
      </w:tr>
      <w:tr>
        <w:tc>
          <w:tcPr>
            <w:tcW w:type="dxa" w:w="4320"/>
          </w:tcPr>
          <w:p>
            <w:r>
              <w:t>GET /v1/workspaces/{wid}/folders</w:t>
            </w:r>
          </w:p>
        </w:tc>
        <w:tc>
          <w:tcPr>
            <w:tcW w:type="dxa" w:w="4320"/>
          </w:tcPr>
          <w:p>
            <w:r>
              <w:t>parentId、cursor、search；工作区权限；回收站单独状态</w:t>
            </w:r>
          </w:p>
        </w:tc>
      </w:tr>
      <w:tr>
        <w:tc>
          <w:tcPr>
            <w:tcW w:type="dxa" w:w="4320"/>
          </w:tcPr>
          <w:p>
            <w:r>
              <w:t>POST /v1/workspaces/{wid}/folders</w:t>
            </w:r>
          </w:p>
        </w:tc>
        <w:tc>
          <w:tcPr>
            <w:tcW w:type="dxa" w:w="4320"/>
          </w:tcPr>
          <w:p>
            <w:r>
              <w:t>parentId、name、operationId；名称唯一、层级与权限校验</w:t>
            </w:r>
          </w:p>
        </w:tc>
      </w:tr>
      <w:tr>
        <w:tc>
          <w:tcPr>
            <w:tcW w:type="dxa" w:w="4320"/>
          </w:tcPr>
          <w:p>
            <w:r>
              <w:t>PATCH /v1/workspaces/{wid}/folders/{fid}</w:t>
            </w:r>
          </w:p>
        </w:tc>
        <w:tc>
          <w:tcPr>
            <w:tcW w:type="dxa" w:w="4320"/>
          </w:tcPr>
          <w:p>
            <w:r>
              <w:t>name/parentId、expectedRevision；防循环／跨工作区</w:t>
            </w:r>
          </w:p>
        </w:tc>
      </w:tr>
      <w:tr>
        <w:tc>
          <w:tcPr>
            <w:tcW w:type="dxa" w:w="4320"/>
          </w:tcPr>
          <w:p>
            <w:r>
              <w:t>POST /v1/workspaces/{wid}/assets/batch-move</w:t>
            </w:r>
          </w:p>
        </w:tc>
        <w:tc>
          <w:tcPr>
            <w:tcW w:type="dxa" w:w="4320"/>
          </w:tcPr>
          <w:p>
            <w:r>
              <w:t>assetIds、targetFolderId、operationId；逐项校验；同事务提交或返回明确未提交错误</w:t>
            </w:r>
          </w:p>
        </w:tc>
      </w:tr>
      <w:tr>
        <w:tc>
          <w:tcPr>
            <w:tcW w:type="dxa" w:w="4320"/>
          </w:tcPr>
          <w:p>
            <w:r>
              <w:t>POST /v1/workspaces/{wid}/folders/{fid}/trash</w:t>
            </w:r>
          </w:p>
        </w:tc>
        <w:tc>
          <w:tcPr>
            <w:tcW w:type="dxa" w:w="4320"/>
          </w:tcPr>
          <w:p>
            <w:r>
              <w:t>expectedRevision、operationId；预检引用影响，拒绝破坏使用中素材</w:t>
            </w:r>
          </w:p>
        </w:tc>
      </w:tr>
      <w:tr>
        <w:tc>
          <w:tcPr>
            <w:tcW w:type="dxa" w:w="4320"/>
          </w:tcPr>
          <w:p>
            <w:r>
              <w:t>POST /v1/workspaces/{wid}/folders/{fid}/restore</w:t>
            </w:r>
          </w:p>
        </w:tc>
        <w:tc>
          <w:tcPr>
            <w:tcW w:type="dxa" w:w="4320"/>
          </w:tcPr>
          <w:p>
            <w:r>
              <w:t>targetParentId、name、operationId；同名冲突不得覆盖</w:t>
            </w:r>
          </w:p>
        </w:tc>
      </w:tr>
      <w:tr>
        <w:tc>
          <w:tcPr>
            <w:tcW w:type="dxa" w:w="4320"/>
          </w:tcPr>
          <w:p>
            <w:r>
              <w:t>GET /v1/workspaces/{wid}/storage-usage</w:t>
            </w:r>
          </w:p>
        </w:tc>
        <w:tc>
          <w:tcPr>
            <w:tcW w:type="dxa" w:w="4320"/>
          </w:tcPr>
          <w:p>
            <w:r>
              <w:t>活跃／回收／版本／预占字节与权益上限，不泄露其他工作区</w:t>
            </w:r>
          </w:p>
        </w:tc>
      </w:tr>
      <w:tr>
        <w:tc>
          <w:tcPr>
            <w:tcW w:type="dxa" w:w="4320"/>
          </w:tcPr>
          <w:p>
            <w:r>
              <w:t>POST /v1/admin/storage-migrations</w:t>
            </w:r>
          </w:p>
        </w:tc>
        <w:tc>
          <w:tcPr>
            <w:tcW w:type="dxa" w:w="4320"/>
          </w:tcPr>
          <w:p>
            <w:r>
              <w:t>sourceProfile、targetProfileVersion、范围、估算确认；异步、检查点／取消／审计</w:t>
            </w:r>
          </w:p>
        </w:tc>
      </w:tr>
    </w:tbl>
    <w:p>
      <w:r>
        <w:t>浏览／选择模型在已有公开 generation preset API 中提供，生成任务仍走既有 quote→job；不另建能跳过报价／预算的“直接调用模型”用户接口。管理样图测试使用独立测试任务和平台测试预算。</w:t>
      </w:r>
    </w:p>
    <w:p>
      <w:pPr>
        <w:pStyle w:val="Heading2"/>
      </w:pPr>
      <w:r>
        <w:t>3. 变更对现有模块的影响</w:t>
      </w:r>
    </w:p>
    <w:p>
      <w:r>
        <w:t>- assetId 与 StorageObject locator 分离，文档 schema 不出现 bucket/key；旧文件夹改名不产生相册 revision。</w:t>
      </w:r>
    </w:p>
    <w:p>
      <w:r>
        <w:t>- 用户默认设置只影响新建项目，不静默重排现有作品；工作区设置与文档 revision 分开。</w:t>
      </w:r>
    </w:p>
    <w:p>
      <w:r>
        <w:t>- job 保存 configReleaseId 和不可变业务版本；储存位置、模型、报价、模板、字体和标识策略均可追溯。</w:t>
      </w:r>
    </w:p>
    <w:p>
      <w:r>
        <w:t>- 模型／SKU／模板停用默认影响新请求；旧订单与已接受任务按其快照完成，紧急安全停用走明确终结与补偿，不伪装正常。</w:t>
      </w:r>
    </w:p>
    <w:p>
      <w:r>
        <w:t>- 新增配置域必须同时定义字段schema、权限、秘密分类、依赖、默认禁用行为、连接／功能测试、审计和任务快照影响；只加表单不算交付。</w:t>
      </w:r>
    </w:p>
    <w:p>
      <w:pPr>
        <w:pStyle w:val="Heading2"/>
      </w:pPr>
      <w:r>
        <w:t>4. 验收案例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操作／故障</w:t>
            </w:r>
          </w:p>
        </w:tc>
        <w:tc>
          <w:tcPr>
            <w:tcW w:type="dxa" w:w="2880"/>
          </w:tcPr>
          <w:p>
            <w:r>
              <w:t>通过条件</w:t>
            </w:r>
          </w:p>
        </w:tc>
      </w:tr>
      <w:tr>
        <w:tc>
          <w:tcPr>
            <w:tcW w:type="dxa" w:w="2880"/>
          </w:tcPr>
          <w:p>
            <w:r>
              <w:t>CFG-01</w:t>
            </w:r>
          </w:p>
        </w:tc>
        <w:tc>
          <w:tcPr>
            <w:tcW w:type="dxa" w:w="2880"/>
          </w:tcPr>
          <w:p>
            <w:r>
              <w:t>普通用户请求后台配置／财务角色改AI密钥</w:t>
            </w:r>
          </w:p>
        </w:tc>
        <w:tc>
          <w:tcPr>
            <w:tcW w:type="dxa" w:w="2880"/>
          </w:tcPr>
          <w:p>
            <w:r>
              <w:t>拒绝；公开能力与日志均不泄露秘密</w:t>
            </w:r>
          </w:p>
        </w:tc>
      </w:tr>
      <w:tr>
        <w:tc>
          <w:tcPr>
            <w:tcW w:type="dxa" w:w="2880"/>
          </w:tcPr>
          <w:p>
            <w:r>
              <w:t>CFG-02</w:t>
            </w:r>
          </w:p>
        </w:tc>
        <w:tc>
          <w:tcPr>
            <w:tcW w:type="dxa" w:w="2880"/>
          </w:tcPr>
          <w:p>
            <w:r>
              <w:t>两管理员修改同草稿、发布期间worker刷新失败</w:t>
            </w:r>
          </w:p>
        </w:tc>
        <w:tc>
          <w:tcPr>
            <w:tcW w:type="dxa" w:w="2880"/>
          </w:tcPr>
          <w:p>
            <w:r>
              <w:t>409冲突；进程只使用一份完整有效release，不混新旧价格</w:t>
            </w:r>
          </w:p>
        </w:tc>
      </w:tr>
      <w:tr>
        <w:tc>
          <w:tcPr>
            <w:tcW w:type="dxa" w:w="2880"/>
          </w:tcPr>
          <w:p>
            <w:r>
              <w:t>CFG-03</w:t>
            </w:r>
          </w:p>
        </w:tc>
        <w:tc>
          <w:tcPr>
            <w:tcW w:type="dxa" w:w="2880"/>
          </w:tcPr>
          <w:p>
            <w:r>
              <w:t>写入新key、错误key、轮换后回滚已撤销key</w:t>
            </w:r>
          </w:p>
        </w:tc>
        <w:tc>
          <w:tcPr>
            <w:tcW w:type="dxa" w:w="2880"/>
          </w:tcPr>
          <w:p>
            <w:r>
              <w:t>明文不可读回；错误不可启用；无效旧key不能复活</w:t>
            </w:r>
          </w:p>
        </w:tc>
      </w:tr>
      <w:tr>
        <w:tc>
          <w:tcPr>
            <w:tcW w:type="dxa" w:w="2880"/>
          </w:tcPr>
          <w:p>
            <w:r>
              <w:t>CFG-04</w:t>
            </w:r>
          </w:p>
        </w:tc>
        <w:tc>
          <w:tcPr>
            <w:tcW w:type="dxa" w:w="2880"/>
          </w:tcPr>
          <w:p>
            <w:r>
              <w:t>仅认证测试通过但模型未实际验证</w:t>
            </w:r>
          </w:p>
        </w:tc>
        <w:tc>
          <w:tcPr>
            <w:tcW w:type="dxa" w:w="2880"/>
          </w:tcPr>
          <w:p>
            <w:r>
              <w:t>UI区分测试层级，未验证能力不显示可用</w:t>
            </w:r>
          </w:p>
        </w:tc>
      </w:tr>
      <w:tr>
        <w:tc>
          <w:tcPr>
            <w:tcW w:type="dxa" w:w="2880"/>
          </w:tcPr>
          <w:p>
            <w:r>
              <w:t>STORE-01</w:t>
            </w:r>
          </w:p>
        </w:tc>
        <w:tc>
          <w:tcPr>
            <w:tcW w:type="dxa" w:w="2880"/>
          </w:tcPr>
          <w:p>
            <w:r>
              <w:t>配置 basePrefix 并预览；尝试 ../、绝对路径、编码越界</w:t>
            </w:r>
          </w:p>
        </w:tc>
        <w:tc>
          <w:tcPr>
            <w:tcW w:type="dxa" w:w="2880"/>
          </w:tcPr>
          <w:p>
            <w:r>
              <w:t>合法新对象位置符合规则；非法路径拒绝；客户端不能自选key</w:t>
            </w:r>
          </w:p>
        </w:tc>
      </w:tr>
      <w:tr>
        <w:tc>
          <w:tcPr>
            <w:tcW w:type="dxa" w:w="2880"/>
          </w:tcPr>
          <w:p>
            <w:r>
              <w:t>STORE-02</w:t>
            </w:r>
          </w:p>
        </w:tc>
        <w:tc>
          <w:tcPr>
            <w:tcW w:type="dxa" w:w="2880"/>
          </w:tcPr>
          <w:p>
            <w:r>
              <w:t>改prefix后读旧照片、导出已接受任务</w:t>
            </w:r>
          </w:p>
        </w:tc>
        <w:tc>
          <w:tcPr>
            <w:tcW w:type="dxa" w:w="2880"/>
          </w:tcPr>
          <w:p>
            <w:r>
              <w:t>仍用旧locator，原片读取和快照不受新路径影响</w:t>
            </w:r>
          </w:p>
        </w:tc>
      </w:tr>
      <w:tr>
        <w:tc>
          <w:tcPr>
            <w:tcW w:type="dxa" w:w="2880"/>
          </w:tcPr>
          <w:p>
            <w:r>
              <w:t>STORE-03</w:t>
            </w:r>
          </w:p>
        </w:tc>
        <w:tc>
          <w:tcPr>
            <w:tcW w:type="dxa" w:w="2880"/>
          </w:tcPr>
          <w:p>
            <w:r>
              <w:t>随机写读删测试中删除失败</w:t>
            </w:r>
          </w:p>
        </w:tc>
        <w:tc>
          <w:tcPr>
            <w:tcW w:type="dxa" w:w="2880"/>
          </w:tcPr>
          <w:p>
            <w:r>
              <w:t>显示测试范围／残留清理告警，不删除既有对象</w:t>
            </w:r>
          </w:p>
        </w:tc>
      </w:tr>
      <w:tr>
        <w:tc>
          <w:tcPr>
            <w:tcW w:type="dxa" w:w="2880"/>
          </w:tcPr>
          <w:p>
            <w:r>
              <w:t>STORE-04</w:t>
            </w:r>
          </w:p>
        </w:tc>
        <w:tc>
          <w:tcPr>
            <w:tcW w:type="dxa" w:w="2880"/>
          </w:tcPr>
          <w:p>
            <w:r>
              <w:t>迁移中断、hash错误、活动任务pin旧文件</w:t>
            </w:r>
          </w:p>
        </w:tc>
        <w:tc>
          <w:tcPr>
            <w:tcW w:type="dxa" w:w="2880"/>
          </w:tcPr>
          <w:p>
            <w:r>
              <w:t>失败不更新locator；可续传；活动引用的旧对象保留</w:t>
            </w:r>
          </w:p>
        </w:tc>
      </w:tr>
      <w:tr>
        <w:tc>
          <w:tcPr>
            <w:tcW w:type="dxa" w:w="2880"/>
          </w:tcPr>
          <w:p>
            <w:r>
              <w:t>FOLDER-01</w:t>
            </w:r>
          </w:p>
        </w:tc>
        <w:tc>
          <w:tcPr>
            <w:tcW w:type="dxa" w:w="2880"/>
          </w:tcPr>
          <w:p>
            <w:r>
              <w:t>新建、重命名、跨层移动、同名／循环／11级目录</w:t>
            </w:r>
          </w:p>
        </w:tc>
        <w:tc>
          <w:tcPr>
            <w:tcW w:type="dxa" w:w="2880"/>
          </w:tcPr>
          <w:p>
            <w:r>
              <w:t>合法操作成功，冲突／越界明确拒绝；对象key不变</w:t>
            </w:r>
          </w:p>
        </w:tc>
      </w:tr>
      <w:tr>
        <w:tc>
          <w:tcPr>
            <w:tcW w:type="dxa" w:w="2880"/>
          </w:tcPr>
          <w:p>
            <w:r>
              <w:t>FOLDER-02</w:t>
            </w:r>
          </w:p>
        </w:tc>
        <w:tc>
          <w:tcPr>
            <w:tcW w:type="dxa" w:w="2880"/>
          </w:tcPr>
          <w:p>
            <w:r>
              <w:t>两工作区ID混用、viewer移动、跨区批量移动</w:t>
            </w:r>
          </w:p>
        </w:tc>
        <w:tc>
          <w:tcPr>
            <w:tcW w:type="dxa" w:w="2880"/>
          </w:tcPr>
          <w:p>
            <w:r>
              <w:t>无越权；整批不出现部分静默成功</w:t>
            </w:r>
          </w:p>
        </w:tc>
      </w:tr>
      <w:tr>
        <w:tc>
          <w:tcPr>
            <w:tcW w:type="dxa" w:w="2880"/>
          </w:tcPr>
          <w:p>
            <w:r>
              <w:t>FOLDER-03</w:t>
            </w:r>
          </w:p>
        </w:tc>
        <w:tc>
          <w:tcPr>
            <w:tcW w:type="dxa" w:w="2880"/>
          </w:tcPr>
          <w:p>
            <w:r>
              <w:t>删除有项目引用目录、回收后同名恢复</w:t>
            </w:r>
          </w:p>
        </w:tc>
        <w:tc>
          <w:tcPr>
            <w:tcW w:type="dxa" w:w="2880"/>
          </w:tcPr>
          <w:p>
            <w:r>
              <w:t>显示影响并保护引用；恢复不覆盖；物理删除按引用与保留策略</w:t>
            </w:r>
          </w:p>
        </w:tc>
      </w:tr>
      <w:tr>
        <w:tc>
          <w:tcPr>
            <w:tcW w:type="dxa" w:w="2880"/>
          </w:tcPr>
          <w:p>
            <w:r>
              <w:t>AI-CFG-01</w:t>
            </w:r>
          </w:p>
        </w:tc>
        <w:tc>
          <w:tcPr>
            <w:tcW w:type="dxa" w:w="2880"/>
          </w:tcPr>
          <w:p>
            <w:r>
              <w:t>聊天兼容接口被登记为图生图、未支持参数传入</w:t>
            </w:r>
          </w:p>
        </w:tc>
        <w:tc>
          <w:tcPr>
            <w:tcW w:type="dxa" w:w="2880"/>
          </w:tcPr>
          <w:p>
            <w:r>
              <w:t>能力契约拒绝；不静默丢参数，不进行付费调用</w:t>
            </w:r>
          </w:p>
        </w:tc>
      </w:tr>
      <w:tr>
        <w:tc>
          <w:tcPr>
            <w:tcW w:type="dxa" w:w="2880"/>
          </w:tcPr>
          <w:p>
            <w:r>
              <w:t>AI-CFG-02</w:t>
            </w:r>
          </w:p>
        </w:tc>
        <w:tc>
          <w:tcPr>
            <w:tcW w:type="dxa" w:w="2880"/>
          </w:tcPr>
          <w:p>
            <w:r>
              <w:t>提交超时后切换全局默认模型</w:t>
            </w:r>
          </w:p>
        </w:tc>
        <w:tc>
          <w:tcPr>
            <w:tcW w:type="dxa" w:w="2880"/>
          </w:tcPr>
          <w:p>
            <w:r>
              <w:t>旧任务查询旧供应商，无第二次付费提交；新报价用新版本</w:t>
            </w:r>
          </w:p>
        </w:tc>
      </w:tr>
      <w:tr>
        <w:tc>
          <w:tcPr>
            <w:tcW w:type="dxa" w:w="2880"/>
          </w:tcPr>
          <w:p>
            <w:r>
              <w:t>AI-CFG-03</w:t>
            </w:r>
          </w:p>
        </w:tc>
        <w:tc>
          <w:tcPr>
            <w:tcW w:type="dxa" w:w="2880"/>
          </w:tcPr>
          <w:p>
            <w:r>
              <w:t>预算仅够一次，10并发请求，跨北京时间零点未终局</w:t>
            </w:r>
          </w:p>
        </w:tc>
        <w:tc>
          <w:tcPr>
            <w:tcW w:type="dxa" w:w="2880"/>
          </w:tcPr>
          <w:p>
            <w:r>
              <w:t>只接受预算内任务；旧预占不清零；用户点数不重复结算</w:t>
            </w:r>
          </w:p>
        </w:tc>
      </w:tr>
      <w:tr>
        <w:tc>
          <w:tcPr>
            <w:tcW w:type="dxa" w:w="2880"/>
          </w:tcPr>
          <w:p>
            <w:r>
              <w:t>AI-CFG-04</w:t>
            </w:r>
          </w:p>
        </w:tc>
        <w:tc>
          <w:tcPr>
            <w:tcW w:type="dxa" w:w="2880"/>
          </w:tcPr>
          <w:p>
            <w:r>
              <w:t>点击真实样图测试</w:t>
            </w:r>
          </w:p>
        </w:tc>
        <w:tc>
          <w:tcPr>
            <w:tcW w:type="dxa" w:w="2880"/>
          </w:tcPr>
          <w:p>
            <w:r>
              <w:t>先展示费用并确认，使用测试预算，不扣客户点数</w:t>
            </w:r>
          </w:p>
        </w:tc>
      </w:tr>
      <w:tr>
        <w:tc>
          <w:tcPr>
            <w:tcW w:type="dxa" w:w="2880"/>
          </w:tcPr>
          <w:p>
            <w:r>
              <w:t>AI-CFG-05</w:t>
            </w:r>
          </w:p>
        </w:tc>
        <w:tc>
          <w:tcPr>
            <w:tcW w:type="dxa" w:w="2880"/>
          </w:tcPr>
          <w:p>
            <w:r>
              <w:t>endpoint／结果URL指向内网、重定向或DNS重绑定</w:t>
            </w:r>
          </w:p>
        </w:tc>
        <w:tc>
          <w:tcPr>
            <w:tcW w:type="dxa" w:w="2880"/>
          </w:tcPr>
          <w:p>
            <w:r>
              <w:t>阻断；秘密不发送到未经批准主机；错误脱敏</w:t>
            </w:r>
          </w:p>
        </w:tc>
      </w:tr>
      <w:tr>
        <w:tc>
          <w:tcPr>
            <w:tcW w:type="dxa" w:w="2880"/>
          </w:tcPr>
          <w:p>
            <w:r>
              <w:t>AI-CFG-06</w:t>
            </w:r>
          </w:p>
        </w:tc>
        <w:tc>
          <w:tcPr>
            <w:tcW w:type="dxa" w:w="2880"/>
          </w:tcPr>
          <w:p>
            <w:r>
              <w:t>回收参考图、恶意结果／坏图、标识审核缺失</w:t>
            </w:r>
          </w:p>
        </w:tc>
        <w:tc>
          <w:tcPr>
            <w:tcW w:type="dxa" w:w="2880"/>
          </w:tcPr>
          <w:p>
            <w:r>
              <w:t>新任务拒绝无权参考；输出隔离并给明确失败，不当ready素材</w:t>
            </w:r>
          </w:p>
        </w:tc>
      </w:tr>
      <w:tr>
        <w:tc>
          <w:tcPr>
            <w:tcW w:type="dxa" w:w="2880"/>
          </w:tcPr>
          <w:p>
            <w:r>
              <w:t>CONFIG-ALL-01</w:t>
            </w:r>
          </w:p>
        </w:tc>
        <w:tc>
          <w:tcPr>
            <w:tcW w:type="dxa" w:w="2880"/>
          </w:tcPr>
          <w:p>
            <w:r>
              <w:t>遍历覆盖表20个域</w:t>
            </w:r>
          </w:p>
        </w:tc>
        <w:tc>
          <w:tcPr>
            <w:tcW w:type="dxa" w:w="2880"/>
          </w:tcPr>
          <w:p>
            <w:r>
              <w:t>每域都有schema／权限／有效版本／未配置行为／验收证据；尚未开发不显示已完成</w:t>
            </w:r>
          </w:p>
        </w:tc>
      </w:tr>
    </w:tbl>
    <w:p>
      <w:r>
        <w:t>这些是未来产品必须执行的验收案例，当前只检查文档与静态原型完整性。用户在生产配置、真实联调完成前不能获得“所有功能完整”的误导性承诺。</w:t>
      </w:r>
    </w:p>
    <w:p>
      <w:pPr>
        <w:pStyle w:val="Heading2"/>
      </w:pPr>
      <w:r>
        <w:t>5. 接入时集中确认</w:t>
      </w:r>
    </w:p>
    <w:p>
      <w:r>
        <w:t>自定义文件夹范围：正在确认；当前推荐后台根前缀＋用户素材文件夹。实际接入再一次确认云供应商／区域／桶、AI供应商／模型及数据用途、商品价格／点数、平台资质与部署预算。无需用户逐字段设计；技术默认值由AI实现并在验证证据中说明，涉及费用／数据用途的选择由用户确认。</w:t>
      </w:r>
    </w:p>
    <w:p>
      <w:r>
        <w:br w:type="page"/>
      </w:r>
    </w:p>
    <w:p>
      <w:pPr>
        <w:pStyle w:val="Heading2"/>
      </w:pPr>
      <w:r>
        <w:t>P13-configuration-storage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-configuration-sto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P14-asset-folders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asset-fol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P15-ai-configuration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-ai-config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