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产品与研发评审基线 · v0.3</w:t>
      </w:r>
    </w:p>
    <w:p>
      <w:r>
        <w:t>日期：2026-10-21。状态：供评审的整合规格与新版原型。本轮把 v0.2 的实测发现落实为约束，不新增商业模式、不引入受限的第三方 Skill。</w:t>
      </w:r>
    </w:p>
    <w:p>
      <w:r>
        <w:t>阅读／下载：规格 PDF (产品与研发评审基线-v0.3.pdf) · 可编辑 Word (产品与研发评审基线-v0.3.docx) · 4 页原型册 (新版原型-v0.3.pdf) · 离线阅读 (review.html)</w:t>
      </w:r>
    </w:p>
    <w:p>
      <w:pPr>
        <w:pStyle w:val="Heading2"/>
      </w:pPr>
      <w:r>
        <w:t>1. 已确认范围与推荐方案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基线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摄影师／影楼＋个人消费者</w:t>
            </w:r>
          </w:p>
        </w:tc>
        <w:tc>
          <w:tcPr>
            <w:tcW w:type="dxa" w:w="2880"/>
          </w:tcPr>
          <w:p>
            <w:r>
              <w:t>用户已确认</w:t>
            </w:r>
          </w:p>
        </w:tc>
      </w:tr>
      <w:tr>
        <w:tc>
          <w:tcPr>
            <w:tcW w:type="dxa" w:w="2880"/>
          </w:tcPr>
          <w:p>
            <w:r>
              <w:t>首发端</w:t>
            </w:r>
          </w:p>
        </w:tc>
        <w:tc>
          <w:tcPr>
            <w:tcW w:type="dxa" w:w="2880"/>
          </w:tcPr>
          <w:p>
            <w:r>
              <w:t>网页完整编辑＋微信小程序快速成册，预留 App</w:t>
            </w:r>
          </w:p>
        </w:tc>
        <w:tc>
          <w:tcPr>
            <w:tcW w:type="dxa" w:w="2880"/>
          </w:tcPr>
          <w:p>
            <w:r>
              <w:t>用户已确认</w:t>
            </w:r>
          </w:p>
        </w:tc>
      </w:tr>
      <w:tr>
        <w:tc>
          <w:tcPr>
            <w:tcW w:type="dxa" w:w="2880"/>
          </w:tcPr>
          <w:p>
            <w:r>
              <w:t>地域</w:t>
            </w:r>
          </w:p>
        </w:tc>
        <w:tc>
          <w:tcPr>
            <w:tcW w:type="dxa" w:w="2880"/>
          </w:tcPr>
          <w:p>
            <w:r>
              <w:t>中国大陆、微信生态、人民币收款</w:t>
            </w:r>
          </w:p>
        </w:tc>
        <w:tc>
          <w:tcPr>
            <w:tcW w:type="dxa" w:w="2880"/>
          </w:tcPr>
          <w:p>
            <w:r>
              <w:t>用户已确认</w:t>
            </w:r>
          </w:p>
        </w:tc>
      </w:tr>
      <w:tr>
        <w:tc>
          <w:tcPr>
            <w:tcW w:type="dxa" w:w="2880"/>
          </w:tcPr>
          <w:p>
            <w:r>
              <w:t>商业模式</w:t>
            </w:r>
          </w:p>
        </w:tc>
        <w:tc>
          <w:tcPr>
            <w:tcW w:type="dxa" w:w="2880"/>
          </w:tcPr>
          <w:p>
            <w:r>
              <w:t>账号会员＋AI 点数，影楼预留席位与兑换码</w:t>
            </w:r>
          </w:p>
        </w:tc>
        <w:tc>
          <w:tcPr>
            <w:tcW w:type="dxa" w:w="2880"/>
          </w:tcPr>
          <w:p>
            <w:r>
              <w:t>用户已确认</w:t>
            </w:r>
          </w:p>
        </w:tc>
      </w:tr>
      <w:tr>
        <w:tc>
          <w:tcPr>
            <w:tcW w:type="dxa" w:w="2880"/>
          </w:tcPr>
          <w:p>
            <w:r>
              <w:t>导出</w:t>
            </w:r>
          </w:p>
        </w:tc>
        <w:tc>
          <w:tcPr>
            <w:tcW w:type="dxa" w:w="2880"/>
          </w:tcPr>
          <w:p>
            <w:r>
              <w:t>高清 JPG／PNG、普通 PDF，尺寸／DPI／出血／低清预警；专业印刷后续扩展</w:t>
            </w:r>
          </w:p>
        </w:tc>
        <w:tc>
          <w:tcPr>
            <w:tcW w:type="dxa" w:w="2880"/>
          </w:tcPr>
          <w:p>
            <w:r>
              <w:t>用户已确认</w:t>
            </w:r>
          </w:p>
        </w:tc>
      </w:tr>
      <w:tr>
        <w:tc>
          <w:tcPr>
            <w:tcW w:type="dxa" w:w="2880"/>
          </w:tcPr>
          <w:p>
            <w:r>
              <w:t>编辑器与后端</w:t>
            </w:r>
          </w:p>
        </w:tc>
        <w:tc>
          <w:tcPr>
            <w:tcW w:type="dxa" w:w="2880"/>
          </w:tcPr>
          <w:p>
            <w:r>
              <w:t>Fabric.js＋自有文档模型；模块化单体；AI／导出独立 worker</w:t>
            </w:r>
          </w:p>
        </w:tc>
        <w:tc>
          <w:tcPr>
            <w:tcW w:type="dxa" w:w="2880"/>
          </w:tcPr>
          <w:p>
            <w:r>
              <w:t>推荐技术方案，待书面评审</w:t>
            </w:r>
          </w:p>
        </w:tc>
      </w:tr>
      <w:tr>
        <w:tc>
          <w:tcPr>
            <w:tcW w:type="dxa" w:w="2880"/>
          </w:tcPr>
          <w:p>
            <w:r>
              <w:t>创作路径</w:t>
            </w:r>
          </w:p>
        </w:tc>
        <w:tc>
          <w:tcPr>
            <w:tcW w:type="dxa" w:w="2880"/>
          </w:tcPr>
          <w:p>
            <w:r>
              <w:t>照片忠实排版＋独立 AI 艺术素材创作</w:t>
            </w:r>
          </w:p>
        </w:tc>
        <w:tc>
          <w:tcPr>
            <w:tcW w:type="dxa" w:w="2880"/>
          </w:tcPr>
          <w:p>
            <w:r>
              <w:t>本轮细化方案，待书面评审</w:t>
            </w:r>
          </w:p>
        </w:tc>
      </w:tr>
    </w:tbl>
    <w:p>
      <w:r>
        <w:t>v0.1 的 PRD (../ai-album-v0.1/02-产品需求文档.md)、架构 (../ai-album-v0.1/03-开发架构与数据接口.md)、会员授权 (../ai-album-v0.1/04-会员支付与授权设计.md)和测试运维 (../ai-album-v0.1/05-测试与运维手册.md)继续有效。本稿明确下述交互与约束；发生冲突时，以本稿标明的修订为评审对象，不静默修改历史版本。</w:t>
      </w:r>
    </w:p>
    <w:p>
      <w:pPr>
        <w:pStyle w:val="Heading2"/>
      </w:pPr>
      <w:r>
        <w:t>2. 两条路径如何衔接</w:t>
      </w:r>
    </w:p>
    <w:p>
      <w:pPr>
        <w:pStyle w:val="Heading3"/>
      </w:pPr>
      <w:r>
        <w:t>A. 照片忠实排版</w:t>
      </w:r>
    </w:p>
    <w:p>
      <w:r>
        <w:t>任务是整理用户已有照片，不生成或替换人物／场景。流程：选片 → 设置相册 → 整本分配 → 比较候选 → 图层编辑 → 预检 → 导出。保持原片与可编辑文档，自动排版只改变放置、顺序建议和可恢复的裁剪。</w:t>
      </w:r>
    </w:p>
    <w:p>
      <w:r>
        <w:t>默认全部使用、每张一次；用户明确允许选片或重复后才改变分配政策。按项目保留 used／unused／repeated 清单。“主体安全”优先提示和调整，不建立跨项目人脸身份库。</w:t>
      </w:r>
    </w:p>
    <w:p>
      <w:pPr>
        <w:pStyle w:val="Heading3"/>
      </w:pPr>
      <w:r>
        <w:t>B. AI 艺术素材创作</w:t>
      </w:r>
    </w:p>
    <w:p>
      <w:r>
        <w:t>任务是创建新素材，可能改变人物、场景和细节。流程：选原创预设 → 描述／可选参考图 → 确认参考图用途 → 报价 → 用户确认 → 生成与审核 → 结果入库 → 插入相册。AI 结果是一个图片素材，不能伪装成已拆分的可编辑文字／形状。</w:t>
      </w:r>
    </w:p>
    <w:p>
      <w:r>
        <w:t>相册标题、客户姓名、日期、页码、说明等由编辑器的文字图层绘制；艺术图里意外生成的文字不作为这些字段的权威来源。预设只来自自制或明确覆盖本业务的授权来源，不集成非商业 Zine Skill。</w:t>
      </w:r>
    </w:p>
    <w:p>
      <w:pPr>
        <w:pStyle w:val="Heading3"/>
      </w:pPr>
      <w:r>
        <w:t>跨路径状态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动作</w:t>
            </w:r>
          </w:p>
        </w:tc>
        <w:tc>
          <w:tcPr>
            <w:tcW w:type="dxa" w:w="4320"/>
          </w:tcPr>
          <w:p>
            <w:r>
              <w:t>不变条件</w:t>
            </w:r>
          </w:p>
        </w:tc>
      </w:tr>
      <w:tr>
        <w:tc>
          <w:tcPr>
            <w:tcW w:type="dxa" w:w="4320"/>
          </w:tcPr>
          <w:p>
            <w:r>
              <w:t>原片用于参考生成</w:t>
            </w:r>
          </w:p>
        </w:tc>
        <w:tc>
          <w:tcPr>
            <w:tcW w:type="dxa" w:w="4320"/>
          </w:tcPr>
          <w:p>
            <w:r>
              <w:t>原片不覆盖；记录输入授权、生成来源和结果素材</w:t>
            </w:r>
          </w:p>
        </w:tc>
      </w:tr>
      <w:tr>
        <w:tc>
          <w:tcPr>
            <w:tcW w:type="dxa" w:w="4320"/>
          </w:tcPr>
          <w:p>
            <w:r>
              <w:t>生成结果插入相册</w:t>
            </w:r>
          </w:p>
        </w:tc>
        <w:tc>
          <w:tcPr>
            <w:tcW w:type="dxa" w:w="4320"/>
          </w:tcPr>
          <w:p>
            <w:r>
              <w:t>新建图片图层；原有照片、文字和图层保留</w:t>
            </w:r>
          </w:p>
        </w:tc>
      </w:tr>
      <w:tr>
        <w:tc>
          <w:tcPr>
            <w:tcW w:type="dxa" w:w="4320"/>
          </w:tcPr>
          <w:p>
            <w:r>
              <w:t>修改标题／日期</w:t>
            </w:r>
          </w:p>
        </w:tc>
        <w:tc>
          <w:tcPr>
            <w:tcW w:type="dxa" w:w="4320"/>
          </w:tcPr>
          <w:p>
            <w:r>
              <w:t>修改文字图层，不重新生图、不重复扣点</w:t>
            </w:r>
          </w:p>
        </w:tc>
      </w:tr>
      <w:tr>
        <w:tc>
          <w:tcPr>
            <w:tcW w:type="dxa" w:w="4320"/>
          </w:tcPr>
          <w:p>
            <w:r>
              <w:t>更换 AI 风格</w:t>
            </w:r>
          </w:p>
        </w:tc>
        <w:tc>
          <w:tcPr>
            <w:tcW w:type="dxa" w:w="4320"/>
          </w:tcPr>
          <w:p>
            <w:r>
              <w:t>新任务、新报价；旧结果不自动删除</w:t>
            </w:r>
          </w:p>
        </w:tc>
      </w:tr>
      <w:tr>
        <w:tc>
          <w:tcPr>
            <w:tcW w:type="dxa" w:w="4320"/>
          </w:tcPr>
          <w:p>
            <w:r>
              <w:t>返回相册</w:t>
            </w:r>
          </w:p>
        </w:tc>
        <w:tc>
          <w:tcPr>
            <w:tcW w:type="dxa" w:w="4320"/>
          </w:tcPr>
          <w:p>
            <w:r>
              <w:t>回到已保存项目与跨页；生成中可到任务中心找回</w:t>
            </w:r>
          </w:p>
        </w:tc>
      </w:tr>
    </w:tbl>
    <w:p>
      <w:pPr>
        <w:pStyle w:val="Heading2"/>
      </w:pPr>
      <w:r>
        <w:t>3. 新版原型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页面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本轮落实的变化</w:t>
            </w:r>
          </w:p>
        </w:tc>
      </w:tr>
      <w:tr>
        <w:tc>
          <w:tcPr>
            <w:tcW w:type="dxa" w:w="2880"/>
          </w:tcPr>
          <w:p>
            <w:r>
              <w:t>P09 创作入口</w:t>
            </w:r>
          </w:p>
        </w:tc>
        <w:tc>
          <w:tcPr>
            <w:tcW w:type="dxa" w:w="2880"/>
          </w:tcPr>
          <w:p>
            <w:r>
              <w:t>PNG (prototypes/P09-create-mode.png)／SVG (prototypes/P09-create-mode.svg)</w:t>
            </w:r>
          </w:p>
        </w:tc>
        <w:tc>
          <w:tcPr>
            <w:tcW w:type="dxa" w:w="2880"/>
          </w:tcPr>
          <w:p>
            <w:r>
              <w:t>明确照片排版与艺术创作对照片的不同影响</w:t>
            </w:r>
          </w:p>
        </w:tc>
      </w:tr>
      <w:tr>
        <w:tc>
          <w:tcPr>
            <w:tcW w:type="dxa" w:w="2880"/>
          </w:tcPr>
          <w:p>
            <w:r>
              <w:t>P10 排版核对</w:t>
            </w:r>
          </w:p>
        </w:tc>
        <w:tc>
          <w:tcPr>
            <w:tcW w:type="dxa" w:w="2880"/>
          </w:tcPr>
          <w:p>
            <w:r>
              <w:t>PNG (prototypes/P10-layout-integrity.png)／SVG (prototypes/P10-layout-integrity.svg)</w:t>
            </w:r>
          </w:p>
        </w:tc>
        <w:tc>
          <w:tcPr>
            <w:tcW w:type="dxa" w:w="2880"/>
          </w:tcPr>
          <w:p>
            <w:r>
              <w:t>候选展示照片分配；遗漏的候选不能应用</w:t>
            </w:r>
          </w:p>
        </w:tc>
      </w:tr>
      <w:tr>
        <w:tc>
          <w:tcPr>
            <w:tcW w:type="dxa" w:w="2880"/>
          </w:tcPr>
          <w:p>
            <w:r>
              <w:t>P11 艺术素材</w:t>
            </w:r>
          </w:p>
        </w:tc>
        <w:tc>
          <w:tcPr>
            <w:tcW w:type="dxa" w:w="2880"/>
          </w:tcPr>
          <w:p>
            <w:r>
              <w:t>PNG (prototypes/P11-art-to-album.png)／SVG (prototypes/P11-art-to-album.svg)</w:t>
            </w:r>
          </w:p>
        </w:tc>
        <w:tc>
          <w:tcPr>
            <w:tcW w:type="dxa" w:w="2880"/>
          </w:tcPr>
          <w:p>
            <w:r>
              <w:t>参考图用途、生成报价、结果作为素材、标题独立可编辑</w:t>
            </w:r>
          </w:p>
        </w:tc>
      </w:tr>
      <w:tr>
        <w:tc>
          <w:tcPr>
            <w:tcW w:type="dxa" w:w="2880"/>
          </w:tcPr>
          <w:p>
            <w:r>
              <w:t>P12 导出预检</w:t>
            </w:r>
          </w:p>
        </w:tc>
        <w:tc>
          <w:tcPr>
            <w:tcW w:type="dxa" w:w="2880"/>
          </w:tcPr>
          <w:p>
            <w:r>
              <w:t>PNG (prototypes/P12-export-preflight.png)／SVG (prototypes/P12-export-preflight.svg)</w:t>
            </w:r>
          </w:p>
        </w:tc>
        <w:tc>
          <w:tcPr>
            <w:tcW w:type="dxa" w:w="2880"/>
          </w:tcPr>
          <w:p>
            <w:r>
              <w:t>缺图／字体阻断，低清警告需确认，显示快照和实际像素</w:t>
            </w:r>
          </w:p>
        </w:tc>
      </w:tr>
    </w:tbl>
    <w:p>
      <w:r>
        <w:t>原型为原创静态设计稿，展示交互规则，不接通保存、支付、AI 或导出服务；演示照片以几何框表示，不使用第三方受限案例。</w:t>
      </w:r>
    </w:p>
    <w:p>
      <w:pPr>
        <w:pStyle w:val="Heading2"/>
      </w:pPr>
      <w:r>
        <w:t>4. 智能排版：整本分配与单页构图</w:t>
      </w:r>
    </w:p>
    <w:p>
      <w:pPr>
        <w:pStyle w:val="Heading3"/>
      </w:pPr>
      <w:r>
        <w:t>4.1 输入与输出合同</w:t>
      </w:r>
    </w:p>
    <w:p>
      <w:r>
        <w:t>输入至少包含 projectId、baseRevision、照片 ID 与宽高／方向、明确的排序、跨页数量、每跨页最少／最多张数、模板版本、锁定项、必选／禁用项、selectionPolicy、duplicatePolicy、seed。</w:t>
      </w:r>
    </w:p>
    <w:p>
      <w:r>
        <w:t>selectionPolicy：all（全部使用）／allowSelection（允许筛选）。duplicatePolicy：forbid（默认）／allowExplicit（仅明确标记的照片可重复）。默认值适用于相册，不继承图库库函数的截断语义。</w:t>
      </w:r>
    </w:p>
    <w:p>
      <w:r>
        <w:t>输出：候选文档片段＋assignmentManifest＋constraintReport＋warnings。每个候选都有 candidateId、baseRevision、inputHash、templateVersion、algorithmVersion 和 seed；应用时检查基线版本，不能覆盖用户后续编辑。</w:t>
      </w:r>
    </w:p>
    <w:p>
      <w:pPr>
        <w:pStyle w:val="Heading3"/>
      </w:pPr>
      <w:r>
        <w:t>4.2 第一层：整本分配</w:t>
      </w:r>
    </w:p>
    <w:p>
      <w:r>
        <w:t>首先验证可行性。例如 12 张必选照片、4 个跨页、每跨页 2–4 张可行；50 张全部必用、10 个跨页、每跨页最多 2 张不可行。返回最少所需跨页与调整选项，不静默删片或放宽约束。</w:t>
      </w:r>
    </w:p>
    <w:p>
      <w:r>
        <w:t>在按时序排列的输入上划分连续片段；用户分组作为优先保留的边界。锁定跨页从可变范围移出；锁定图层和必选照片参与容量计算。用户明确选择自定义顺序时不能被 EXIF 排序覆盖。</w:t>
      </w:r>
    </w:p>
    <w:p>
      <w:r>
        <w:t>第一版采用模板匹配与可解释评分；不要求引入遗传算法或自训练模型。Flickr 的行布局可作候选几何工具，但可变高度结果必须适配固定页框，不能直接把长图库压缩成相册页。</w:t>
      </w:r>
    </w:p>
    <w:p>
      <w:pPr>
        <w:pStyle w:val="Heading3"/>
      </w:pPr>
      <w:r>
        <w:t>4.3 第二层：单页／跨页构图</w:t>
      </w:r>
    </w:p>
    <w:p>
      <w:r>
        <w:t>按照片比例、主图权重、留白、阅读顺序、主体安全区匹配图框。保持可编辑图片与文字图层。对新布局检查坐标有限、尺寸为正、可见内容边界和图框合法重叠；装饰层可重叠，照片行模板的图框重叠须符合模板明示规则。</w:t>
      </w:r>
    </w:p>
    <w:p>
      <w:r>
        <w:t>无解时返回失败候选及冲突原因，仍可显示其他有效候选。版式评分不能抵消漏片、重复、锁定变化或越界等硬约束错误。第一版推荐 3 个有效候选；不足 3 个时显示实际数量，不能用无效候选凑数。</w:t>
      </w:r>
    </w:p>
    <w:p>
      <w:pPr>
        <w:pStyle w:val="Heading2"/>
      </w:pPr>
      <w:r>
        <w:t>5. 照片分配清单</w:t>
      </w:r>
    </w:p>
    <w:p>
      <w:r>
        <w:t>assignmentManifest 是每个候选必须携带的可验证结果，不能仅由 UI 文案拼成“已用全部照片”。字段示例：</w:t>
      </w:r>
    </w:p>
    <w:p>
      <w:pPr>
        <w:spacing w:after="0"/>
      </w:pPr>
      <w:r>
        <w:t>{</w:t>
      </w:r>
    </w:p>
    <w:p>
      <w:pPr>
        <w:spacing w:after="0"/>
      </w:pPr>
      <w:r>
        <w:t xml:space="preserve">  "selectionPolicy": "all",</w:t>
      </w:r>
    </w:p>
    <w:p>
      <w:pPr>
        <w:spacing w:after="0"/>
      </w:pPr>
      <w:r>
        <w:t xml:space="preserve">  "duplicatePolicy": "forbid",</w:t>
      </w:r>
    </w:p>
    <w:p>
      <w:pPr>
        <w:spacing w:after="0"/>
      </w:pPr>
      <w:r>
        <w:t xml:space="preserve">  "inputAssetIds": ["photo_01", "photo_02", "photo_03"],</w:t>
      </w:r>
    </w:p>
    <w:p>
      <w:pPr>
        <w:spacing w:after="0"/>
      </w:pPr>
      <w:r>
        <w:t xml:space="preserve">  "placements": [</w:t>
      </w:r>
    </w:p>
    <w:p>
      <w:pPr>
        <w:spacing w:after="0"/>
      </w:pPr>
      <w:r>
        <w:t xml:space="preserve">    {"assetId": "photo_01", "spreadId": "spread_01", "layerId": "image_01"},</w:t>
      </w:r>
    </w:p>
    <w:p>
      <w:pPr>
        <w:spacing w:after="0"/>
      </w:pPr>
      <w:r>
        <w:t xml:space="preserve">    {"assetId": "photo_02", "spreadId": "spread_01", "layerId": "image_02"},</w:t>
      </w:r>
    </w:p>
    <w:p>
      <w:pPr>
        <w:spacing w:after="0"/>
      </w:pPr>
      <w:r>
        <w:t xml:space="preserve">    {"assetId": "photo_03", "spreadId": "spread_02", "layerId": "image_03"}</w:t>
      </w:r>
    </w:p>
    <w:p>
      <w:pPr>
        <w:spacing w:after="0"/>
      </w:pPr>
      <w:r>
        <w:t xml:space="preserve">  ],</w:t>
      </w:r>
    </w:p>
    <w:p>
      <w:pPr>
        <w:spacing w:after="0"/>
      </w:pPr>
      <w:r>
        <w:t xml:space="preserve">  "unusedAssetIds": [],</w:t>
      </w:r>
    </w:p>
    <w:p>
      <w:pPr>
        <w:spacing w:after="0"/>
      </w:pPr>
      <w:r>
        <w:t xml:space="preserve">  "repeatedAssetIds": [],</w:t>
      </w:r>
    </w:p>
    <w:p>
      <w:pPr>
        <w:spacing w:after="0"/>
      </w:pPr>
      <w:r>
        <w:t xml:space="preserve">  "violations": []</w:t>
      </w:r>
    </w:p>
    <w:p>
      <w:pPr>
        <w:spacing w:after="0"/>
      </w:pPr>
      <w:r>
        <w:t>}</w:t>
      </w:r>
    </w:p>
    <w:p>
      <w:r>
        <w:t>在 all＋forbid 时，输入集合与 placements 对应照片集合完全相同，每张只出现一次，unused 与 repeated 均为空。allowSelection 也要求每张输入落在已使用或未使用清单中，不能消失；允许重复的照片按授权策略校验并显示次数。</w:t>
      </w:r>
    </w:p>
    <w:p>
      <w:r>
        <w:t>服务端在生成候选后、应用候选前各验证一次；应用后从真实文档重新计算清单核对，避免清单正确但文档内容不一致。图片素材在文档其他装饰用途中的重复，不自动计入相册选片清单，需明确用途和引用。</w:t>
      </w:r>
    </w:p>
    <w:p>
      <w:pPr>
        <w:pStyle w:val="Heading2"/>
      </w:pPr>
      <w:r>
        <w:t>6. 导出预检与确定性渲染</w:t>
      </w:r>
    </w:p>
    <w:p>
      <w:pPr>
        <w:pStyle w:val="Heading3"/>
      </w:pPr>
      <w:r>
        <w:t>6.1 输入冻结</w:t>
      </w:r>
    </w:p>
    <w:p>
      <w:r>
        <w:t>预检绑定已保存 revision、文档 hash、素材／字体／模板／滤镜 manifest、格式、页范围、singlePage／spread 视图、物理尺寸、DPI 和出血。配置或作品发生变化后旧预检失效，重新运行。提交成功后冻结 snapshot；任务排队时继续编辑不改变已接受任务。</w:t>
      </w:r>
    </w:p>
    <w:p>
      <w:pPr>
        <w:pStyle w:val="Heading3"/>
      </w:pPr>
      <w:r>
        <w:t>6.2 阻断与警告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处理</w:t>
            </w:r>
          </w:p>
        </w:tc>
        <w:tc>
          <w:tcPr>
            <w:tcW w:type="dxa" w:w="2880"/>
          </w:tcPr>
          <w:p>
            <w:r>
              <w:t>用户可做的操作</w:t>
            </w:r>
          </w:p>
        </w:tc>
      </w:tr>
      <w:tr>
        <w:tc>
          <w:tcPr>
            <w:tcW w:type="dxa" w:w="2880"/>
          </w:tcPr>
          <w:p>
            <w:r>
              <w:t>原片缺失／未就绪／无权访问</w:t>
            </w:r>
          </w:p>
        </w:tc>
        <w:tc>
          <w:tcPr>
            <w:tcW w:type="dxa" w:w="2880"/>
          </w:tcPr>
          <w:p>
            <w:r>
              <w:t>阻断，不能回退缩略图做高清导出</w:t>
            </w:r>
          </w:p>
        </w:tc>
        <w:tc>
          <w:tcPr>
            <w:tcW w:type="dxa" w:w="2880"/>
          </w:tcPr>
          <w:p>
            <w:r>
              <w:t>重传或替换、重新预检</w:t>
            </w:r>
          </w:p>
        </w:tc>
      </w:tr>
      <w:tr>
        <w:tc>
          <w:tcPr>
            <w:tcW w:type="dxa" w:w="2880"/>
          </w:tcPr>
          <w:p>
            <w:r>
              <w:t>字体文件缺失或无可用授权</w:t>
            </w:r>
          </w:p>
        </w:tc>
        <w:tc>
          <w:tcPr>
            <w:tcW w:type="dxa" w:w="2880"/>
          </w:tcPr>
          <w:p>
            <w:r>
              <w:t>阻断，不静默替换</w:t>
            </w:r>
          </w:p>
        </w:tc>
        <w:tc>
          <w:tcPr>
            <w:tcW w:type="dxa" w:w="2880"/>
          </w:tcPr>
          <w:p>
            <w:r>
              <w:t>换字体或恢复合法资源</w:t>
            </w:r>
          </w:p>
        </w:tc>
      </w:tr>
      <w:tr>
        <w:tc>
          <w:tcPr>
            <w:tcW w:type="dxa" w:w="2880"/>
          </w:tcPr>
          <w:p>
            <w:r>
              <w:t>选片分配不满足策略</w:t>
            </w:r>
          </w:p>
        </w:tc>
        <w:tc>
          <w:tcPr>
            <w:tcW w:type="dxa" w:w="2880"/>
          </w:tcPr>
          <w:p>
            <w:r>
              <w:t>阻断应用该候选；导出校验引用一致性</w:t>
            </w:r>
          </w:p>
        </w:tc>
        <w:tc>
          <w:tcPr>
            <w:tcW w:type="dxa" w:w="2880"/>
          </w:tcPr>
          <w:p>
            <w:r>
              <w:t>重排或明确改变选片政策</w:t>
            </w:r>
          </w:p>
        </w:tc>
      </w:tr>
      <w:tr>
        <w:tc>
          <w:tcPr>
            <w:tcW w:type="dxa" w:w="2880"/>
          </w:tcPr>
          <w:p>
            <w:r>
              <w:t>未知 schema、NaN／Infinity、负尺寸、超像素预算</w:t>
            </w:r>
          </w:p>
        </w:tc>
        <w:tc>
          <w:tcPr>
            <w:tcW w:type="dxa" w:w="2880"/>
          </w:tcPr>
          <w:p>
            <w:r>
              <w:t>阻断</w:t>
            </w:r>
          </w:p>
        </w:tc>
        <w:tc>
          <w:tcPr>
            <w:tcW w:type="dxa" w:w="2880"/>
          </w:tcPr>
          <w:p>
            <w:r>
              <w:t>修复文档或降低规格</w:t>
            </w:r>
          </w:p>
        </w:tc>
      </w:tr>
      <w:tr>
        <w:tc>
          <w:tcPr>
            <w:tcW w:type="dxa" w:w="2880"/>
          </w:tcPr>
          <w:p>
            <w:r>
              <w:t>模板文字超框／不支持字符</w:t>
            </w:r>
          </w:p>
        </w:tc>
        <w:tc>
          <w:tcPr>
            <w:tcW w:type="dxa" w:w="2880"/>
          </w:tcPr>
          <w:p>
            <w:r>
              <w:t>阻断成品导出</w:t>
            </w:r>
          </w:p>
        </w:tc>
        <w:tc>
          <w:tcPr>
            <w:tcW w:type="dxa" w:w="2880"/>
          </w:tcPr>
          <w:p>
            <w:r>
              <w:t>调整文字、字体或文本框</w:t>
            </w:r>
          </w:p>
        </w:tc>
      </w:tr>
      <w:tr>
        <w:tc>
          <w:tcPr>
            <w:tcW w:type="dxa" w:w="2880"/>
          </w:tcPr>
          <w:p>
            <w:r>
              <w:t>裁剪后有效 PPI 100–199</w:t>
            </w:r>
          </w:p>
        </w:tc>
        <w:tc>
          <w:tcPr>
            <w:tcW w:type="dxa" w:w="2880"/>
          </w:tcPr>
          <w:p>
            <w:r>
              <w:t>警告</w:t>
            </w:r>
          </w:p>
        </w:tc>
        <w:tc>
          <w:tcPr>
            <w:tcW w:type="dxa" w:w="2880"/>
          </w:tcPr>
          <w:p>
            <w:r>
              <w:t>替换更高清素材或明确确认继续</w:t>
            </w:r>
          </w:p>
        </w:tc>
      </w:tr>
      <w:tr>
        <w:tc>
          <w:tcPr>
            <w:tcW w:type="dxa" w:w="2880"/>
          </w:tcPr>
          <w:p>
            <w:r>
              <w:t>有效 PPI 小于 100</w:t>
            </w:r>
          </w:p>
        </w:tc>
        <w:tc>
          <w:tcPr>
            <w:tcW w:type="dxa" w:w="2880"/>
          </w:tcPr>
          <w:p>
            <w:r>
              <w:t>强警告；普通数字导出可确认继续</w:t>
            </w:r>
          </w:p>
        </w:tc>
        <w:tc>
          <w:tcPr>
            <w:tcW w:type="dxa" w:w="2880"/>
          </w:tcPr>
          <w:p>
            <w:r>
              <w:t>说明明显低清风险，不宣传为可印刷质量</w:t>
            </w:r>
          </w:p>
        </w:tc>
      </w:tr>
      <w:tr>
        <w:tc>
          <w:tcPr>
            <w:tcW w:type="dxa" w:w="2880"/>
          </w:tcPr>
          <w:p>
            <w:r>
              <w:t>小于建议安全区的关键文字／跨中缝标题</w:t>
            </w:r>
          </w:p>
        </w:tc>
        <w:tc>
          <w:tcPr>
            <w:tcW w:type="dxa" w:w="2880"/>
          </w:tcPr>
          <w:p>
            <w:r>
              <w:t>警告</w:t>
            </w:r>
          </w:p>
        </w:tc>
        <w:tc>
          <w:tcPr>
            <w:tcW w:type="dxa" w:w="2880"/>
          </w:tcPr>
          <w:p>
            <w:r>
              <w:t>移动图层或确认继续</w:t>
            </w:r>
          </w:p>
        </w:tc>
      </w:tr>
      <w:tr>
        <w:tc>
          <w:tcPr>
            <w:tcW w:type="dxa" w:w="2880"/>
          </w:tcPr>
          <w:p>
            <w:r>
              <w:t>超过平台约定的生成标识范围／标识丢失</w:t>
            </w:r>
          </w:p>
        </w:tc>
        <w:tc>
          <w:tcPr>
            <w:tcW w:type="dxa" w:w="2880"/>
          </w:tcPr>
          <w:p>
            <w:r>
              <w:t>阻断，按已核验规则处理</w:t>
            </w:r>
          </w:p>
        </w:tc>
        <w:tc>
          <w:tcPr>
            <w:tcW w:type="dxa" w:w="2880"/>
          </w:tcPr>
          <w:p>
            <w:r>
              <w:t>修复标识后重新预检</w:t>
            </w:r>
          </w:p>
        </w:tc>
      </w:tr>
    </w:tbl>
    <w:p>
      <w:r>
        <w:t>本表修订 v0.1 对文字溢出的笼统提示：明确文字超框为成品导出阻断项，避免姓名／说明漏字。产品允许的艺术性溢出以后通过独立属性和审批规则扩展，首期不默认放行。</w:t>
      </w:r>
    </w:p>
    <w:p>
      <w:pPr>
        <w:pStyle w:val="Heading3"/>
      </w:pPr>
      <w:r>
        <w:t>6.3 像素与物理尺寸</w:t>
      </w:r>
    </w:p>
    <w:p>
      <w:r>
        <w:t>文档坐标仍采用 px96；导出像素＝逻辑 px × DPI ÷96。必须分别验证像素尺寸与 DPI 元数据。600×300mm 跨页、300DPI 的裁切区约为 7087×3543px；若四边各 3mm 出血，画布为 606×306mm，约 7157×3614px。取整只在最终像素尺寸执行，不能凭写入“300DPI”提升源图细节。</w:t>
      </w:r>
    </w:p>
    <w:p>
      <w:r>
        <w:t>普通 PDF 和图片 ZIP 保持用户所选页范围和视图顺序；单页与跨页在任务参数及下载说明中明确区分。封面另列，不混入内页数量。PDF 为首期 sRGB 普通 PDF，PDF/X、CMYK、拼版与印厂验证继续留在后续范围。</w:t>
      </w:r>
    </w:p>
    <w:p>
      <w:pPr>
        <w:pStyle w:val="Heading2"/>
      </w:pPr>
      <w:r>
        <w:t>7. 商业权益与素材授权边界</w:t>
      </w:r>
    </w:p>
    <w:p>
      <w:r>
        <w:t>账号、会员、点数、兑换和工作区继续遵循 v0.1 设计。文本编辑／规则排版不自动消耗 AI 生图点数；生成任务报价前不预占，接受后原子预占，成功一次结算，确认失败一次释放。供应商状态未知时先查询，不能重复付费提交。</w:t>
      </w:r>
    </w:p>
    <w:p>
      <w:r>
        <w:t>艺术预设注册至少包括来源、作者、许可证版本、商业用途范围、是否可修改／再分发、署名要求、授权到期时间、模型和风格版本。非商业或许可不明的来源不能在商业生成预设库上架；运营后台显示缺口。未获得 Zine 商业授权前，不安装／调用该 Skill 生成商业样片，也不把作者示例作为模板销售。</w:t>
      </w:r>
    </w:p>
    <w:p>
      <w:pPr>
        <w:pStyle w:val="Heading2"/>
      </w:pPr>
      <w:r>
        <w:t>8. 跨端与后续 App</w:t>
      </w:r>
    </w:p>
    <w:p>
      <w:r>
        <w:t>网页拥有完整图层编辑。小程序只修改模板允许的文字字段、照片裁剪、选片与候选选择；服务端按白名单 patch，保留小程序不理解的图层字段。App 预留相同内部用户、项目 schema、revision 和任务 API，不复制一套账本。</w:t>
      </w:r>
    </w:p>
    <w:p>
      <w:r>
        <w:t>跨端修改冲突以 revision 明确返回；保留恢复草稿，不用后一次请求静默覆盖。用户在小程序提交的生成／导出任务可在网页找回；任务中心不以临时浏览器进程为事实源。</w:t>
      </w:r>
    </w:p>
    <w:p>
      <w:pPr>
        <w:pStyle w:val="Heading2"/>
      </w:pPr>
      <w:r>
        <w:t>9. 研发拆分与评审边界</w:t>
      </w:r>
    </w:p>
    <w:p>
      <w:r>
        <w:t>本项目包含多个可独立交付单元，应分别形成实施计划，而非一个无法独立验收的大任务：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</w:t>
            </w:r>
          </w:p>
        </w:tc>
        <w:tc>
          <w:tcPr>
            <w:tcW w:type="dxa" w:w="2880"/>
          </w:tcPr>
          <w:p>
            <w:r>
              <w:t>可验收结果</w:t>
            </w:r>
          </w:p>
        </w:tc>
        <w:tc>
          <w:tcPr>
            <w:tcW w:type="dxa" w:w="2880"/>
          </w:tcPr>
          <w:p>
            <w:r>
              <w:t>前置依赖</w:t>
            </w:r>
          </w:p>
        </w:tc>
      </w:tr>
      <w:tr>
        <w:tc>
          <w:tcPr>
            <w:tcW w:type="dxa" w:w="2880"/>
          </w:tcPr>
          <w:p>
            <w:r>
              <w:t>C1 文档与确定性渲染</w:t>
            </w:r>
          </w:p>
        </w:tc>
        <w:tc>
          <w:tcPr>
            <w:tcW w:type="dxa" w:w="2880"/>
          </w:tcPr>
          <w:p>
            <w:r>
              <w:t>同一文档可编辑、保存、恢复并按参数导出；素材／字体版本可追溯</w:t>
            </w:r>
          </w:p>
        </w:tc>
        <w:tc>
          <w:tcPr>
            <w:tcW w:type="dxa" w:w="2880"/>
          </w:tcPr>
          <w:p>
            <w:r>
              <w:t>书面模型、渲染与字体验证</w:t>
            </w:r>
          </w:p>
        </w:tc>
      </w:tr>
      <w:tr>
        <w:tc>
          <w:tcPr>
            <w:tcW w:type="dxa" w:w="2880"/>
          </w:tcPr>
          <w:p>
            <w:r>
              <w:t>C2 排版与完整性校验</w:t>
            </w:r>
          </w:p>
        </w:tc>
        <w:tc>
          <w:tcPr>
            <w:tcW w:type="dxa" w:w="2880"/>
          </w:tcPr>
          <w:p>
            <w:r>
              <w:t>整本分配＋跨页构图＋manifest；无解和漏片明确阻断</w:t>
            </w:r>
          </w:p>
        </w:tc>
        <w:tc>
          <w:tcPr>
            <w:tcW w:type="dxa" w:w="2880"/>
          </w:tcPr>
          <w:p>
            <w:r>
              <w:t>C1 文档模型</w:t>
            </w:r>
          </w:p>
        </w:tc>
      </w:tr>
      <w:tr>
        <w:tc>
          <w:tcPr>
            <w:tcW w:type="dxa" w:w="2880"/>
          </w:tcPr>
          <w:p>
            <w:r>
              <w:t>C3 账号、素材与跨端</w:t>
            </w:r>
          </w:p>
        </w:tc>
        <w:tc>
          <w:tcPr>
            <w:tcW w:type="dxa" w:w="2880"/>
          </w:tcPr>
          <w:p>
            <w:r>
              <w:t>微信／网页身份、工作区、上传、权限、小程序轻编辑</w:t>
            </w:r>
          </w:p>
        </w:tc>
        <w:tc>
          <w:tcPr>
            <w:tcW w:type="dxa" w:w="2880"/>
          </w:tcPr>
          <w:p>
            <w:r>
              <w:t>C1 接口约定；平台资质</w:t>
            </w:r>
          </w:p>
        </w:tc>
      </w:tr>
      <w:tr>
        <w:tc>
          <w:tcPr>
            <w:tcW w:type="dxa" w:w="2880"/>
          </w:tcPr>
          <w:p>
            <w:r>
              <w:t>C4 任务与商业权益</w:t>
            </w:r>
          </w:p>
        </w:tc>
        <w:tc>
          <w:tcPr>
            <w:tcW w:type="dxa" w:w="2880"/>
          </w:tcPr>
          <w:p>
            <w:r>
              <w:t>可靠队列、导出快照、会员／点数／兑换、退款与审计</w:t>
            </w:r>
          </w:p>
        </w:tc>
        <w:tc>
          <w:tcPr>
            <w:tcW w:type="dxa" w:w="2880"/>
          </w:tcPr>
          <w:p>
            <w:r>
              <w:t>C1／C3；支付准入</w:t>
            </w:r>
          </w:p>
        </w:tc>
      </w:tr>
      <w:tr>
        <w:tc>
          <w:tcPr>
            <w:tcW w:type="dxa" w:w="2880"/>
          </w:tcPr>
          <w:p>
            <w:r>
              <w:t>C5 AI 创作与运营</w:t>
            </w:r>
          </w:p>
        </w:tc>
        <w:tc>
          <w:tcPr>
            <w:tcW w:type="dxa" w:w="2880"/>
          </w:tcPr>
          <w:p>
            <w:r>
              <w:t>预设报价、供应商适配、审核／标识、素材插入、后台</w:t>
            </w:r>
          </w:p>
        </w:tc>
        <w:tc>
          <w:tcPr>
            <w:tcW w:type="dxa" w:w="2880"/>
          </w:tcPr>
          <w:p>
            <w:r>
              <w:t>C3／C4；模型与素材授权</w:t>
            </w:r>
          </w:p>
        </w:tc>
      </w:tr>
    </w:tbl>
    <w:p>
      <w:r>
        <w:t>本表是设计拆分，不是逐步编码计划。团队、预算和上线时间仍未提供；不能把 v0.1 的估算区间当作已承诺交期。</w:t>
      </w:r>
    </w:p>
    <w:p>
      <w:pPr>
        <w:pStyle w:val="Heading2"/>
      </w:pPr>
      <w:r>
        <w:t>10. 验收追踪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本稿要求</w:t>
            </w:r>
          </w:p>
        </w:tc>
        <w:tc>
          <w:tcPr>
            <w:tcW w:type="dxa" w:w="2880"/>
          </w:tcPr>
          <w:p>
            <w:r>
              <w:t>可观察的通过条件</w:t>
            </w:r>
          </w:p>
        </w:tc>
      </w:tr>
      <w:tr>
        <w:tc>
          <w:tcPr>
            <w:tcW w:type="dxa" w:w="2880"/>
          </w:tcPr>
          <w:p>
            <w:r>
              <w:t>V3-MODE-01</w:t>
            </w:r>
          </w:p>
        </w:tc>
        <w:tc>
          <w:tcPr>
            <w:tcW w:type="dxa" w:w="2880"/>
          </w:tcPr>
          <w:p>
            <w:r>
              <w:t>区分照片排版和艺术创作</w:t>
            </w:r>
          </w:p>
        </w:tc>
        <w:tc>
          <w:tcPr>
            <w:tcW w:type="dxa" w:w="2880"/>
          </w:tcPr>
          <w:p>
            <w:r>
              <w:t>普通选片不会触发生图；艺术入口说明生成变化与用途</w:t>
            </w:r>
          </w:p>
        </w:tc>
      </w:tr>
      <w:tr>
        <w:tc>
          <w:tcPr>
            <w:tcW w:type="dxa" w:w="2880"/>
          </w:tcPr>
          <w:p>
            <w:r>
              <w:t>V3-LAYOUT-01</w:t>
            </w:r>
          </w:p>
        </w:tc>
        <w:tc>
          <w:tcPr>
            <w:tcW w:type="dxa" w:w="2880"/>
          </w:tcPr>
          <w:p>
            <w:r>
              <w:t>全量选片完整</w:t>
            </w:r>
          </w:p>
        </w:tc>
        <w:tc>
          <w:tcPr>
            <w:tcW w:type="dxa" w:w="2880"/>
          </w:tcPr>
          <w:p>
            <w:r>
              <w:t>12 输入生成 12 个有效放置；库返回 11 个时不能应用</w:t>
            </w:r>
          </w:p>
        </w:tc>
      </w:tr>
      <w:tr>
        <w:tc>
          <w:tcPr>
            <w:tcW w:type="dxa" w:w="2880"/>
          </w:tcPr>
          <w:p>
            <w:r>
              <w:t>V3-LAYOUT-02</w:t>
            </w:r>
          </w:p>
        </w:tc>
        <w:tc>
          <w:tcPr>
            <w:tcW w:type="dxa" w:w="2880"/>
          </w:tcPr>
          <w:p>
            <w:r>
              <w:t>固定页数无解</w:t>
            </w:r>
          </w:p>
        </w:tc>
        <w:tc>
          <w:tcPr>
            <w:tcW w:type="dxa" w:w="2880"/>
          </w:tcPr>
          <w:p>
            <w:r>
              <w:t>50 张／10 跨页／最多 2 张时返回冲突和调整方案</w:t>
            </w:r>
          </w:p>
        </w:tc>
      </w:tr>
      <w:tr>
        <w:tc>
          <w:tcPr>
            <w:tcW w:type="dxa" w:w="2880"/>
          </w:tcPr>
          <w:p>
            <w:r>
              <w:t>V3-LAYOUT-03</w:t>
            </w:r>
          </w:p>
        </w:tc>
        <w:tc>
          <w:tcPr>
            <w:tcW w:type="dxa" w:w="2880"/>
          </w:tcPr>
          <w:p>
            <w:r>
              <w:t>锁定与局部重排</w:t>
            </w:r>
          </w:p>
        </w:tc>
        <w:tc>
          <w:tcPr>
            <w:tcW w:type="dxa" w:w="2880"/>
          </w:tcPr>
          <w:p>
            <w:r>
              <w:t>锁定内容和未选跨页不变；候选基线过期不能覆盖</w:t>
            </w:r>
          </w:p>
        </w:tc>
      </w:tr>
      <w:tr>
        <w:tc>
          <w:tcPr>
            <w:tcW w:type="dxa" w:w="2880"/>
          </w:tcPr>
          <w:p>
            <w:r>
              <w:t>V3-EXPORT-01</w:t>
            </w:r>
          </w:p>
        </w:tc>
        <w:tc>
          <w:tcPr>
            <w:tcW w:type="dxa" w:w="2880"/>
          </w:tcPr>
          <w:p>
            <w:r>
              <w:t>不静默降清晰度</w:t>
            </w:r>
          </w:p>
        </w:tc>
        <w:tc>
          <w:tcPr>
            <w:tcW w:type="dxa" w:w="2880"/>
          </w:tcPr>
          <w:p>
            <w:r>
              <w:t>原图不可读但有缩略图时，高清导出仍被阻断</w:t>
            </w:r>
          </w:p>
        </w:tc>
      </w:tr>
      <w:tr>
        <w:tc>
          <w:tcPr>
            <w:tcW w:type="dxa" w:w="2880"/>
          </w:tcPr>
          <w:p>
            <w:r>
              <w:t>V3-EXPORT-02</w:t>
            </w:r>
          </w:p>
        </w:tc>
        <w:tc>
          <w:tcPr>
            <w:tcW w:type="dxa" w:w="2880"/>
          </w:tcPr>
          <w:p>
            <w:r>
              <w:t>中文与文字完整</w:t>
            </w:r>
          </w:p>
        </w:tc>
        <w:tc>
          <w:tcPr>
            <w:tcW w:type="dxa" w:w="2880"/>
          </w:tcPr>
          <w:p>
            <w:r>
              <w:t>连续中文、标点和混排正确换行，超框可见并阻断成品导出</w:t>
            </w:r>
          </w:p>
        </w:tc>
      </w:tr>
      <w:tr>
        <w:tc>
          <w:tcPr>
            <w:tcW w:type="dxa" w:w="2880"/>
          </w:tcPr>
          <w:p>
            <w:r>
              <w:t>V3-EXPORT-03</w:t>
            </w:r>
          </w:p>
        </w:tc>
        <w:tc>
          <w:tcPr>
            <w:tcW w:type="dxa" w:w="2880"/>
          </w:tcPr>
          <w:p>
            <w:r>
              <w:t>像素／DPI 分离</w:t>
            </w:r>
          </w:p>
        </w:tc>
        <w:tc>
          <w:tcPr>
            <w:tcW w:type="dxa" w:w="2880"/>
          </w:tcPr>
          <w:p>
            <w:r>
              <w:t>输出像素符合尺寸与出血计算；DPI 标签不能代替足够像素</w:t>
            </w:r>
          </w:p>
        </w:tc>
      </w:tr>
      <w:tr>
        <w:tc>
          <w:tcPr>
            <w:tcW w:type="dxa" w:w="2880"/>
          </w:tcPr>
          <w:p>
            <w:r>
              <w:t>V3-EXPORT-04</w:t>
            </w:r>
          </w:p>
        </w:tc>
        <w:tc>
          <w:tcPr>
            <w:tcW w:type="dxa" w:w="2880"/>
          </w:tcPr>
          <w:p>
            <w:r>
              <w:t>快照一致</w:t>
            </w:r>
          </w:p>
        </w:tc>
        <w:tc>
          <w:tcPr>
            <w:tcW w:type="dxa" w:w="2880"/>
          </w:tcPr>
          <w:p>
            <w:r>
              <w:t>revision=12 提交导出后保存 13，产物仍完全来自 12</w:t>
            </w:r>
          </w:p>
        </w:tc>
      </w:tr>
      <w:tr>
        <w:tc>
          <w:tcPr>
            <w:tcW w:type="dxa" w:w="2880"/>
          </w:tcPr>
          <w:p>
            <w:r>
              <w:t>V3-ART-01</w:t>
            </w:r>
          </w:p>
        </w:tc>
        <w:tc>
          <w:tcPr>
            <w:tcW w:type="dxa" w:w="2880"/>
          </w:tcPr>
          <w:p>
            <w:r>
              <w:t>图像与文字分层</w:t>
            </w:r>
          </w:p>
        </w:tc>
        <w:tc>
          <w:tcPr>
            <w:tcW w:type="dxa" w:w="2880"/>
          </w:tcPr>
          <w:p>
            <w:r>
              <w:t>改标题无需重新生图；插入结果不覆盖原片</w:t>
            </w:r>
          </w:p>
        </w:tc>
      </w:tr>
      <w:tr>
        <w:tc>
          <w:tcPr>
            <w:tcW w:type="dxa" w:w="2880"/>
          </w:tcPr>
          <w:p>
            <w:r>
              <w:t>V3-LICENSE-01</w:t>
            </w:r>
          </w:p>
        </w:tc>
        <w:tc>
          <w:tcPr>
            <w:tcW w:type="dxa" w:w="2880"/>
          </w:tcPr>
          <w:p>
            <w:r>
              <w:t>授权上架</w:t>
            </w:r>
          </w:p>
        </w:tc>
        <w:tc>
          <w:tcPr>
            <w:tcW w:type="dxa" w:w="2880"/>
          </w:tcPr>
          <w:p>
            <w:r>
              <w:t>非商业或许可不明预设不能发布为付费生成能力</w:t>
            </w:r>
          </w:p>
        </w:tc>
      </w:tr>
      <w:tr>
        <w:tc>
          <w:tcPr>
            <w:tcW w:type="dxa" w:w="2880"/>
          </w:tcPr>
          <w:p>
            <w:r>
              <w:t>V3-CROSS-01</w:t>
            </w:r>
          </w:p>
        </w:tc>
        <w:tc>
          <w:tcPr>
            <w:tcW w:type="dxa" w:w="2880"/>
          </w:tcPr>
          <w:p>
            <w:r>
              <w:t>跨端字段保持</w:t>
            </w:r>
          </w:p>
        </w:tc>
        <w:tc>
          <w:tcPr>
            <w:tcW w:type="dxa" w:w="2880"/>
          </w:tcPr>
          <w:p>
            <w:r>
              <w:t>小程序改文字／裁剪，网页高级图层字段完整保留</w:t>
            </w:r>
          </w:p>
        </w:tc>
      </w:tr>
    </w:tbl>
    <w:p>
      <w:r>
        <w:t>参考依据：v0.2 调研与算法实测 (../research-2026-10-21/README.md)。魔镜设计仍未访问成功，没有把其未知行为写成产品事实。本稿的视觉、技术选择与阻断规则供书面评审，实施前按对应单元形成具体计划。</w:t>
      </w:r>
    </w:p>
    <w:p>
      <w:r>
        <w:br w:type="page"/>
      </w:r>
    </w:p>
    <w:p>
      <w:pPr>
        <w:pStyle w:val="Heading2"/>
      </w:pPr>
      <w:r>
        <w:t>P09-create-mode</w:t>
      </w:r>
    </w:p>
    <w:p>
      <w:r>
        <w:drawing>
          <wp:inline xmlns:a="http://schemas.openxmlformats.org/drawingml/2006/main" xmlns:pic="http://schemas.openxmlformats.org/drawingml/2006/picture">
            <wp:extent cx="5669280" cy="393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-create-m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P10-layout-integrity</w:t>
      </w:r>
    </w:p>
    <w:p>
      <w:r>
        <w:drawing>
          <wp:inline xmlns:a="http://schemas.openxmlformats.org/drawingml/2006/main" xmlns:pic="http://schemas.openxmlformats.org/drawingml/2006/picture">
            <wp:extent cx="5669280" cy="393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-layout-integ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P11-art-to-album</w:t>
      </w:r>
    </w:p>
    <w:p>
      <w:r>
        <w:drawing>
          <wp:inline xmlns:a="http://schemas.openxmlformats.org/drawingml/2006/main" xmlns:pic="http://schemas.openxmlformats.org/drawingml/2006/picture">
            <wp:extent cx="5669280" cy="393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-art-to-alb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P12-export-preflight</w:t>
      </w:r>
    </w:p>
    <w:p>
      <w:r>
        <w:drawing>
          <wp:inline xmlns:a="http://schemas.openxmlformats.org/drawingml/2006/main" xmlns:pic="http://schemas.openxmlformats.org/drawingml/2006/picture">
            <wp:extent cx="5669280" cy="393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-export-pref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