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0E" w:rsidRDefault="000A4B97" w:rsidP="000A4B97">
      <w:pPr>
        <w:jc w:val="center"/>
        <w:rPr>
          <w:sz w:val="36"/>
          <w:szCs w:val="36"/>
        </w:rPr>
      </w:pPr>
      <w:proofErr w:type="spellStart"/>
      <w:r w:rsidRPr="000A4B97">
        <w:rPr>
          <w:sz w:val="36"/>
          <w:szCs w:val="36"/>
        </w:rPr>
        <w:t>Tugas</w:t>
      </w:r>
      <w:proofErr w:type="spellEnd"/>
      <w:r w:rsidRPr="000A4B97">
        <w:rPr>
          <w:sz w:val="36"/>
          <w:szCs w:val="36"/>
        </w:rPr>
        <w:t xml:space="preserve"> PKN</w:t>
      </w:r>
    </w:p>
    <w:p w:rsidR="003A77C8" w:rsidRPr="000A4B97" w:rsidRDefault="003A77C8" w:rsidP="003A77C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Kasus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kebebasan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</w:t>
      </w:r>
      <w:bookmarkStart w:id="0" w:name="_GoBack"/>
      <w:bookmarkEnd w:id="0"/>
      <w:proofErr w:type="spellEnd"/>
    </w:p>
    <w:tbl>
      <w:tblPr>
        <w:tblStyle w:val="TableGrid"/>
        <w:tblpPr w:leftFromText="180" w:rightFromText="180" w:vertAnchor="page" w:horzAnchor="margin" w:tblpXSpec="center" w:tblpY="3049"/>
        <w:tblW w:w="11250" w:type="dxa"/>
        <w:tblLook w:val="04A0" w:firstRow="1" w:lastRow="0" w:firstColumn="1" w:lastColumn="0" w:noHBand="0" w:noVBand="1"/>
      </w:tblPr>
      <w:tblGrid>
        <w:gridCol w:w="498"/>
        <w:gridCol w:w="5819"/>
        <w:gridCol w:w="4933"/>
      </w:tblGrid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No</w:t>
            </w:r>
          </w:p>
        </w:tc>
        <w:tc>
          <w:tcPr>
            <w:tcW w:w="5831" w:type="dxa"/>
          </w:tcPr>
          <w:p w:rsidR="003A77C8" w:rsidRPr="003A77C8" w:rsidRDefault="003A77C8" w:rsidP="003A77C8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ab/>
              <w:t xml:space="preserve">UU </w:t>
            </w:r>
            <w:proofErr w:type="spellStart"/>
            <w:r w:rsidRPr="003A77C8">
              <w:rPr>
                <w:sz w:val="24"/>
                <w:szCs w:val="24"/>
              </w:rPr>
              <w:t>Pers</w:t>
            </w:r>
            <w:proofErr w:type="spellEnd"/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proofErr w:type="spellStart"/>
            <w:r w:rsidRPr="003A77C8">
              <w:rPr>
                <w:sz w:val="24"/>
                <w:szCs w:val="24"/>
              </w:rPr>
              <w:t>Analisis</w:t>
            </w:r>
            <w:proofErr w:type="spellEnd"/>
          </w:p>
        </w:tc>
      </w:tr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1</w:t>
            </w:r>
          </w:p>
        </w:tc>
        <w:tc>
          <w:tcPr>
            <w:tcW w:w="5831" w:type="dxa"/>
          </w:tcPr>
          <w:p w:rsidR="003A77C8" w:rsidRPr="00371E87" w:rsidRDefault="003A77C8" w:rsidP="003A77C8">
            <w:pPr>
              <w:shd w:val="clear" w:color="auto" w:fill="FFFFFF"/>
              <w:spacing w:before="173" w:after="173"/>
              <w:outlineLvl w:val="2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371E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BAB I</w:t>
            </w:r>
            <w:r w:rsidRPr="00371E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br/>
              <w:t>KETENTUAN UMUM</w:t>
            </w:r>
          </w:p>
          <w:p w:rsidR="003A77C8" w:rsidRPr="003A77C8" w:rsidRDefault="003A77C8" w:rsidP="003A77C8">
            <w:pPr>
              <w:shd w:val="clear" w:color="auto" w:fill="FFFFFF"/>
              <w:spacing w:before="173" w:after="173"/>
              <w:outlineLvl w:val="3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371E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Pasal</w:t>
            </w:r>
            <w:proofErr w:type="spellEnd"/>
            <w:r w:rsidRPr="00371E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1</w:t>
            </w:r>
            <w:r w:rsidRPr="003A77C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ayat</w:t>
            </w:r>
            <w:proofErr w:type="spellEnd"/>
            <w:r w:rsidRPr="003A77C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1 : </w:t>
            </w:r>
          </w:p>
          <w:p w:rsidR="003A77C8" w:rsidRPr="00371E87" w:rsidRDefault="003A77C8" w:rsidP="003A77C8">
            <w:pPr>
              <w:shd w:val="clear" w:color="auto" w:fill="FFFFFF"/>
              <w:spacing w:before="173" w:after="173"/>
              <w:outlineLvl w:val="3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Pers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lembaga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sosial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wahana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komunikasi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massa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melaksanakan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jurnalistik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meliputi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memperoleh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memiliki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menyimpan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mengolah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menyampaikan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bentuk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tulisan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suara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gambar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suara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gambar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grafik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maupun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bentuk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lainnya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cetak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media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elektronik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segala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jenis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saluran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tersedia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  <w:p w:rsidR="003A77C8" w:rsidRPr="003A77C8" w:rsidRDefault="003A77C8" w:rsidP="003A77C8">
            <w:pPr>
              <w:rPr>
                <w:sz w:val="24"/>
                <w:szCs w:val="24"/>
              </w:rPr>
            </w:pPr>
            <w:proofErr w:type="spellStart"/>
            <w:r w:rsidRPr="003A77C8">
              <w:rPr>
                <w:sz w:val="24"/>
                <w:szCs w:val="24"/>
              </w:rPr>
              <w:t>Sulit</w:t>
            </w:r>
            <w:proofErr w:type="spellEnd"/>
            <w:r w:rsidRPr="003A77C8">
              <w:rPr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sz w:val="24"/>
                <w:szCs w:val="24"/>
              </w:rPr>
              <w:t>nya</w:t>
            </w:r>
            <w:proofErr w:type="spellEnd"/>
            <w:r w:rsidRPr="003A77C8">
              <w:rPr>
                <w:sz w:val="24"/>
                <w:szCs w:val="24"/>
              </w:rPr>
              <w:t xml:space="preserve"> </w:t>
            </w:r>
            <w:r w:rsidRPr="003A77C8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Rebecca</w:t>
            </w:r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melakukan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kegiatan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jurnalistik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meliput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mencari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memperoleh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informasi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papua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padahal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dia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telah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mendapatkan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izin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hanya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karna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postingan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dia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di social media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pribadi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nya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dia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dipaksa</w:t>
            </w:r>
            <w:proofErr w:type="spellEnd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212529"/>
                <w:sz w:val="24"/>
                <w:szCs w:val="24"/>
              </w:rPr>
              <w:t>keluar</w:t>
            </w:r>
            <w:proofErr w:type="spellEnd"/>
          </w:p>
        </w:tc>
      </w:tr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2</w:t>
            </w:r>
          </w:p>
        </w:tc>
        <w:tc>
          <w:tcPr>
            <w:tcW w:w="5831" w:type="dxa"/>
          </w:tcPr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BAB II</w:t>
            </w: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br/>
              <w:t>ASAS, FUNGSI, HAK, KEWAJIBAN DAN PERANAN PERS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Pasal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bagian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d :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A77C8" w:rsidRPr="003A77C8" w:rsidRDefault="003A77C8" w:rsidP="003A77C8">
            <w:pPr>
              <w:rPr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pengawasan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kritik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koreksi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saran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terhadap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hal-hal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berkaitan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kepentingan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</w:tc>
      </w:tr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3</w:t>
            </w:r>
          </w:p>
        </w:tc>
        <w:tc>
          <w:tcPr>
            <w:tcW w:w="5831" w:type="dxa"/>
          </w:tcPr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BAB II</w:t>
            </w: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br/>
              <w:t>ASAS, FUNGSI, HAK, KEWAJIBAN DAN PERANAN PERS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Pasal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ayat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3 :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A77C8" w:rsidRPr="003A77C8" w:rsidRDefault="003A77C8" w:rsidP="003A77C8">
            <w:pPr>
              <w:rPr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menjamin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kemerdekaan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pers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pers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nasional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mempunyai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hak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memperoleh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menyebarluaskan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gagasan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</w:tc>
      </w:tr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4</w:t>
            </w:r>
          </w:p>
        </w:tc>
        <w:tc>
          <w:tcPr>
            <w:tcW w:w="5831" w:type="dxa"/>
          </w:tcPr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BAB II</w:t>
            </w:r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br/>
              <w:t>ASAS, FUNGSI, HAK, KEWAJIBAN DAN PERANAN PERS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Pasal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bagian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a :</w:t>
            </w: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memenuhi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hak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masyarakat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3A77C8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</w:tc>
      </w:tr>
      <w:tr w:rsidR="003A77C8" w:rsidRPr="003A77C8" w:rsidTr="003A77C8">
        <w:tc>
          <w:tcPr>
            <w:tcW w:w="475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  <w:r w:rsidRPr="003A77C8">
              <w:rPr>
                <w:sz w:val="24"/>
                <w:szCs w:val="24"/>
              </w:rPr>
              <w:t>5</w:t>
            </w:r>
          </w:p>
        </w:tc>
        <w:tc>
          <w:tcPr>
            <w:tcW w:w="5831" w:type="dxa"/>
          </w:tcPr>
          <w:p w:rsidR="003A77C8" w:rsidRPr="003A77C8" w:rsidRDefault="003A77C8" w:rsidP="003A77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944" w:type="dxa"/>
          </w:tcPr>
          <w:p w:rsidR="003A77C8" w:rsidRPr="003A77C8" w:rsidRDefault="003A77C8" w:rsidP="003A77C8">
            <w:pPr>
              <w:rPr>
                <w:sz w:val="24"/>
                <w:szCs w:val="24"/>
              </w:rPr>
            </w:pPr>
          </w:p>
        </w:tc>
      </w:tr>
    </w:tbl>
    <w:p w:rsidR="000A4B97" w:rsidRPr="003A77C8" w:rsidRDefault="000A4B97" w:rsidP="000A4B97">
      <w:pPr>
        <w:jc w:val="center"/>
        <w:rPr>
          <w:sz w:val="24"/>
          <w:szCs w:val="24"/>
        </w:rPr>
      </w:pPr>
    </w:p>
    <w:sectPr w:rsidR="000A4B97" w:rsidRPr="003A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5C"/>
    <w:rsid w:val="000A4B97"/>
    <w:rsid w:val="0017455C"/>
    <w:rsid w:val="00175962"/>
    <w:rsid w:val="00371E87"/>
    <w:rsid w:val="003A77C8"/>
    <w:rsid w:val="006C3A0E"/>
    <w:rsid w:val="009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FCAE"/>
  <w15:chartTrackingRefBased/>
  <w15:docId w15:val="{EABEE842-810B-4E69-ADD9-32F6F28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1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71E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1E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2020-01-26T07:39:00Z</dcterms:created>
  <dcterms:modified xsi:type="dcterms:W3CDTF">2020-01-26T08:43:00Z</dcterms:modified>
</cp:coreProperties>
</file>