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AML Compliance Standard Operating Procedure</w:t>
      </w:r>
    </w:p>
  </w:body>
</w:document>
</file>