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AML Compliance Standard Operating Procedure 0868d2f5-5fa9-4949-8433-0e2d252da3ac</w:t>
      </w:r>
    </w:p>
  </w:body>
</w:document>
</file>