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Section 1: Wire Transfer Verification Rules e2e39c28</w:t>
      </w:r>
    </w:p>
    <w:p>
      <w:r>
        <w:t>Every cross-border payment exceeding $25,000 requires two-party senior compliance verification.</w:t>
      </w:r>
    </w:p>
    <w:p>
      <w:r>
        <w:t>Section 2: Shell Corporation Identification e2e39c28</w:t>
      </w:r>
    </w:p>
    <w:p>
      <w:r>
        <w:t>Accounts without physical operational facilities or domestic payroll are treated as shell entities.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2026-10-02T13:36:43Z</dcterms:created>
  <dc:creator>Apache POI</dc:creator>
</cp:coreProperties>
</file>