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AML Compliance Standard Operating Procedure 87a85b5b-38e0-46a7-b684-47a8670c100a</w:t>
      </w:r>
    </w:p>
  </w:body>
</w:document>
</file>