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b w:val="on"/>
          <w:sz w:val="24"/>
        </w:rPr>
        <w:t>AML-GUIDE-004: Transaction Escalation Guidelines and Decision Matrix</w:t>
      </w:r>
    </w:p>
    <w:p>
      <w:r>
        <w:rPr>
          <w:sz w:val="20"/>
        </w:rPr>
        <w:t>Version: v2.8</w:t>
      </w:r>
    </w:p>
    <w:p>
      <w:r>
        <w:rPr>
          <w:sz w:val="20"/>
        </w:rPr>
        <w:t>Classification: Compliance Operating Guideline</w:t>
      </w:r>
    </w:p>
    <w:p>
      <w:r>
        <w:rPr>
          <w:sz w:val="20"/>
        </w:rPr>
        <w:t>Effective Date: 2026-02-15</w:t>
      </w:r>
    </w:p>
    <w:p>
      <w:r>
        <w:rPr>
          <w:sz w:val="20"/>
        </w:rPr>
        <w:t>Owner: Office of the Money Laundering Reporting Officer (MLRO)</w:t>
      </w:r>
    </w:p>
    <w:p/>
    <w:p>
      <w:pPr>
        <w:jc w:val="left"/>
      </w:pPr>
      <w:r>
        <w:rPr>
          <w:b w:val="on"/>
          <w:sz w:val="24"/>
        </w:rPr>
        <w:t>Section 1: Objective and Governance</w:t>
      </w:r>
    </w:p>
    <w:p>
      <w:r>
        <w:rPr>
          <w:sz w:val="20"/>
        </w:rPr>
        <w:t>These guidelines provide a formalized decision framework for escalating suspicious transactions, high-risk alerts, and emergent financial crime situations to senior compliance leadership, the MLRO, and executive committees.</w:t>
      </w:r>
    </w:p>
    <w:p/>
    <w:p>
      <w:pPr>
        <w:jc w:val="left"/>
      </w:pPr>
      <w:r>
        <w:rPr>
          <w:b w:val="on"/>
          <w:sz w:val="24"/>
        </w:rPr>
        <w:t>Section 2: Four-Tier Escalation Hierarchy</w:t>
      </w:r>
    </w:p>
    <w:p>
      <w:r>
        <w:rPr>
          <w:sz w:val="20"/>
        </w:rPr>
        <w:t>1. Tier 1 - Alert Ingestion &amp; L1 Review: Handled by AML Operations Analysts. Focuses on clearing routine false positives and triaging complex behaviors.</w:t>
      </w:r>
    </w:p>
    <w:p>
      <w:r>
        <w:rPr>
          <w:sz w:val="20"/>
        </w:rPr>
        <w:t>2. Tier 2 - Senior Case Investigation: Handled by Senior FIU Investigators. Conducts in-depth forensic analysis, counterparty lookbacks, and SAR recommendations.</w:t>
      </w:r>
    </w:p>
    <w:p>
      <w:r>
        <w:rPr>
          <w:sz w:val="20"/>
        </w:rPr>
        <w:t>3. Tier 3 - Compliance Management &amp; MLRO Approval: Handled by the Chief AML Officer / MLRO. Holds sole authority to approve SAR filings, direct account freezing, or authorize law enforcement disclosures.</w:t>
      </w:r>
    </w:p>
    <w:p>
      <w:r>
        <w:rPr>
          <w:sz w:val="20"/>
        </w:rPr>
        <w:t>4. Tier 4 - Executive AML Oversight Committee: Receives quarterly filings, material regulatory exposure reports, and approves permanent customer de-risking for enterprise clients.</w:t>
      </w:r>
    </w:p>
    <w:p/>
    <w:p>
      <w:pPr>
        <w:jc w:val="left"/>
      </w:pPr>
      <w:r>
        <w:rPr>
          <w:b w:val="on"/>
          <w:sz w:val="24"/>
        </w:rPr>
        <w:t>Section 3: Priority Escalation Categories &amp; Response SLAs</w:t>
      </w:r>
    </w:p>
    <w:p>
      <w:r>
        <w:rPr>
          <w:sz w:val="20"/>
        </w:rPr>
        <w:t>- Critical Priority 1 (4-Hour Response SLA):</w:t>
      </w:r>
    </w:p>
    <w:p>
      <w:r>
        <w:rPr>
          <w:sz w:val="20"/>
        </w:rPr>
        <w:t>* Positive, confirmed matches against OFAC Sanctions, UN, or EU consolidated lists.</w:t>
      </w:r>
    </w:p>
    <w:p>
      <w:r>
        <w:rPr>
          <w:sz w:val="20"/>
        </w:rPr>
        <w:t>* Direct nexus to terrorism financing or proliferations networks.</w:t>
      </w:r>
    </w:p>
    <w:p>
      <w:r>
        <w:rPr>
          <w:sz w:val="20"/>
        </w:rPr>
        <w:t>* Credible red flags indicating child exploitation or human trafficking proceeds.</w:t>
      </w:r>
    </w:p>
    <w:p>
      <w:r>
        <w:rPr>
          <w:sz w:val="20"/>
        </w:rPr>
        <w:t>Action: Immediate freeze of associated transaction and real-time verbal and written briefing to the MLRO.</w:t>
      </w:r>
    </w:p>
    <w:p>
      <w:r>
        <w:rPr>
          <w:sz w:val="20"/>
        </w:rPr>
        <w:t>- High Priority 2 (24-Hour Response SLA):</w:t>
      </w:r>
    </w:p>
    <w:p>
      <w:r>
        <w:rPr>
          <w:sz w:val="20"/>
        </w:rPr>
        <w:t>* Confirmed structuring schemes aggregating in excess of $100,000 within a 30-day window.</w:t>
      </w:r>
    </w:p>
    <w:p>
      <w:r>
        <w:rPr>
          <w:sz w:val="20"/>
        </w:rPr>
        <w:t>* Law Enforcement Grand Jury subpoenas or FinCEN 314(a) subject hits.</w:t>
      </w:r>
    </w:p>
    <w:p>
      <w:r>
        <w:rPr>
          <w:sz w:val="20"/>
        </w:rPr>
        <w:t>* Material bribery or corruption schemes involving senior foreign political figures.</w:t>
      </w:r>
    </w:p>
    <w:p>
      <w:r>
        <w:rPr>
          <w:sz w:val="20"/>
        </w:rPr>
        <w:t>Action: Immediate escalation from L1 to Senior FIU Investigator with priority case queuing.</w:t>
      </w:r>
    </w:p>
    <w:p>
      <w:r>
        <w:rPr>
          <w:sz w:val="20"/>
        </w:rPr>
        <w:t>- Medium Priority 3 (72-Hour Response SLA):</w:t>
      </w:r>
    </w:p>
    <w:p>
      <w:r>
        <w:rPr>
          <w:sz w:val="20"/>
        </w:rPr>
        <w:t>* Persistent lack of customer response to multiple Requests for Information (RFI).</w:t>
      </w:r>
    </w:p>
    <w:p>
      <w:r>
        <w:rPr>
          <w:sz w:val="20"/>
        </w:rPr>
        <w:t>* Recurring uncharacteristic transaction spikes without adequate commercial documentation.</w:t>
      </w:r>
    </w:p>
    <w:p/>
    <w:p>
      <w:pPr>
        <w:jc w:val="left"/>
      </w:pPr>
      <w:r>
        <w:rPr>
          <w:b w:val="on"/>
          <w:sz w:val="24"/>
        </w:rPr>
        <w:t>Section 4: Protocol for Transaction Holds and Account Freezing</w:t>
      </w:r>
    </w:p>
    <w:p>
      <w:r>
        <w:rPr>
          <w:sz w:val="20"/>
        </w:rPr>
        <w:t>Administrative holds may only be applied under the explicit written authorization of the MLRO or designated Legal Counsel under any of the following conditions:</w:t>
      </w:r>
    </w:p>
    <w:p>
      <w:r>
        <w:rPr>
          <w:sz w:val="20"/>
        </w:rPr>
        <w:t>1. Valid OFAC sanctions block requirement.</w:t>
      </w:r>
    </w:p>
    <w:p>
      <w:r>
        <w:rPr>
          <w:sz w:val="20"/>
        </w:rPr>
        <w:t>2. Formal court-ordered restraining order or criminal asset forfeiture warrant.</w:t>
      </w:r>
    </w:p>
    <w:p>
      <w:r>
        <w:rPr>
          <w:sz w:val="20"/>
        </w:rPr>
        <w:t>3. Imminent flight risk involving active cybercrime or fraudulent unauthorized diversion of depositor funds exceeding $50,000.</w:t>
      </w:r>
    </w:p>
    <w:p/>
    <w:p>
      <w:pPr>
        <w:jc w:val="left"/>
      </w:pPr>
      <w:r>
        <w:rPr>
          <w:b w:val="on"/>
          <w:sz w:val="24"/>
        </w:rPr>
        <w:t>Section 5: USA PATRIOT Act Section 314(b) Information Sharing</w:t>
      </w:r>
    </w:p>
    <w:p>
      <w:r>
        <w:rPr>
          <w:sz w:val="20"/>
        </w:rPr>
        <w:t>To enhance cross-institutional intelligence against illicit networks, Senior Investigators may initiate voluntary 314(b) requests with participating peer financial institutions. All 314(b) transmissions must be encrypted and logged in the FIU audit database.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2026-10-02T14:19:55Z</dcterms:created>
  <dc:creator>Apache POI</dc:creator>
</cp:coreProperties>
</file>