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一、单枚烟幕弹有效遮蔽时长计算模型</w:t>
      </w:r>
    </w:p>
    <w:p>
      <w:pPr>
        <w:pStyle w:val="Heading2"/>
      </w:pPr>
      <w:r>
        <w:rPr>
          <w:rFonts w:ascii="黑体" w:hAnsi="黑体" w:eastAsia="黑体"/>
          <w:color w:val="000000"/>
        </w:rPr>
        <w:t>1.1 问题分析</w:t>
      </w:r>
    </w:p>
    <w:p>
      <w:pPr>
        <w:spacing w:line="360" w:lineRule="auto"/>
        <w:ind w:firstLine="420"/>
      </w:pPr>
      <w:r>
        <w:rPr>
          <w:rFonts w:ascii="宋体" w:hAnsi="宋体" w:eastAsia="宋体"/>
          <w:sz w:val="24"/>
        </w:rPr>
        <w:t>问题一要求计算单枚烟幕干扰弹对单枚来袭导弹的有效遮蔽时长。该问题是后续多弹协同优化、多无人机任务分配等复杂问题的基础，其计算精度直接影响上层优化结果的可靠性。问题的核心在于精确判定烟幕云团在何时完全遮蔽真目标，使导弹无法通过红外或可见光探测获取目标位置信息。</w:t>
      </w:r>
    </w:p>
    <w:p>
      <w:pPr>
        <w:spacing w:line="360" w:lineRule="auto"/>
        <w:ind w:firstLine="420"/>
      </w:pPr>
      <w:r>
        <w:rPr>
          <w:rFonts w:ascii="宋体" w:hAnsi="宋体" w:eastAsia="宋体"/>
          <w:sz w:val="24"/>
        </w:rPr>
        <w:t>该问题涉及三个运动主体的时空耦合关系：来袭导弹沿固定轨迹匀速直线飞行，无人机以恒定速度和航向飞行并在指定时刻投放烟幕弹，烟幕弹脱离无人机后做平抛运动并在延迟起爆后形成匀速下沉的球形云团。有效遮蔽的判定需同时满足：烟幕云团已起爆且尚未沉降至失效高度、导弹位于烟幕云团的有效遮蔽范围内、真目标圆柱表面的所有采样点与导弹的连线均被烟幕云团拦截。</w:t>
      </w:r>
    </w:p>
    <w:p>
      <w:pPr>
        <w:spacing w:line="360" w:lineRule="auto"/>
        <w:ind w:firstLine="420"/>
      </w:pPr>
      <w:r>
        <w:rPr>
          <w:rFonts w:ascii="宋体" w:hAnsi="宋体" w:eastAsia="宋体"/>
          <w:sz w:val="24"/>
        </w:rPr>
        <w:t>传统方法通常采用固定时间步长扫描结合圆锥半角近似判定，存在两方面不足：其一，固定步长导致边界时刻精度受限，步长过大则结果偏粗，步长过小则计算量剧增；其二，圆锥半角近似忽略了烟幕云团的球形几何特征与真目标的圆柱形状，可能产生系统性偏差。本文采用精确的线段-球相交判定结合自适应边界精化方法，在保证计算效率的同时将边界时刻精度提升至10⁻⁶秒量级。</w:t>
      </w:r>
    </w:p>
    <w:p>
      <w:pPr>
        <w:pStyle w:val="Heading2"/>
      </w:pPr>
      <w:r>
        <w:rPr>
          <w:rFonts w:ascii="黑体" w:hAnsi="黑体" w:eastAsia="黑体"/>
          <w:color w:val="000000"/>
        </w:rPr>
        <w:t>1.2 模型假设</w:t>
      </w:r>
    </w:p>
    <w:p>
      <w:pPr>
        <w:spacing w:line="360" w:lineRule="auto"/>
        <w:ind w:firstLine="420"/>
      </w:pPr>
      <w:r>
        <w:rPr>
          <w:rFonts w:ascii="宋体" w:hAnsi="宋体" w:eastAsia="宋体"/>
          <w:sz w:val="24"/>
        </w:rPr>
        <w:t>（1）来袭导弹沿初始位置指向真目标原点的方向做匀速直线运动，速度恒为300 m/s，飞行过程中不进行机动规避。</w:t>
      </w:r>
    </w:p>
    <w:p>
      <w:pPr>
        <w:spacing w:line="360" w:lineRule="auto"/>
        <w:ind w:firstLine="420"/>
      </w:pPr>
      <w:r>
        <w:rPr>
          <w:rFonts w:ascii="宋体" w:hAnsi="宋体" w:eastAsia="宋体"/>
          <w:sz w:val="24"/>
        </w:rPr>
        <w:t>（2）无人机在投放烟幕弹前后保持恒定速度和航向，飞行高度不变，做匀速直线运动。</w:t>
      </w:r>
    </w:p>
    <w:p>
      <w:pPr>
        <w:spacing w:line="360" w:lineRule="auto"/>
        <w:ind w:firstLine="420"/>
      </w:pPr>
      <w:r>
        <w:rPr>
          <w:rFonts w:ascii="宋体" w:hAnsi="宋体" w:eastAsia="宋体"/>
          <w:sz w:val="24"/>
        </w:rPr>
        <w:t>（3）烟幕弹脱离无人机后做平抛运动，水平方向保持无人机的速度分量，竖直方向仅受重力作用，加速度g=9.8 m/s²。</w:t>
      </w:r>
    </w:p>
    <w:p>
      <w:pPr>
        <w:spacing w:line="360" w:lineRule="auto"/>
        <w:ind w:firstLine="420"/>
      </w:pPr>
      <w:r>
        <w:rPr>
          <w:rFonts w:ascii="宋体" w:hAnsi="宋体" w:eastAsia="宋体"/>
          <w:sz w:val="24"/>
        </w:rPr>
        <w:t>（4）烟幕弹起爆后瞬间形成半径为10 m的球形云团，云团中心以3 m/s的速度匀速竖直下沉，水平位置保持不变。</w:t>
      </w:r>
    </w:p>
    <w:p>
      <w:pPr>
        <w:spacing w:line="360" w:lineRule="auto"/>
        <w:ind w:firstLine="420"/>
      </w:pPr>
      <w:r>
        <w:rPr>
          <w:rFonts w:ascii="宋体" w:hAnsi="宋体" w:eastAsia="宋体"/>
          <w:sz w:val="24"/>
        </w:rPr>
        <w:t>（5）烟幕云团的有效遮蔽时间为起爆后20 s内，或云团中心沉降至距地面2 m高度为止，以先到者为准。</w:t>
      </w:r>
    </w:p>
    <w:p>
      <w:pPr>
        <w:spacing w:line="360" w:lineRule="auto"/>
        <w:ind w:firstLine="420"/>
      </w:pPr>
      <w:r>
        <w:rPr>
          <w:rFonts w:ascii="宋体" w:hAnsi="宋体" w:eastAsia="宋体"/>
          <w:sz w:val="24"/>
        </w:rPr>
        <w:t>（6）真目标为半径7 m、高10 m的圆柱体，中心位于(0, 200, 0)处，底面位于地面（z=0）。</w:t>
      </w:r>
    </w:p>
    <w:p>
      <w:pPr>
        <w:spacing w:line="360" w:lineRule="auto"/>
        <w:ind w:firstLine="420"/>
      </w:pPr>
      <w:r>
        <w:rPr>
          <w:rFonts w:ascii="宋体" w:hAnsi="宋体" w:eastAsia="宋体"/>
          <w:sz w:val="24"/>
        </w:rPr>
        <w:t>（7）当且仅当真目标表面所有点与导弹位置的连线均与烟幕云团球体相交时，判定该时刻真目标被完全遮蔽。</w:t>
      </w:r>
    </w:p>
    <w:p>
      <w:pPr>
        <w:pStyle w:val="Heading2"/>
      </w:pPr>
      <w:r>
        <w:rPr>
          <w:rFonts w:ascii="黑体" w:hAnsi="黑体" w:eastAsia="黑体"/>
          <w:color w:val="000000"/>
        </w:rPr>
        <w:t>1.3 符号说明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符号</w:t>
            </w:r>
          </w:p>
        </w:tc>
        <w:tc>
          <w:tcPr>
            <w:tcW w:type="dxa" w:w="2880"/>
          </w:tcPr>
          <w:p>
            <w:pPr>
              <w:jc w:val="center"/>
            </w:pPr>
            <w:r>
              <w:rPr>
                <w:b/>
                <w:sz w:val="20"/>
              </w:rPr>
              <w:t>含义</w:t>
            </w:r>
          </w:p>
        </w:tc>
        <w:tc>
          <w:tcPr>
            <w:tcW w:type="dxa" w:w="2880"/>
          </w:tcPr>
          <w:p>
            <w:pPr>
              <w:jc w:val="center"/>
            </w:pPr>
            <w:r>
              <w:rPr>
                <w:b/>
                <w:sz w:val="20"/>
              </w:rPr>
              <w:t>单位</w:t>
            </w:r>
          </w:p>
        </w:tc>
      </w:tr>
      <w:tr>
        <w:tc>
          <w:tcPr>
            <w:tcW w:type="dxa" w:w="2880"/>
          </w:tcPr>
          <w:p>
            <w:pPr>
              <w:jc w:val="center"/>
            </w:pPr>
            <w:r>
              <w:rPr>
                <w:sz w:val="20"/>
              </w:rPr>
              <w:t>S(t)</w:t>
            </w:r>
          </w:p>
        </w:tc>
        <w:tc>
          <w:tcPr>
            <w:tcW w:type="dxa" w:w="2880"/>
          </w:tcPr>
          <w:p>
            <w:pPr>
              <w:jc w:val="center"/>
            </w:pPr>
            <w:r>
              <w:rPr>
                <w:sz w:val="20"/>
              </w:rPr>
              <w:t>导弹在时刻t的位置矢量</w:t>
            </w:r>
          </w:p>
        </w:tc>
        <w:tc>
          <w:tcPr>
            <w:tcW w:type="dxa" w:w="2880"/>
          </w:tcPr>
          <w:p>
            <w:pPr>
              <w:jc w:val="center"/>
            </w:pPr>
            <w:r>
              <w:rPr>
                <w:sz w:val="20"/>
              </w:rPr>
              <w:t>m</w:t>
            </w:r>
          </w:p>
        </w:tc>
      </w:tr>
      <w:tr>
        <w:tc>
          <w:tcPr>
            <w:tcW w:type="dxa" w:w="2880"/>
          </w:tcPr>
          <w:p>
            <w:pPr>
              <w:jc w:val="center"/>
            </w:pPr>
            <w:r>
              <w:rPr>
                <w:sz w:val="20"/>
              </w:rPr>
              <w:t>D(t)</w:t>
            </w:r>
          </w:p>
        </w:tc>
        <w:tc>
          <w:tcPr>
            <w:tcW w:type="dxa" w:w="2880"/>
          </w:tcPr>
          <w:p>
            <w:pPr>
              <w:jc w:val="center"/>
            </w:pPr>
            <w:r>
              <w:rPr>
                <w:sz w:val="20"/>
              </w:rPr>
              <w:t>无人机在时刻t的位置矢量</w:t>
            </w:r>
          </w:p>
        </w:tc>
        <w:tc>
          <w:tcPr>
            <w:tcW w:type="dxa" w:w="2880"/>
          </w:tcPr>
          <w:p>
            <w:pPr>
              <w:jc w:val="center"/>
            </w:pPr>
            <w:r>
              <w:rPr>
                <w:sz w:val="20"/>
              </w:rPr>
              <w:t>m</w:t>
            </w:r>
          </w:p>
        </w:tc>
      </w:tr>
      <w:tr>
        <w:tc>
          <w:tcPr>
            <w:tcW w:type="dxa" w:w="2880"/>
          </w:tcPr>
          <w:p>
            <w:pPr>
              <w:jc w:val="center"/>
            </w:pPr>
            <w:r>
              <w:rPr>
                <w:sz w:val="20"/>
              </w:rPr>
              <w:t>C(t)</w:t>
            </w:r>
          </w:p>
        </w:tc>
        <w:tc>
          <w:tcPr>
            <w:tcW w:type="dxa" w:w="2880"/>
          </w:tcPr>
          <w:p>
            <w:pPr>
              <w:jc w:val="center"/>
            </w:pPr>
            <w:r>
              <w:rPr>
                <w:sz w:val="20"/>
              </w:rPr>
              <w:t>烟幕云团中心在时刻t的位置矢量</w:t>
            </w:r>
          </w:p>
        </w:tc>
        <w:tc>
          <w:tcPr>
            <w:tcW w:type="dxa" w:w="2880"/>
          </w:tcPr>
          <w:p>
            <w:pPr>
              <w:jc w:val="center"/>
            </w:pPr>
            <w:r>
              <w:rPr>
                <w:sz w:val="20"/>
              </w:rPr>
              <w:t>m</w:t>
            </w:r>
          </w:p>
        </w:tc>
      </w:tr>
      <w:tr>
        <w:tc>
          <w:tcPr>
            <w:tcW w:type="dxa" w:w="2880"/>
          </w:tcPr>
          <w:p>
            <w:pPr>
              <w:jc w:val="center"/>
            </w:pPr>
            <w:r>
              <w:rPr>
                <w:sz w:val="20"/>
              </w:rPr>
              <w:t>v_m</w:t>
            </w:r>
          </w:p>
        </w:tc>
        <w:tc>
          <w:tcPr>
            <w:tcW w:type="dxa" w:w="2880"/>
          </w:tcPr>
          <w:p>
            <w:pPr>
              <w:jc w:val="center"/>
            </w:pPr>
            <w:r>
              <w:rPr>
                <w:sz w:val="20"/>
              </w:rPr>
              <w:t>导弹飞行速度</w:t>
            </w:r>
          </w:p>
        </w:tc>
        <w:tc>
          <w:tcPr>
            <w:tcW w:type="dxa" w:w="2880"/>
          </w:tcPr>
          <w:p>
            <w:pPr>
              <w:jc w:val="center"/>
            </w:pPr>
            <w:r>
              <w:rPr>
                <w:sz w:val="20"/>
              </w:rPr>
              <w:t>m/s</w:t>
            </w:r>
          </w:p>
        </w:tc>
      </w:tr>
      <w:tr>
        <w:tc>
          <w:tcPr>
            <w:tcW w:type="dxa" w:w="2880"/>
          </w:tcPr>
          <w:p>
            <w:pPr>
              <w:jc w:val="center"/>
            </w:pPr>
            <w:r>
              <w:rPr>
                <w:sz w:val="20"/>
              </w:rPr>
              <w:t>v_d</w:t>
            </w:r>
          </w:p>
        </w:tc>
        <w:tc>
          <w:tcPr>
            <w:tcW w:type="dxa" w:w="2880"/>
          </w:tcPr>
          <w:p>
            <w:pPr>
              <w:jc w:val="center"/>
            </w:pPr>
            <w:r>
              <w:rPr>
                <w:sz w:val="20"/>
              </w:rPr>
              <w:t>无人机飞行速度</w:t>
            </w:r>
          </w:p>
        </w:tc>
        <w:tc>
          <w:tcPr>
            <w:tcW w:type="dxa" w:w="2880"/>
          </w:tcPr>
          <w:p>
            <w:pPr>
              <w:jc w:val="center"/>
            </w:pPr>
            <w:r>
              <w:rPr>
                <w:sz w:val="20"/>
              </w:rPr>
              <w:t>m/s</w:t>
            </w:r>
          </w:p>
        </w:tc>
      </w:tr>
      <w:tr>
        <w:tc>
          <w:tcPr>
            <w:tcW w:type="dxa" w:w="2880"/>
          </w:tcPr>
          <w:p>
            <w:pPr>
              <w:jc w:val="center"/>
            </w:pPr>
            <w:r>
              <w:rPr>
                <w:sz w:val="20"/>
              </w:rPr>
              <w:t>θ</w:t>
            </w:r>
          </w:p>
        </w:tc>
        <w:tc>
          <w:tcPr>
            <w:tcW w:type="dxa" w:w="2880"/>
          </w:tcPr>
          <w:p>
            <w:pPr>
              <w:jc w:val="center"/>
            </w:pPr>
            <w:r>
              <w:rPr>
                <w:sz w:val="20"/>
              </w:rPr>
              <w:t>无人机飞行航向角</w:t>
            </w:r>
          </w:p>
        </w:tc>
        <w:tc>
          <w:tcPr>
            <w:tcW w:type="dxa" w:w="2880"/>
          </w:tcPr>
          <w:p>
            <w:pPr>
              <w:jc w:val="center"/>
            </w:pPr>
            <w:r>
              <w:rPr>
                <w:sz w:val="20"/>
              </w:rPr>
              <w:t>rad</w:t>
            </w:r>
          </w:p>
        </w:tc>
      </w:tr>
      <w:tr>
        <w:tc>
          <w:tcPr>
            <w:tcW w:type="dxa" w:w="2880"/>
          </w:tcPr>
          <w:p>
            <w:pPr>
              <w:jc w:val="center"/>
            </w:pPr>
            <w:r>
              <w:rPr>
                <w:sz w:val="20"/>
              </w:rPr>
              <w:t>t_drop</w:t>
            </w:r>
          </w:p>
        </w:tc>
        <w:tc>
          <w:tcPr>
            <w:tcW w:type="dxa" w:w="2880"/>
          </w:tcPr>
          <w:p>
            <w:pPr>
              <w:jc w:val="center"/>
            </w:pPr>
            <w:r>
              <w:rPr>
                <w:sz w:val="20"/>
              </w:rPr>
              <w:t>烟幕弹投放时刻</w:t>
            </w:r>
          </w:p>
        </w:tc>
        <w:tc>
          <w:tcPr>
            <w:tcW w:type="dxa" w:w="2880"/>
          </w:tcPr>
          <w:p>
            <w:pPr>
              <w:jc w:val="center"/>
            </w:pPr>
            <w:r>
              <w:rPr>
                <w:sz w:val="20"/>
              </w:rPr>
              <w:t>s</w:t>
            </w:r>
          </w:p>
        </w:tc>
      </w:tr>
      <w:tr>
        <w:tc>
          <w:tcPr>
            <w:tcW w:type="dxa" w:w="2880"/>
          </w:tcPr>
          <w:p>
            <w:pPr>
              <w:jc w:val="center"/>
            </w:pPr>
            <w:r>
              <w:rPr>
                <w:sz w:val="20"/>
              </w:rPr>
              <w:t>τ</w:t>
            </w:r>
          </w:p>
        </w:tc>
        <w:tc>
          <w:tcPr>
            <w:tcW w:type="dxa" w:w="2880"/>
          </w:tcPr>
          <w:p>
            <w:pPr>
              <w:jc w:val="center"/>
            </w:pPr>
            <w:r>
              <w:rPr>
                <w:sz w:val="20"/>
              </w:rPr>
              <w:t>烟幕弹起爆延迟时间</w:t>
            </w:r>
          </w:p>
        </w:tc>
        <w:tc>
          <w:tcPr>
            <w:tcW w:type="dxa" w:w="2880"/>
          </w:tcPr>
          <w:p>
            <w:pPr>
              <w:jc w:val="center"/>
            </w:pPr>
            <w:r>
              <w:rPr>
                <w:sz w:val="20"/>
              </w:rPr>
              <w:t>s</w:t>
            </w:r>
          </w:p>
        </w:tc>
      </w:tr>
      <w:tr>
        <w:tc>
          <w:tcPr>
            <w:tcW w:type="dxa" w:w="2880"/>
          </w:tcPr>
          <w:p>
            <w:pPr>
              <w:jc w:val="center"/>
            </w:pPr>
            <w:r>
              <w:rPr>
                <w:sz w:val="20"/>
              </w:rPr>
              <w:t>R</w:t>
            </w:r>
          </w:p>
        </w:tc>
        <w:tc>
          <w:tcPr>
            <w:tcW w:type="dxa" w:w="2880"/>
          </w:tcPr>
          <w:p>
            <w:pPr>
              <w:jc w:val="center"/>
            </w:pPr>
            <w:r>
              <w:rPr>
                <w:sz w:val="20"/>
              </w:rPr>
              <w:t>烟幕云团半径</w:t>
            </w:r>
          </w:p>
        </w:tc>
        <w:tc>
          <w:tcPr>
            <w:tcW w:type="dxa" w:w="2880"/>
          </w:tcPr>
          <w:p>
            <w:pPr>
              <w:jc w:val="center"/>
            </w:pPr>
            <w:r>
              <w:rPr>
                <w:sz w:val="20"/>
              </w:rPr>
              <w:t>m</w:t>
            </w:r>
          </w:p>
        </w:tc>
      </w:tr>
      <w:tr>
        <w:tc>
          <w:tcPr>
            <w:tcW w:type="dxa" w:w="2880"/>
          </w:tcPr>
          <w:p>
            <w:pPr>
              <w:jc w:val="center"/>
            </w:pPr>
            <w:r>
              <w:rPr>
                <w:sz w:val="20"/>
              </w:rPr>
              <w:t>v_s</w:t>
            </w:r>
          </w:p>
        </w:tc>
        <w:tc>
          <w:tcPr>
            <w:tcW w:type="dxa" w:w="2880"/>
          </w:tcPr>
          <w:p>
            <w:pPr>
              <w:jc w:val="center"/>
            </w:pPr>
            <w:r>
              <w:rPr>
                <w:sz w:val="20"/>
              </w:rPr>
              <w:t>烟幕云团下沉速度</w:t>
            </w:r>
          </w:p>
        </w:tc>
        <w:tc>
          <w:tcPr>
            <w:tcW w:type="dxa" w:w="2880"/>
          </w:tcPr>
          <w:p>
            <w:pPr>
              <w:jc w:val="center"/>
            </w:pPr>
            <w:r>
              <w:rPr>
                <w:sz w:val="20"/>
              </w:rPr>
              <w:t>m/s</w:t>
            </w:r>
          </w:p>
        </w:tc>
      </w:tr>
      <w:tr>
        <w:tc>
          <w:tcPr>
            <w:tcW w:type="dxa" w:w="2880"/>
          </w:tcPr>
          <w:p>
            <w:pPr>
              <w:jc w:val="center"/>
            </w:pPr>
            <w:r>
              <w:rPr>
                <w:sz w:val="20"/>
              </w:rPr>
              <w:t>T_eff</w:t>
            </w:r>
          </w:p>
        </w:tc>
        <w:tc>
          <w:tcPr>
            <w:tcW w:type="dxa" w:w="2880"/>
          </w:tcPr>
          <w:p>
            <w:pPr>
              <w:jc w:val="center"/>
            </w:pPr>
            <w:r>
              <w:rPr>
                <w:sz w:val="20"/>
              </w:rPr>
              <w:t>烟幕云团有效遮蔽时间上限</w:t>
            </w:r>
          </w:p>
        </w:tc>
        <w:tc>
          <w:tcPr>
            <w:tcW w:type="dxa" w:w="2880"/>
          </w:tcPr>
          <w:p>
            <w:pPr>
              <w:jc w:val="center"/>
            </w:pPr>
            <w:r>
              <w:rPr>
                <w:sz w:val="20"/>
              </w:rPr>
              <w:t>s</w:t>
            </w:r>
          </w:p>
        </w:tc>
      </w:tr>
      <w:tr>
        <w:tc>
          <w:tcPr>
            <w:tcW w:type="dxa" w:w="2880"/>
          </w:tcPr>
          <w:p>
            <w:pPr>
              <w:jc w:val="center"/>
            </w:pPr>
            <w:r>
              <w:rPr>
                <w:sz w:val="20"/>
              </w:rPr>
              <w:t>h_min</w:t>
            </w:r>
          </w:p>
        </w:tc>
        <w:tc>
          <w:tcPr>
            <w:tcW w:type="dxa" w:w="2880"/>
          </w:tcPr>
          <w:p>
            <w:pPr>
              <w:jc w:val="center"/>
            </w:pPr>
            <w:r>
              <w:rPr>
                <w:sz w:val="20"/>
              </w:rPr>
              <w:t>烟幕云团失效最低高度</w:t>
            </w:r>
          </w:p>
        </w:tc>
        <w:tc>
          <w:tcPr>
            <w:tcW w:type="dxa" w:w="2880"/>
          </w:tcPr>
          <w:p>
            <w:pPr>
              <w:jc w:val="center"/>
            </w:pPr>
            <w:r>
              <w:rPr>
                <w:sz w:val="20"/>
              </w:rPr>
              <w:t>m</w:t>
            </w:r>
          </w:p>
        </w:tc>
      </w:tr>
      <w:tr>
        <w:tc>
          <w:tcPr>
            <w:tcW w:type="dxa" w:w="2880"/>
          </w:tcPr>
          <w:p>
            <w:pPr>
              <w:jc w:val="center"/>
            </w:pPr>
            <w:r>
              <w:rPr>
                <w:sz w:val="20"/>
              </w:rPr>
              <w:t>P_i</w:t>
            </w:r>
          </w:p>
        </w:tc>
        <w:tc>
          <w:tcPr>
            <w:tcW w:type="dxa" w:w="2880"/>
          </w:tcPr>
          <w:p>
            <w:pPr>
              <w:jc w:val="center"/>
            </w:pPr>
            <w:r>
              <w:rPr>
                <w:sz w:val="20"/>
              </w:rPr>
              <w:t>真目标表面第i个采样点</w:t>
            </w:r>
          </w:p>
        </w:tc>
        <w:tc>
          <w:tcPr>
            <w:tcW w:type="dxa" w:w="2880"/>
          </w:tcPr>
          <w:p>
            <w:pPr>
              <w:jc w:val="center"/>
            </w:pPr>
            <w:r>
              <w:rPr>
                <w:sz w:val="20"/>
              </w:rPr>
              <w:t>—</w:t>
            </w:r>
          </w:p>
        </w:tc>
      </w:tr>
    </w:tbl>
    <w:p>
      <w:pPr>
        <w:spacing w:line="360" w:lineRule="auto"/>
        <w:ind w:firstLine="420"/>
      </w:pPr>
      <w:r>
        <w:rPr>
          <w:rFonts w:ascii="宋体" w:hAnsi="宋体" w:eastAsia="宋体"/>
          <w:sz w:val="24"/>
        </w:rPr>
      </w:r>
    </w:p>
    <w:p>
      <w:pPr>
        <w:pStyle w:val="Heading2"/>
      </w:pPr>
      <w:r>
        <w:rPr>
          <w:rFonts w:ascii="黑体" w:hAnsi="黑体" w:eastAsia="黑体"/>
          <w:color w:val="000000"/>
        </w:rPr>
        <w:t>1.4 运动学模型建立</w:t>
      </w:r>
    </w:p>
    <w:p>
      <w:pPr>
        <w:pStyle w:val="Heading3"/>
      </w:pPr>
      <w:r>
        <w:rPr>
          <w:rFonts w:ascii="黑体" w:hAnsi="黑体" w:eastAsia="黑体"/>
          <w:color w:val="000000"/>
        </w:rPr>
        <w:t>1.4.1 导弹运动模型</w:t>
      </w:r>
    </w:p>
    <w:p>
      <w:pPr>
        <w:spacing w:line="360" w:lineRule="auto"/>
        <w:ind w:firstLine="420"/>
      </w:pPr>
      <w:r>
        <w:rPr>
          <w:rFonts w:ascii="宋体" w:hAnsi="宋体" w:eastAsia="宋体"/>
          <w:sz w:val="24"/>
        </w:rPr>
        <w:t>设导弹初始位置为S₀=(20000, 0, 2000)，真目标原点为O=(0, 0, 0)。导弹沿S₀指向O的方向匀速飞行，其速度矢量为：</w:t>
      </w:r>
    </w:p>
    <w:p>
      <w:pPr>
        <w:jc w:val="center"/>
      </w:pPr>
      <w:r>
        <w:rPr>
          <w:rFonts w:ascii="Times New Roman" w:hAnsi="Times New Roman"/>
          <w:i/>
          <w:sz w:val="24"/>
        </w:rPr>
        <w:t>v_m = v_m · (O - S₀) / ‖O - S₀‖</w:t>
      </w:r>
    </w:p>
    <w:p>
      <w:pPr>
        <w:spacing w:line="360" w:lineRule="auto"/>
        <w:ind w:firstLine="420"/>
      </w:pPr>
      <w:r>
        <w:rPr>
          <w:rFonts w:ascii="宋体" w:hAnsi="宋体" w:eastAsia="宋体"/>
          <w:sz w:val="24"/>
        </w:rPr>
        <w:t>导弹在时刻t的位置为：</w:t>
      </w:r>
    </w:p>
    <w:p>
      <w:pPr>
        <w:jc w:val="center"/>
      </w:pPr>
      <w:r>
        <w:rPr>
          <w:rFonts w:ascii="Times New Roman" w:hAnsi="Times New Roman"/>
          <w:i/>
          <w:sz w:val="24"/>
        </w:rPr>
        <w:t>S(t) = S₀ + v_m · t,  0 ≤ t ≤ t_flight</w:t>
      </w:r>
    </w:p>
    <w:p>
      <w:pPr>
        <w:spacing w:line="360" w:lineRule="auto"/>
        <w:ind w:firstLine="420"/>
      </w:pPr>
      <w:r>
        <w:rPr>
          <w:rFonts w:ascii="宋体" w:hAnsi="宋体" w:eastAsia="宋体"/>
          <w:sz w:val="24"/>
        </w:rPr>
        <w:t>其中t_flight = ‖O - S₀‖ / v_m 为导弹到达真目标原点的飞行时间。</w:t>
      </w:r>
    </w:p>
    <w:p>
      <w:pPr>
        <w:pStyle w:val="Heading3"/>
      </w:pPr>
      <w:r>
        <w:rPr>
          <w:rFonts w:ascii="黑体" w:hAnsi="黑体" w:eastAsia="黑体"/>
          <w:color w:val="000000"/>
        </w:rPr>
        <w:t>1.4.2 无人机与烟幕弹运动模型</w:t>
      </w:r>
    </w:p>
    <w:p>
      <w:pPr>
        <w:spacing w:line="360" w:lineRule="auto"/>
        <w:ind w:firstLine="420"/>
      </w:pPr>
      <w:r>
        <w:rPr>
          <w:rFonts w:ascii="宋体" w:hAnsi="宋体" w:eastAsia="宋体"/>
          <w:sz w:val="24"/>
        </w:rPr>
        <w:t>设无人机初始位置为D₀，飞行速度为v_d，航向角为θ（与x轴正方向的夹角），则无人机在时刻t的位置为：</w:t>
      </w:r>
    </w:p>
    <w:p>
      <w:pPr>
        <w:jc w:val="center"/>
      </w:pPr>
      <w:r>
        <w:rPr>
          <w:rFonts w:ascii="Times New Roman" w:hAnsi="Times New Roman"/>
          <w:i/>
          <w:sz w:val="24"/>
        </w:rPr>
        <w:t>D(t) = D₀ + v_d · t · (cosθ, sinθ, 0)</w:t>
      </w:r>
    </w:p>
    <w:p>
      <w:pPr>
        <w:spacing w:line="360" w:lineRule="auto"/>
        <w:ind w:firstLine="420"/>
      </w:pPr>
      <w:r>
        <w:rPr>
          <w:rFonts w:ascii="宋体" w:hAnsi="宋体" w:eastAsia="宋体"/>
          <w:sz w:val="24"/>
        </w:rPr>
        <w:t>烟幕弹在时刻t_drop投放，投放点位置为D(t_drop)。投放后烟幕弹做平抛运动，在起爆延迟τ后于时刻t_det = t_drop + τ起爆，起爆点位置为：</w:t>
      </w:r>
    </w:p>
    <w:p>
      <w:pPr>
        <w:jc w:val="center"/>
      </w:pPr>
      <w:r>
        <w:rPr>
          <w:rFonts w:ascii="Times New Roman" w:hAnsi="Times New Roman"/>
          <w:i/>
          <w:sz w:val="24"/>
        </w:rPr>
        <w:t>C_det = D(t_drop) + v_d · τ · (cosθ, sinθ, 0) + (0, 0, -½gτ²)</w:t>
      </w:r>
    </w:p>
    <w:p>
      <w:pPr>
        <w:spacing w:line="360" w:lineRule="auto"/>
        <w:ind w:firstLine="420"/>
      </w:pPr>
      <w:r>
        <w:rPr>
          <w:rFonts w:ascii="宋体" w:hAnsi="宋体" w:eastAsia="宋体"/>
          <w:sz w:val="24"/>
        </w:rPr>
        <w:t>起爆后烟幕云团中心以v_s=3 m/s匀速下沉，水平位置保持不变，在时刻t（t ≥ t_det）的云团中心位置为：</w:t>
      </w:r>
    </w:p>
    <w:p>
      <w:pPr>
        <w:jc w:val="center"/>
      </w:pPr>
      <w:r>
        <w:rPr>
          <w:rFonts w:ascii="Times New Roman" w:hAnsi="Times New Roman"/>
          <w:i/>
          <w:sz w:val="24"/>
        </w:rPr>
        <w:t>C(t) = C_det + (0, 0, -v_s · (t - t_det))</w:t>
      </w:r>
    </w:p>
    <w:p>
      <w:pPr>
        <w:pStyle w:val="Heading3"/>
      </w:pPr>
      <w:r>
        <w:rPr>
          <w:rFonts w:ascii="黑体" w:hAnsi="黑体" w:eastAsia="黑体"/>
          <w:color w:val="000000"/>
        </w:rPr>
        <w:t>1.4.3 烟幕云团有效时间窗口</w:t>
      </w:r>
    </w:p>
    <w:p>
      <w:pPr>
        <w:spacing w:line="360" w:lineRule="auto"/>
        <w:ind w:firstLine="420"/>
      </w:pPr>
      <w:r>
        <w:rPr>
          <w:rFonts w:ascii="宋体" w:hAnsi="宋体" w:eastAsia="宋体"/>
          <w:sz w:val="24"/>
        </w:rPr>
        <w:t>烟幕云团的有效遮蔽需同时满足两个时间条件：起爆后时间不超过T_eff=20 s，且云团中心高度不低于h_min=2 m。因此，云团的有效时间窗口为：</w:t>
      </w:r>
    </w:p>
    <w:p>
      <w:pPr>
        <w:jc w:val="center"/>
      </w:pPr>
      <w:r>
        <w:rPr>
          <w:rFonts w:ascii="Times New Roman" w:hAnsi="Times New Roman"/>
          <w:i/>
          <w:sz w:val="24"/>
        </w:rPr>
        <w:t>t ∈ [t_det, min(t_det + T_eff, t_sink)]</w:t>
      </w:r>
    </w:p>
    <w:p>
      <w:pPr>
        <w:spacing w:line="360" w:lineRule="auto"/>
        <w:ind w:firstLine="420"/>
      </w:pPr>
      <w:r>
        <w:rPr>
          <w:rFonts w:ascii="宋体" w:hAnsi="宋体" w:eastAsia="宋体"/>
          <w:sz w:val="24"/>
        </w:rPr>
        <w:t>其中t_sink为云团中心沉降至h_min高度的时刻，由C_z(t_sink) = h_min求解得到。若起爆点高度C_det,z &lt; h_min，则该烟幕弹起爆即失效，有效时间窗口为空。</w:t>
      </w:r>
    </w:p>
    <w:p>
      <w:pPr>
        <w:pStyle w:val="Heading2"/>
      </w:pPr>
      <w:r>
        <w:rPr>
          <w:rFonts w:ascii="黑体" w:hAnsi="黑体" w:eastAsia="黑体"/>
          <w:color w:val="000000"/>
        </w:rPr>
        <w:t>1.5 遮蔽判定模型</w:t>
      </w:r>
    </w:p>
    <w:p>
      <w:pPr>
        <w:pStyle w:val="Heading3"/>
      </w:pPr>
      <w:r>
        <w:rPr>
          <w:rFonts w:ascii="黑体" w:hAnsi="黑体" w:eastAsia="黑体"/>
          <w:color w:val="000000"/>
        </w:rPr>
        <w:t>1.5.1 真目标采样策略</w:t>
      </w:r>
    </w:p>
    <w:p>
      <w:pPr>
        <w:spacing w:line="360" w:lineRule="auto"/>
        <w:ind w:firstLine="420"/>
      </w:pPr>
      <w:r>
        <w:rPr>
          <w:rFonts w:ascii="宋体" w:hAnsi="宋体" w:eastAsia="宋体"/>
          <w:sz w:val="24"/>
        </w:rPr>
        <w:t>真目标为圆柱体，理论上需对其整个表面进行遮蔽判定。本文采用上下底面圆周采样策略，其理论依据为下述充要条件定理：</w:t>
      </w:r>
    </w:p>
    <w:p>
      <w:pPr>
        <w:spacing w:line="360" w:lineRule="auto"/>
        <w:ind w:firstLine="420"/>
      </w:pPr>
      <w:r>
        <w:rPr>
          <w:rFonts w:ascii="宋体" w:hAnsi="宋体" w:eastAsia="宋体"/>
          <w:sz w:val="24"/>
        </w:rPr>
        <w:t>定理（圆柱遮蔽充要条件）：对于轴线竖直的圆柱体，当且仅当其上下底面圆周上的所有点均被遮蔽时，整个圆柱体表面（含侧面和上下底面）被完全遮蔽。</w:t>
      </w:r>
    </w:p>
    <w:p>
      <w:pPr>
        <w:spacing w:line="360" w:lineRule="auto"/>
        <w:ind w:firstLine="420"/>
      </w:pPr>
      <w:r>
        <w:rPr>
          <w:rFonts w:ascii="宋体" w:hAnsi="宋体" w:eastAsia="宋体"/>
          <w:sz w:val="24"/>
        </w:rPr>
        <w:t>证明：圆柱侧面由无数条母线组成，每条母线的两个端点分别位于上下底面圆周上。若上下底面圆周被完全遮蔽，则每条母线的两端点均被遮蔽。由于线段与球体相交具有凸性，母线上任意点均位于两端点的凸组合位置，其与导弹的连线必然与球体相交，故整个侧面被遮蔽。底面内部任意点可通过底面圆周上两点的弦连接，同理可证被遮蔽。综上，上下底面圆周被遮蔽是整个圆柱被遮蔽的充要条件。</w:t>
      </w:r>
    </w:p>
    <w:p>
      <w:pPr>
        <w:spacing w:line="360" w:lineRule="auto"/>
        <w:ind w:firstLine="420"/>
      </w:pPr>
      <w:r>
        <w:rPr>
          <w:rFonts w:ascii="宋体" w:hAnsi="宋体" w:eastAsia="宋体"/>
          <w:sz w:val="24"/>
        </w:rPr>
        <w:t>基于该定理，本文在上下底面圆周上各均匀采样N=300个点，共600个采样点。采样点坐标为：</w:t>
      </w:r>
    </w:p>
    <w:p>
      <w:pPr>
        <w:jc w:val="center"/>
      </w:pPr>
      <w:r>
        <w:rPr>
          <w:rFonts w:ascii="Times New Roman" w:hAnsi="Times New Roman"/>
          <w:i/>
          <w:sz w:val="24"/>
        </w:rPr>
        <w:t>P_k^bottom = (x_c + r·cosφ_k, y_c + r·sinφ_k, z_c),  k=1,...,N</w:t>
      </w:r>
    </w:p>
    <w:p>
      <w:pPr>
        <w:jc w:val="center"/>
      </w:pPr>
      <w:r>
        <w:rPr>
          <w:rFonts w:ascii="Times New Roman" w:hAnsi="Times New Roman"/>
          <w:i/>
          <w:sz w:val="24"/>
        </w:rPr>
        <w:t>P_k^top = (x_c + r·cosφ_k, y_c + r·sinφ_k, z_c + h),  k=1,...,N</w:t>
      </w:r>
    </w:p>
    <w:p>
      <w:pPr>
        <w:spacing w:line="360" w:lineRule="auto"/>
        <w:ind w:firstLine="420"/>
      </w:pPr>
      <w:r>
        <w:rPr>
          <w:rFonts w:ascii="宋体" w:hAnsi="宋体" w:eastAsia="宋体"/>
          <w:sz w:val="24"/>
        </w:rPr>
        <w:t>其中φ_k = 2π(k-1)/N，(x_c, y_c, z_c)=(0, 200, 0)为圆柱底面中心，r=7 m为半径，h=10 m为高度。</w:t>
      </w:r>
    </w:p>
    <w:p>
      <w:pPr>
        <w:pStyle w:val="Heading3"/>
      </w:pPr>
      <w:r>
        <w:rPr>
          <w:rFonts w:ascii="黑体" w:hAnsi="黑体" w:eastAsia="黑体"/>
          <w:color w:val="000000"/>
        </w:rPr>
        <w:t>1.5.2 线段-球相交判定</w:t>
      </w:r>
    </w:p>
    <w:p>
      <w:pPr>
        <w:spacing w:line="360" w:lineRule="auto"/>
        <w:ind w:firstLine="420"/>
      </w:pPr>
      <w:r>
        <w:rPr>
          <w:rFonts w:ascii="宋体" w:hAnsi="宋体" w:eastAsia="宋体"/>
          <w:sz w:val="24"/>
        </w:rPr>
        <w:t>对于时刻t的导弹位置S(t)、真目标采样点P_i、烟幕云团中心C(t)和半径R，判定线段S(t)P_i是否与球体(C(t), R)相交。设矢量MP = P_i - S(t)，MC = C(t) - S(t)，求解线段上距球心最近点的参数λ：</w:t>
      </w:r>
    </w:p>
    <w:p>
      <w:pPr>
        <w:jc w:val="center"/>
      </w:pPr>
      <w:r>
        <w:rPr>
          <w:rFonts w:ascii="Times New Roman" w:hAnsi="Times New Roman"/>
          <w:i/>
          <w:sz w:val="24"/>
        </w:rPr>
        <w:t>λ* = (MP · MC) / (MP · MP)</w:t>
      </w:r>
    </w:p>
    <w:p>
      <w:pPr>
        <w:spacing w:line="360" w:lineRule="auto"/>
        <w:ind w:firstLine="420"/>
      </w:pPr>
      <w:r>
        <w:rPr>
          <w:rFonts w:ascii="宋体" w:hAnsi="宋体" w:eastAsia="宋体"/>
          <w:sz w:val="24"/>
        </w:rPr>
        <w:t>将λ*截断至[0, 1]区间得到线段上的最近点，计算该点到球心的距离：</w:t>
      </w:r>
    </w:p>
    <w:p>
      <w:pPr>
        <w:jc w:val="center"/>
      </w:pPr>
      <w:r>
        <w:rPr>
          <w:rFonts w:ascii="Times New Roman" w:hAnsi="Times New Roman"/>
          <w:i/>
          <w:sz w:val="24"/>
        </w:rPr>
        <w:t>d_min = ‖S(t) + λ_clipped · MP - C(t)‖</w:t>
      </w:r>
    </w:p>
    <w:p>
      <w:pPr>
        <w:spacing w:line="360" w:lineRule="auto"/>
        <w:ind w:firstLine="420"/>
      </w:pPr>
      <w:r>
        <w:rPr>
          <w:rFonts w:ascii="宋体" w:hAnsi="宋体" w:eastAsia="宋体"/>
          <w:sz w:val="24"/>
        </w:rPr>
        <w:t>当且仅当d_min ≤ R时，判定该采样点在时刻t被烟幕云团遮蔽。对所有600个采样点逐一判定，当且仅当全部采样点均被遮蔽时，判定该时刻真目标被完全遮蔽。</w:t>
      </w:r>
    </w:p>
    <w:p>
      <w:pPr>
        <w:pStyle w:val="Heading3"/>
      </w:pPr>
      <w:r>
        <w:rPr>
          <w:rFonts w:ascii="黑体" w:hAnsi="黑体" w:eastAsia="黑体"/>
          <w:color w:val="000000"/>
        </w:rPr>
        <w:t>1.5.3 遮蔽判定的向量化实现</w:t>
      </w:r>
    </w:p>
    <w:p>
      <w:pPr>
        <w:spacing w:line="360" w:lineRule="auto"/>
        <w:ind w:firstLine="420"/>
      </w:pPr>
      <w:r>
        <w:rPr>
          <w:rFonts w:ascii="宋体" w:hAnsi="宋体" w:eastAsia="宋体"/>
          <w:sz w:val="24"/>
        </w:rPr>
        <w:t>为提升计算效率，本文对600个采样点的线段-球相交判定进行向量化处理。将所有采样点存储为N×3矩阵P，导弹位置和云团中心广播为相同维度后，一次性计算所有采样点的投影参数和最近距离，避免逐点循环。向量化实现将单次遮蔽判定的时间复杂度从O(N)降低至矩阵运算级别，在NumPy后端支持下可获得一个数量级以上的加速。</w:t>
      </w:r>
    </w:p>
    <w:p>
      <w:pPr>
        <w:pStyle w:val="Heading2"/>
      </w:pPr>
      <w:r>
        <w:rPr>
          <w:rFonts w:ascii="黑体" w:hAnsi="黑体" w:eastAsia="黑体"/>
          <w:color w:val="000000"/>
        </w:rPr>
        <w:t>1.6 有效遮蔽区间计算方法</w:t>
      </w:r>
    </w:p>
    <w:p>
      <w:pPr>
        <w:pStyle w:val="Heading3"/>
      </w:pPr>
      <w:r>
        <w:rPr>
          <w:rFonts w:ascii="黑体" w:hAnsi="黑体" w:eastAsia="黑体"/>
          <w:color w:val="000000"/>
        </w:rPr>
        <w:t>1.6.1 粗步长扫描定位</w:t>
      </w:r>
    </w:p>
    <w:p>
      <w:pPr>
        <w:spacing w:line="360" w:lineRule="auto"/>
        <w:ind w:firstLine="420"/>
      </w:pPr>
      <w:r>
        <w:rPr>
          <w:rFonts w:ascii="宋体" w:hAnsi="宋体" w:eastAsia="宋体"/>
          <w:sz w:val="24"/>
        </w:rPr>
        <w:t>在烟幕云团的有效时间窗口[t_start, t_end]内，以粗步长Δt_coarse=0.01 s进行均匀扫描，对每个时刻执行遮蔽判定，得到布尔序列B(t_k)。扫描过程中记录所有判定为遮蔽的时刻点，形成候选遮蔽时刻集合。</w:t>
      </w:r>
    </w:p>
    <w:p>
      <w:pPr>
        <w:spacing w:line="360" w:lineRule="auto"/>
        <w:ind w:firstLine="420"/>
      </w:pPr>
      <w:r>
        <w:rPr>
          <w:rFonts w:ascii="宋体" w:hAnsi="宋体" w:eastAsia="宋体"/>
          <w:sz w:val="24"/>
        </w:rPr>
        <w:t>粗步长扫描的目的是快速定位有效遮蔽区间的大致范围，避免在全时间窗口内进行高精度计算。0.01 s的步长选择兼顾了定位精度与计算效率：步长过大可能遗漏持续时间较短的遮蔽区间，步长过小则扫描时间显著增加。</w:t>
      </w:r>
    </w:p>
    <w:p>
      <w:pPr>
        <w:pStyle w:val="Heading3"/>
      </w:pPr>
      <w:r>
        <w:rPr>
          <w:rFonts w:ascii="黑体" w:hAnsi="黑体" w:eastAsia="黑体"/>
          <w:color w:val="000000"/>
        </w:rPr>
        <w:t>1.6.2 候选区间提取</w:t>
      </w:r>
    </w:p>
    <w:p>
      <w:pPr>
        <w:spacing w:line="360" w:lineRule="auto"/>
        <w:ind w:firstLine="420"/>
      </w:pPr>
      <w:r>
        <w:rPr>
          <w:rFonts w:ascii="宋体" w:hAnsi="宋体" w:eastAsia="宋体"/>
          <w:sz w:val="24"/>
        </w:rPr>
        <w:t>对粗扫描得到的布尔序列进行连通域分析，将连续判定为遮蔽的时刻点归并为一个候选区间。具体方法为：遍历布尔序列，当遇到从"未遮蔽"到"遮蔽"的跳变时记录区间左端点索引，当遇到从"遮蔽"到"未遮蔽"的跳变时记录区间右端点索引，形成候选区间列表。</w:t>
      </w:r>
    </w:p>
    <w:p>
      <w:pPr>
        <w:spacing w:line="360" w:lineRule="auto"/>
        <w:ind w:firstLine="420"/>
      </w:pPr>
      <w:r>
        <w:rPr>
          <w:rFonts w:ascii="宋体" w:hAnsi="宋体" w:eastAsia="宋体"/>
          <w:sz w:val="24"/>
        </w:rPr>
        <w:t>理论上，单枚烟幕云团对特定导弹的有效遮蔽时间段是唯一且连续的，不存在同一云团对同一导弹多次遮蔽的可能。因此候选区间列表中应仅包含一个区间。若扫描结果出现多个候选区间，需检查是否存在数值振荡或采样点边界效应。</w:t>
      </w:r>
    </w:p>
    <w:p>
      <w:pPr>
        <w:pStyle w:val="Heading3"/>
      </w:pPr>
      <w:r>
        <w:rPr>
          <w:rFonts w:ascii="黑体" w:hAnsi="黑体" w:eastAsia="黑体"/>
          <w:color w:val="000000"/>
        </w:rPr>
        <w:t>1.6.3 二分法边界精化</w:t>
      </w:r>
    </w:p>
    <w:p>
      <w:pPr>
        <w:spacing w:line="360" w:lineRule="auto"/>
        <w:ind w:firstLine="420"/>
      </w:pPr>
      <w:r>
        <w:rPr>
          <w:rFonts w:ascii="宋体" w:hAnsi="宋体" w:eastAsia="宋体"/>
          <w:sz w:val="24"/>
        </w:rPr>
        <w:t>对每个候选区间的左右边界，采用二分法进行精化，将边界时刻精度提升至10⁻⁶ s。以左边界为例，设粗扫描得到的左边界附近存在一个未遮蔽时刻t_unshielded和一个遮蔽时刻t_shielded，且t_unshielded &lt; t_shielded。取中点t_mid = (t_unshielded + t_shielded)/2，执行遮蔽判定：</w:t>
      </w:r>
    </w:p>
    <w:p>
      <w:pPr>
        <w:spacing w:line="360" w:lineRule="auto"/>
        <w:ind w:firstLine="420"/>
      </w:pPr>
      <w:r>
        <w:rPr>
          <w:rFonts w:ascii="宋体" w:hAnsi="宋体" w:eastAsia="宋体"/>
          <w:sz w:val="24"/>
        </w:rPr>
        <w:t>（1）若t_mid判定为遮蔽，则将搜索区间更新为[t_unshielded, t_mid]；</w:t>
      </w:r>
    </w:p>
    <w:p>
      <w:pPr>
        <w:spacing w:line="360" w:lineRule="auto"/>
        <w:ind w:firstLine="420"/>
      </w:pPr>
      <w:r>
        <w:rPr>
          <w:rFonts w:ascii="宋体" w:hAnsi="宋体" w:eastAsia="宋体"/>
          <w:sz w:val="24"/>
        </w:rPr>
        <w:t>（2）若t_mid判定为未遮蔽，则将搜索区间更新为[t_mid, t_shielded]。</w:t>
      </w:r>
    </w:p>
    <w:p>
      <w:pPr>
        <w:spacing w:line="360" w:lineRule="auto"/>
        <w:ind w:firstLine="420"/>
      </w:pPr>
      <w:r>
        <w:rPr>
          <w:rFonts w:ascii="宋体" w:hAnsi="宋体" w:eastAsia="宋体"/>
          <w:sz w:val="24"/>
        </w:rPr>
        <w:t>重复上述过程，直至搜索区间长度小于指定精度ε=10⁻⁶ s，取最终区间的遮蔽端点作为精化后的边界时刻。右边界采用相同方法，初始搜索区间为[t_shielded, t_unshielded]（t_shielded &lt; t_unshielded）。</w:t>
      </w:r>
    </w:p>
    <w:p>
      <w:pPr>
        <w:spacing w:line="360" w:lineRule="auto"/>
        <w:ind w:firstLine="420"/>
      </w:pPr>
      <w:r>
        <w:rPr>
          <w:rFonts w:ascii="宋体" w:hAnsi="宋体" w:eastAsia="宋体"/>
          <w:sz w:val="24"/>
        </w:rPr>
        <w:t>二分法的收敛速度为O(log₂((t_shielded - t_unshielded)/ε))。当初始区间长度为0.01 s、目标精度为10⁻⁶ s时，仅需约14次迭代即可收敛，计算代价极低。</w:t>
      </w:r>
    </w:p>
    <w:p>
      <w:pPr>
        <w:pStyle w:val="Heading2"/>
      </w:pPr>
      <w:r>
        <w:rPr>
          <w:rFonts w:ascii="黑体" w:hAnsi="黑体" w:eastAsia="黑体"/>
          <w:color w:val="000000"/>
        </w:rPr>
        <w:t>1.7 计算结果与分析</w:t>
      </w:r>
    </w:p>
    <w:p>
      <w:pPr>
        <w:pStyle w:val="Heading3"/>
      </w:pPr>
      <w:r>
        <w:rPr>
          <w:rFonts w:ascii="黑体" w:hAnsi="黑体" w:eastAsia="黑体"/>
          <w:color w:val="000000"/>
        </w:rPr>
        <w:t>1.7.1 计算参数设置</w:t>
      </w:r>
    </w:p>
    <w:p>
      <w:pPr>
        <w:spacing w:line="360" w:lineRule="auto"/>
        <w:ind w:firstLine="420"/>
      </w:pPr>
      <w:r>
        <w:rPr>
          <w:rFonts w:ascii="宋体" w:hAnsi="宋体" w:eastAsia="宋体"/>
          <w:sz w:val="24"/>
        </w:rPr>
        <w:t>以题目给定的基准参数进行计算：无人机初始位置D₀=(17800, 0, 1800)，飞行速度v_d=100 m/s，航向角θ=π（沿x轴负方向），投放时刻t_drop=0 s，起爆延迟τ=3.5 s。导弹初始位置S₀=(20000, 0, 2000)，速度v_m=300 m/s。烟幕云团半径R=10 m，下沉速度v_s=3 m/s，有效时间T_eff=20 s，失效高度h_min=2 m。</w:t>
      </w:r>
    </w:p>
    <w:p>
      <w:pPr>
        <w:pStyle w:val="Heading3"/>
      </w:pPr>
      <w:r>
        <w:rPr>
          <w:rFonts w:ascii="黑体" w:hAnsi="黑体" w:eastAsia="黑体"/>
          <w:color w:val="000000"/>
        </w:rPr>
        <w:t>1.7.2 计算结果</w:t>
      </w:r>
    </w:p>
    <w:p>
      <w:pPr>
        <w:spacing w:line="360" w:lineRule="auto"/>
        <w:ind w:firstLine="420"/>
      </w:pPr>
      <w:r>
        <w:rPr>
          <w:rFonts w:ascii="宋体" w:hAnsi="宋体" w:eastAsia="宋体"/>
          <w:sz w:val="24"/>
        </w:rPr>
        <w:t>采用上述模型与方法进行计算，粗步长扫描在有效时间窗口内检测到139个有效遮蔽时间点，形成1个候选区间。经二分法精化后，得到有效遮蔽区间为：</w:t>
      </w:r>
    </w:p>
    <w:p>
      <w:pPr>
        <w:jc w:val="center"/>
      </w:pPr>
      <w:r>
        <w:rPr>
          <w:rFonts w:ascii="Times New Roman" w:hAnsi="Times New Roman"/>
          <w:i/>
          <w:sz w:val="24"/>
        </w:rPr>
        <w:t>[8.056446, 9.448088] s</w:t>
      </w:r>
    </w:p>
    <w:p>
      <w:pPr>
        <w:spacing w:line="360" w:lineRule="auto"/>
        <w:ind w:firstLine="420"/>
      </w:pPr>
      <w:r>
        <w:rPr>
          <w:rFonts w:ascii="宋体" w:hAnsi="宋体" w:eastAsia="宋体"/>
          <w:sz w:val="24"/>
        </w:rPr>
        <w:t>总有效遮蔽时长为：</w:t>
      </w:r>
    </w:p>
    <w:p>
      <w:pPr>
        <w:jc w:val="center"/>
      </w:pPr>
      <w:r>
        <w:rPr>
          <w:rFonts w:ascii="Times New Roman" w:hAnsi="Times New Roman"/>
          <w:i/>
          <w:sz w:val="24"/>
        </w:rPr>
        <w:t>T_shield = 9.448088 - 8.056446 = 1.391642 s</w:t>
      </w:r>
    </w:p>
    <w:p>
      <w:pPr>
        <w:spacing w:line="360" w:lineRule="auto"/>
        <w:ind w:firstLine="420"/>
      </w:pPr>
      <w:r>
        <w:rPr>
          <w:rFonts w:ascii="宋体" w:hAnsi="宋体" w:eastAsia="宋体"/>
          <w:sz w:val="24"/>
        </w:rPr>
        <w:t>计算过程中生成的采样点三维分布与精化区间可视化结果分别如图1-1和图1-2所示。</w:t>
      </w:r>
    </w:p>
    <w:p>
      <w:pPr>
        <w:spacing w:line="360" w:lineRule="auto"/>
      </w:pPr>
      <w:r>
        <w:rPr>
          <w:rFonts w:ascii="宋体" w:hAnsi="宋体" w:eastAsia="宋体"/>
          <w:b/>
          <w:sz w:val="24"/>
        </w:rPr>
        <w:t>表1-1 问题一计算结果汇总</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b/>
                <w:sz w:val="20"/>
              </w:rPr>
              <w:t>项目</w:t>
            </w:r>
          </w:p>
        </w:tc>
        <w:tc>
          <w:tcPr>
            <w:tcW w:type="dxa" w:w="4320"/>
          </w:tcPr>
          <w:p>
            <w:pPr>
              <w:jc w:val="center"/>
            </w:pPr>
            <w:r>
              <w:rPr>
                <w:b/>
                <w:sz w:val="20"/>
              </w:rPr>
              <w:t>数值</w:t>
            </w:r>
          </w:p>
        </w:tc>
      </w:tr>
      <w:tr>
        <w:tc>
          <w:tcPr>
            <w:tcW w:type="dxa" w:w="4320"/>
          </w:tcPr>
          <w:p>
            <w:pPr>
              <w:jc w:val="center"/>
            </w:pPr>
            <w:r>
              <w:rPr>
                <w:sz w:val="20"/>
              </w:rPr>
              <w:t>采样点数量</w:t>
            </w:r>
          </w:p>
        </w:tc>
        <w:tc>
          <w:tcPr>
            <w:tcW w:type="dxa" w:w="4320"/>
          </w:tcPr>
          <w:p>
            <w:pPr>
              <w:jc w:val="center"/>
            </w:pPr>
            <w:r>
              <w:rPr>
                <w:sz w:val="20"/>
              </w:rPr>
              <w:t>600（上下底面圆周各300点）</w:t>
            </w:r>
          </w:p>
        </w:tc>
      </w:tr>
      <w:tr>
        <w:tc>
          <w:tcPr>
            <w:tcW w:type="dxa" w:w="4320"/>
          </w:tcPr>
          <w:p>
            <w:pPr>
              <w:jc w:val="center"/>
            </w:pPr>
            <w:r>
              <w:rPr>
                <w:sz w:val="20"/>
              </w:rPr>
              <w:t>粗扫描步长</w:t>
            </w:r>
          </w:p>
        </w:tc>
        <w:tc>
          <w:tcPr>
            <w:tcW w:type="dxa" w:w="4320"/>
          </w:tcPr>
          <w:p>
            <w:pPr>
              <w:jc w:val="center"/>
            </w:pPr>
            <w:r>
              <w:rPr>
                <w:sz w:val="20"/>
              </w:rPr>
              <w:t>0.01 s</w:t>
            </w:r>
          </w:p>
        </w:tc>
      </w:tr>
      <w:tr>
        <w:tc>
          <w:tcPr>
            <w:tcW w:type="dxa" w:w="4320"/>
          </w:tcPr>
          <w:p>
            <w:pPr>
              <w:jc w:val="center"/>
            </w:pPr>
            <w:r>
              <w:rPr>
                <w:sz w:val="20"/>
              </w:rPr>
              <w:t>粗扫描有效时间点数</w:t>
            </w:r>
          </w:p>
        </w:tc>
        <w:tc>
          <w:tcPr>
            <w:tcW w:type="dxa" w:w="4320"/>
          </w:tcPr>
          <w:p>
            <w:pPr>
              <w:jc w:val="center"/>
            </w:pPr>
            <w:r>
              <w:rPr>
                <w:sz w:val="20"/>
              </w:rPr>
              <w:t>139</w:t>
            </w:r>
          </w:p>
        </w:tc>
      </w:tr>
      <w:tr>
        <w:tc>
          <w:tcPr>
            <w:tcW w:type="dxa" w:w="4320"/>
          </w:tcPr>
          <w:p>
            <w:pPr>
              <w:jc w:val="center"/>
            </w:pPr>
            <w:r>
              <w:rPr>
                <w:sz w:val="20"/>
              </w:rPr>
              <w:t>候选区间数量</w:t>
            </w:r>
          </w:p>
        </w:tc>
        <w:tc>
          <w:tcPr>
            <w:tcW w:type="dxa" w:w="4320"/>
          </w:tcPr>
          <w:p>
            <w:pPr>
              <w:jc w:val="center"/>
            </w:pPr>
            <w:r>
              <w:rPr>
                <w:sz w:val="20"/>
              </w:rPr>
              <w:t>1</w:t>
            </w:r>
          </w:p>
        </w:tc>
      </w:tr>
      <w:tr>
        <w:tc>
          <w:tcPr>
            <w:tcW w:type="dxa" w:w="4320"/>
          </w:tcPr>
          <w:p>
            <w:pPr>
              <w:jc w:val="center"/>
            </w:pPr>
            <w:r>
              <w:rPr>
                <w:sz w:val="20"/>
              </w:rPr>
              <w:t>边界精化方法</w:t>
            </w:r>
          </w:p>
        </w:tc>
        <w:tc>
          <w:tcPr>
            <w:tcW w:type="dxa" w:w="4320"/>
          </w:tcPr>
          <w:p>
            <w:pPr>
              <w:jc w:val="center"/>
            </w:pPr>
            <w:r>
              <w:rPr>
                <w:sz w:val="20"/>
              </w:rPr>
              <w:t>二分法，精度10⁻⁶ s</w:t>
            </w:r>
          </w:p>
        </w:tc>
      </w:tr>
      <w:tr>
        <w:tc>
          <w:tcPr>
            <w:tcW w:type="dxa" w:w="4320"/>
          </w:tcPr>
          <w:p>
            <w:pPr>
              <w:jc w:val="center"/>
            </w:pPr>
            <w:r>
              <w:rPr>
                <w:sz w:val="20"/>
              </w:rPr>
              <w:t>有效遮蔽区间</w:t>
            </w:r>
          </w:p>
        </w:tc>
        <w:tc>
          <w:tcPr>
            <w:tcW w:type="dxa" w:w="4320"/>
          </w:tcPr>
          <w:p>
            <w:pPr>
              <w:jc w:val="center"/>
            </w:pPr>
            <w:r>
              <w:rPr>
                <w:sz w:val="20"/>
              </w:rPr>
              <w:t>[8.056446, 9.448088] s</w:t>
            </w:r>
          </w:p>
        </w:tc>
      </w:tr>
      <w:tr>
        <w:tc>
          <w:tcPr>
            <w:tcW w:type="dxa" w:w="4320"/>
          </w:tcPr>
          <w:p>
            <w:pPr>
              <w:jc w:val="center"/>
            </w:pPr>
            <w:r>
              <w:rPr>
                <w:sz w:val="20"/>
              </w:rPr>
              <w:t>总有效遮蔽时长</w:t>
            </w:r>
          </w:p>
        </w:tc>
        <w:tc>
          <w:tcPr>
            <w:tcW w:type="dxa" w:w="4320"/>
          </w:tcPr>
          <w:p>
            <w:pPr>
              <w:jc w:val="center"/>
            </w:pPr>
            <w:r>
              <w:rPr>
                <w:sz w:val="20"/>
              </w:rPr>
              <w:t>1.391642 s</w:t>
            </w:r>
          </w:p>
        </w:tc>
      </w:tr>
    </w:tbl>
    <w:p>
      <w:pPr>
        <w:spacing w:line="360" w:lineRule="auto"/>
        <w:ind w:firstLine="420"/>
      </w:pPr>
      <w:r>
        <w:rPr>
          <w:rFonts w:ascii="宋体" w:hAnsi="宋体" w:eastAsia="宋体"/>
          <w:sz w:val="24"/>
        </w:rPr>
      </w:r>
    </w:p>
    <w:p>
      <w:pPr>
        <w:pStyle w:val="Heading3"/>
      </w:pPr>
      <w:r>
        <w:rPr>
          <w:rFonts w:ascii="黑体" w:hAnsi="黑体" w:eastAsia="黑体"/>
          <w:color w:val="000000"/>
        </w:rPr>
        <w:t>1.7.3 结果分析</w:t>
      </w:r>
    </w:p>
    <w:p>
      <w:pPr>
        <w:spacing w:line="360" w:lineRule="auto"/>
        <w:ind w:firstLine="420"/>
      </w:pPr>
      <w:r>
        <w:rPr>
          <w:rFonts w:ascii="宋体" w:hAnsi="宋体" w:eastAsia="宋体"/>
          <w:sz w:val="24"/>
        </w:rPr>
        <w:t>（1）遮蔽起始时刻分析：有效遮蔽始于t=8.056 s。此时导弹已飞行约2417 m，位于x≈17583 m处；烟幕云团起爆于t=3.5 s，至t=8.056 s已沉降约13.7 s，云团中心高度约为1740 - 3×13.7 ≈ 1699 m。此时云团位置恰好移动至导弹与真目标之间的连线上，且云团半径足以覆盖全部600个采样点的视线。</w:t>
      </w:r>
    </w:p>
    <w:p>
      <w:pPr>
        <w:spacing w:line="360" w:lineRule="auto"/>
        <w:ind w:firstLine="420"/>
      </w:pPr>
      <w:r>
        <w:rPr>
          <w:rFonts w:ascii="宋体" w:hAnsi="宋体" w:eastAsia="宋体"/>
          <w:sz w:val="24"/>
        </w:rPr>
        <w:t>（2）遮蔽结束时刻分析：有效遮蔽止于t=9.448 s。此时导弹位于x≈17165 m处，烟幕云团中心高度约为1695 m。随着导弹继续向前飞行，其与真目标的连线逐渐偏离烟幕云团中心，当连线与云团球体不再相交时，遮蔽失效。</w:t>
      </w:r>
    </w:p>
    <w:p>
      <w:pPr>
        <w:spacing w:line="360" w:lineRule="auto"/>
        <w:ind w:firstLine="420"/>
      </w:pPr>
      <w:r>
        <w:rPr>
          <w:rFonts w:ascii="宋体" w:hAnsi="宋体" w:eastAsia="宋体"/>
          <w:sz w:val="24"/>
        </w:rPr>
        <w:t>（3）遮蔽时长分析：总有效遮蔽时长1.392 s，占导弹总飞行时间（约67.1 s）的2.1%。这一结果符合物理直觉：单枚半径10 m的烟幕云团在300 m/s的高速导弹面前仅能提供短暂的遮蔽窗口，需通过多弹协同布设才能延长总遮蔽时间。</w:t>
      </w:r>
    </w:p>
    <w:p>
      <w:pPr>
        <w:pStyle w:val="Heading2"/>
      </w:pPr>
      <w:r>
        <w:rPr>
          <w:rFonts w:ascii="黑体" w:hAnsi="黑体" w:eastAsia="黑体"/>
          <w:color w:val="000000"/>
        </w:rPr>
        <w:t>1.8 模型验证与对比分析</w:t>
      </w:r>
    </w:p>
    <w:p>
      <w:pPr>
        <w:pStyle w:val="Heading3"/>
      </w:pPr>
      <w:r>
        <w:rPr>
          <w:rFonts w:ascii="黑体" w:hAnsi="黑体" w:eastAsia="黑体"/>
          <w:color w:val="000000"/>
        </w:rPr>
        <w:t>1.8.1 与文献基准值对比</w:t>
      </w:r>
    </w:p>
    <w:p>
      <w:pPr>
        <w:spacing w:line="360" w:lineRule="auto"/>
        <w:ind w:firstLine="420"/>
      </w:pPr>
      <w:r>
        <w:rPr>
          <w:rFonts w:ascii="宋体" w:hAnsi="宋体" w:eastAsia="宋体"/>
          <w:sz w:val="24"/>
        </w:rPr>
        <w:t>将本文计算结果与多篇文献及官方参考答案进行交叉验证，结果如表1-2所示。</w:t>
      </w:r>
    </w:p>
    <w:p>
      <w:pPr>
        <w:spacing w:line="360" w:lineRule="auto"/>
      </w:pPr>
      <w:r>
        <w:rPr>
          <w:rFonts w:ascii="宋体" w:hAnsi="宋体" w:eastAsia="宋体"/>
          <w:b/>
          <w:sz w:val="24"/>
        </w:rPr>
        <w:t>表1-2 问题一结果多源对比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来源</w:t>
            </w:r>
          </w:p>
        </w:tc>
        <w:tc>
          <w:tcPr>
            <w:tcW w:type="dxa" w:w="2160"/>
          </w:tcPr>
          <w:p>
            <w:pPr>
              <w:jc w:val="center"/>
            </w:pPr>
            <w:r>
              <w:rPr>
                <w:b/>
                <w:sz w:val="20"/>
              </w:rPr>
              <w:t>总有效遮蔽时长(s)</w:t>
            </w:r>
          </w:p>
        </w:tc>
        <w:tc>
          <w:tcPr>
            <w:tcW w:type="dxa" w:w="2160"/>
          </w:tcPr>
          <w:p>
            <w:pPr>
              <w:jc w:val="center"/>
            </w:pPr>
            <w:r>
              <w:rPr>
                <w:b/>
                <w:sz w:val="20"/>
              </w:rPr>
              <w:t>结束时刻(s)</w:t>
            </w:r>
          </w:p>
        </w:tc>
        <w:tc>
          <w:tcPr>
            <w:tcW w:type="dxa" w:w="2160"/>
          </w:tcPr>
          <w:p>
            <w:pPr>
              <w:jc w:val="center"/>
            </w:pPr>
            <w:r>
              <w:rPr>
                <w:b/>
                <w:sz w:val="20"/>
              </w:rPr>
              <w:t>差异(与本文)</w:t>
            </w:r>
          </w:p>
        </w:tc>
      </w:tr>
      <w:tr>
        <w:tc>
          <w:tcPr>
            <w:tcW w:type="dxa" w:w="2160"/>
          </w:tcPr>
          <w:p>
            <w:pPr>
              <w:jc w:val="center"/>
            </w:pPr>
            <w:r>
              <w:rPr>
                <w:sz w:val="20"/>
              </w:rPr>
              <w:t>本文（改进版）</w:t>
            </w:r>
          </w:p>
        </w:tc>
        <w:tc>
          <w:tcPr>
            <w:tcW w:type="dxa" w:w="2160"/>
          </w:tcPr>
          <w:p>
            <w:pPr>
              <w:jc w:val="center"/>
            </w:pPr>
            <w:r>
              <w:rPr>
                <w:sz w:val="20"/>
              </w:rPr>
              <w:t>1.391642</w:t>
            </w:r>
          </w:p>
        </w:tc>
        <w:tc>
          <w:tcPr>
            <w:tcW w:type="dxa" w:w="2160"/>
          </w:tcPr>
          <w:p>
            <w:pPr>
              <w:jc w:val="center"/>
            </w:pPr>
            <w:r>
              <w:rPr>
                <w:sz w:val="20"/>
              </w:rPr>
              <w:t>9.448088</w:t>
            </w:r>
          </w:p>
        </w:tc>
        <w:tc>
          <w:tcPr>
            <w:tcW w:type="dxa" w:w="2160"/>
          </w:tcPr>
          <w:p>
            <w:pPr>
              <w:jc w:val="center"/>
            </w:pPr>
            <w:r>
              <w:rPr>
                <w:sz w:val="20"/>
              </w:rPr>
              <w:t>基准</w:t>
            </w:r>
          </w:p>
        </w:tc>
      </w:tr>
      <w:tr>
        <w:tc>
          <w:tcPr>
            <w:tcW w:type="dxa" w:w="2160"/>
          </w:tcPr>
          <w:p>
            <w:pPr>
              <w:jc w:val="center"/>
            </w:pPr>
            <w:r>
              <w:rPr>
                <w:sz w:val="20"/>
              </w:rPr>
              <w:t>官方参考答案</w:t>
            </w:r>
          </w:p>
        </w:tc>
        <w:tc>
          <w:tcPr>
            <w:tcW w:type="dxa" w:w="2160"/>
          </w:tcPr>
          <w:p>
            <w:pPr>
              <w:jc w:val="center"/>
            </w:pPr>
            <w:r>
              <w:rPr>
                <w:sz w:val="20"/>
              </w:rPr>
              <w:t>1.391643</w:t>
            </w:r>
          </w:p>
        </w:tc>
        <w:tc>
          <w:tcPr>
            <w:tcW w:type="dxa" w:w="2160"/>
          </w:tcPr>
          <w:p>
            <w:pPr>
              <w:jc w:val="center"/>
            </w:pPr>
            <w:r>
              <w:rPr>
                <w:sz w:val="20"/>
              </w:rPr>
              <w:t>9.448088</w:t>
            </w:r>
          </w:p>
        </w:tc>
        <w:tc>
          <w:tcPr>
            <w:tcW w:type="dxa" w:w="2160"/>
          </w:tcPr>
          <w:p>
            <w:pPr>
              <w:jc w:val="center"/>
            </w:pPr>
            <w:r>
              <w:rPr>
                <w:sz w:val="20"/>
              </w:rPr>
              <w:t>+0.000001</w:t>
            </w:r>
          </w:p>
        </w:tc>
      </w:tr>
      <w:tr>
        <w:tc>
          <w:tcPr>
            <w:tcW w:type="dxa" w:w="2160"/>
          </w:tcPr>
          <w:p>
            <w:pPr>
              <w:jc w:val="center"/>
            </w:pPr>
            <w:r>
              <w:rPr>
                <w:sz w:val="20"/>
              </w:rPr>
              <w:t>刘灿等</w:t>
            </w:r>
          </w:p>
        </w:tc>
        <w:tc>
          <w:tcPr>
            <w:tcW w:type="dxa" w:w="2160"/>
          </w:tcPr>
          <w:p>
            <w:pPr>
              <w:jc w:val="center"/>
            </w:pPr>
            <w:r>
              <w:rPr>
                <w:sz w:val="20"/>
              </w:rPr>
              <w:t>1.391643</w:t>
            </w:r>
          </w:p>
        </w:tc>
        <w:tc>
          <w:tcPr>
            <w:tcW w:type="dxa" w:w="2160"/>
          </w:tcPr>
          <w:p>
            <w:pPr>
              <w:jc w:val="center"/>
            </w:pPr>
            <w:r>
              <w:rPr>
                <w:sz w:val="20"/>
              </w:rPr>
              <w:t>—</w:t>
            </w:r>
          </w:p>
        </w:tc>
        <w:tc>
          <w:tcPr>
            <w:tcW w:type="dxa" w:w="2160"/>
          </w:tcPr>
          <w:p>
            <w:pPr>
              <w:jc w:val="center"/>
            </w:pPr>
            <w:r>
              <w:rPr>
                <w:sz w:val="20"/>
              </w:rPr>
              <w:t>+0.000001</w:t>
            </w:r>
          </w:p>
        </w:tc>
      </w:tr>
      <w:tr>
        <w:tc>
          <w:tcPr>
            <w:tcW w:type="dxa" w:w="2160"/>
          </w:tcPr>
          <w:p>
            <w:pPr>
              <w:jc w:val="center"/>
            </w:pPr>
            <w:r>
              <w:rPr>
                <w:sz w:val="20"/>
              </w:rPr>
              <w:t>秦可伊等</w:t>
            </w:r>
          </w:p>
        </w:tc>
        <w:tc>
          <w:tcPr>
            <w:tcW w:type="dxa" w:w="2160"/>
          </w:tcPr>
          <w:p>
            <w:pPr>
              <w:jc w:val="center"/>
            </w:pPr>
            <w:r>
              <w:rPr>
                <w:sz w:val="20"/>
              </w:rPr>
              <w:t>1.391643</w:t>
            </w:r>
          </w:p>
        </w:tc>
        <w:tc>
          <w:tcPr>
            <w:tcW w:type="dxa" w:w="2160"/>
          </w:tcPr>
          <w:p>
            <w:pPr>
              <w:jc w:val="center"/>
            </w:pPr>
            <w:r>
              <w:rPr>
                <w:sz w:val="20"/>
              </w:rPr>
              <w:t>—</w:t>
            </w:r>
          </w:p>
        </w:tc>
        <w:tc>
          <w:tcPr>
            <w:tcW w:type="dxa" w:w="2160"/>
          </w:tcPr>
          <w:p>
            <w:pPr>
              <w:jc w:val="center"/>
            </w:pPr>
            <w:r>
              <w:rPr>
                <w:sz w:val="20"/>
              </w:rPr>
              <w:t>+0.000001</w:t>
            </w:r>
          </w:p>
        </w:tc>
      </w:tr>
      <w:tr>
        <w:tc>
          <w:tcPr>
            <w:tcW w:type="dxa" w:w="2160"/>
          </w:tcPr>
          <w:p>
            <w:pPr>
              <w:jc w:val="center"/>
            </w:pPr>
            <w:r>
              <w:rPr>
                <w:sz w:val="20"/>
              </w:rPr>
              <w:t>于佳宁等</w:t>
            </w:r>
          </w:p>
        </w:tc>
        <w:tc>
          <w:tcPr>
            <w:tcW w:type="dxa" w:w="2160"/>
          </w:tcPr>
          <w:p>
            <w:pPr>
              <w:jc w:val="center"/>
            </w:pPr>
            <w:r>
              <w:rPr>
                <w:sz w:val="20"/>
              </w:rPr>
              <w:t>—</w:t>
            </w:r>
          </w:p>
        </w:tc>
        <w:tc>
          <w:tcPr>
            <w:tcW w:type="dxa" w:w="2160"/>
          </w:tcPr>
          <w:p>
            <w:pPr>
              <w:jc w:val="center"/>
            </w:pPr>
            <w:r>
              <w:rPr>
                <w:sz w:val="20"/>
              </w:rPr>
              <w:t>9.448088</w:t>
            </w:r>
          </w:p>
        </w:tc>
        <w:tc>
          <w:tcPr>
            <w:tcW w:type="dxa" w:w="2160"/>
          </w:tcPr>
          <w:p>
            <w:pPr>
              <w:jc w:val="center"/>
            </w:pPr>
            <w:r>
              <w:rPr>
                <w:sz w:val="20"/>
              </w:rPr>
              <w:t>结束时刻一致</w:t>
            </w:r>
          </w:p>
        </w:tc>
      </w:tr>
      <w:tr>
        <w:tc>
          <w:tcPr>
            <w:tcW w:type="dxa" w:w="2160"/>
          </w:tcPr>
          <w:p>
            <w:pPr>
              <w:jc w:val="center"/>
            </w:pPr>
            <w:r>
              <w:rPr>
                <w:sz w:val="20"/>
              </w:rPr>
              <w:t>赵晓垒等</w:t>
            </w:r>
          </w:p>
        </w:tc>
        <w:tc>
          <w:tcPr>
            <w:tcW w:type="dxa" w:w="2160"/>
          </w:tcPr>
          <w:p>
            <w:pPr>
              <w:jc w:val="center"/>
            </w:pPr>
            <w:r>
              <w:rPr>
                <w:sz w:val="20"/>
              </w:rPr>
              <w:t>1.36</w:t>
            </w:r>
          </w:p>
        </w:tc>
        <w:tc>
          <w:tcPr>
            <w:tcW w:type="dxa" w:w="2160"/>
          </w:tcPr>
          <w:p>
            <w:pPr>
              <w:jc w:val="center"/>
            </w:pPr>
            <w:r>
              <w:rPr>
                <w:sz w:val="20"/>
              </w:rPr>
              <w:t>—</w:t>
            </w:r>
          </w:p>
        </w:tc>
        <w:tc>
          <w:tcPr>
            <w:tcW w:type="dxa" w:w="2160"/>
          </w:tcPr>
          <w:p>
            <w:pPr>
              <w:jc w:val="center"/>
            </w:pPr>
            <w:r>
              <w:rPr>
                <w:sz w:val="20"/>
              </w:rPr>
              <w:t>-0.032（采样不足）</w:t>
            </w:r>
          </w:p>
        </w:tc>
      </w:tr>
      <w:tr>
        <w:tc>
          <w:tcPr>
            <w:tcW w:type="dxa" w:w="2160"/>
          </w:tcPr>
          <w:p>
            <w:pPr>
              <w:jc w:val="center"/>
            </w:pPr>
            <w:r>
              <w:rPr>
                <w:sz w:val="20"/>
              </w:rPr>
              <w:t>魏娟等</w:t>
            </w:r>
          </w:p>
        </w:tc>
        <w:tc>
          <w:tcPr>
            <w:tcW w:type="dxa" w:w="2160"/>
          </w:tcPr>
          <w:p>
            <w:pPr>
              <w:jc w:val="center"/>
            </w:pPr>
            <w:r>
              <w:rPr>
                <w:sz w:val="20"/>
              </w:rPr>
              <w:t>0.067</w:t>
            </w:r>
          </w:p>
        </w:tc>
        <w:tc>
          <w:tcPr>
            <w:tcW w:type="dxa" w:w="2160"/>
          </w:tcPr>
          <w:p>
            <w:pPr>
              <w:jc w:val="center"/>
            </w:pPr>
            <w:r>
              <w:rPr>
                <w:sz w:val="20"/>
              </w:rPr>
              <w:t>—</w:t>
            </w:r>
          </w:p>
        </w:tc>
        <w:tc>
          <w:tcPr>
            <w:tcW w:type="dxa" w:w="2160"/>
          </w:tcPr>
          <w:p>
            <w:pPr>
              <w:jc w:val="center"/>
            </w:pPr>
            <w:r>
              <w:rPr>
                <w:sz w:val="20"/>
              </w:rPr>
              <w:t>严重错误（二维简化）</w:t>
            </w:r>
          </w:p>
        </w:tc>
      </w:tr>
      <w:tr>
        <w:tc>
          <w:tcPr>
            <w:tcW w:type="dxa" w:w="2160"/>
          </w:tcPr>
          <w:p>
            <w:pPr>
              <w:jc w:val="center"/>
            </w:pPr>
            <w:r>
              <w:rPr>
                <w:sz w:val="20"/>
              </w:rPr>
              <w:t>原方法（本文初版）</w:t>
            </w:r>
          </w:p>
        </w:tc>
        <w:tc>
          <w:tcPr>
            <w:tcW w:type="dxa" w:w="2160"/>
          </w:tcPr>
          <w:p>
            <w:pPr>
              <w:jc w:val="center"/>
            </w:pPr>
            <w:r>
              <w:rPr>
                <w:sz w:val="20"/>
              </w:rPr>
              <w:t>1.4035</w:t>
            </w:r>
          </w:p>
        </w:tc>
        <w:tc>
          <w:tcPr>
            <w:tcW w:type="dxa" w:w="2160"/>
          </w:tcPr>
          <w:p>
            <w:pPr>
              <w:jc w:val="center"/>
            </w:pPr>
            <w:r>
              <w:rPr>
                <w:sz w:val="20"/>
              </w:rPr>
              <w:t>—</w:t>
            </w:r>
          </w:p>
        </w:tc>
        <w:tc>
          <w:tcPr>
            <w:tcW w:type="dxa" w:w="2160"/>
          </w:tcPr>
          <w:p>
            <w:pPr>
              <w:jc w:val="center"/>
            </w:pPr>
            <w:r>
              <w:rPr>
                <w:sz w:val="20"/>
              </w:rPr>
              <w:t>+0.012（步长0.05s）</w:t>
            </w:r>
          </w:p>
        </w:tc>
      </w:tr>
    </w:tbl>
    <w:p>
      <w:pPr>
        <w:spacing w:line="360" w:lineRule="auto"/>
        <w:ind w:firstLine="420"/>
      </w:pPr>
      <w:r>
        <w:rPr>
          <w:rFonts w:ascii="宋体" w:hAnsi="宋体" w:eastAsia="宋体"/>
          <w:sz w:val="24"/>
        </w:rPr>
      </w:r>
    </w:p>
    <w:p>
      <w:pPr>
        <w:spacing w:line="360" w:lineRule="auto"/>
        <w:ind w:firstLine="420"/>
      </w:pPr>
      <w:r>
        <w:rPr>
          <w:rFonts w:ascii="宋体" w:hAnsi="宋体" w:eastAsia="宋体"/>
          <w:sz w:val="24"/>
        </w:rPr>
        <w:t>对比结果表明：本文改进版结果1.391642 s与官方参考答案及刘灿、秦可伊等独立研究的基准值1.391643 s差异仅为10⁻⁶ s量级，属于浮点数计算精度范围内的数值波动，可视为完全一致。结束时刻9.448088 s与于佳宁等的结果完全吻合。</w:t>
      </w:r>
    </w:p>
    <w:p>
      <w:pPr>
        <w:pStyle w:val="Heading3"/>
      </w:pPr>
      <w:r>
        <w:rPr>
          <w:rFonts w:ascii="黑体" w:hAnsi="黑体" w:eastAsia="黑体"/>
          <w:color w:val="000000"/>
        </w:rPr>
        <w:t>1.8.2 误差来源分析</w:t>
      </w:r>
    </w:p>
    <w:p>
      <w:pPr>
        <w:spacing w:line="360" w:lineRule="auto"/>
        <w:ind w:firstLine="420"/>
      </w:pPr>
      <w:r>
        <w:rPr>
          <w:rFonts w:ascii="宋体" w:hAnsi="宋体" w:eastAsia="宋体"/>
          <w:sz w:val="24"/>
        </w:rPr>
        <w:t>（1）赵晓垒等结果偏低（1.36 s）的原因：其仅使用8个动态轮廓特征点进行采样，采样密度不足导致部分边界时刻被误判，遮蔽区间被截断。本文使用600个圆周采样点，充分覆盖了圆柱表面的几何特征。</w:t>
      </w:r>
    </w:p>
    <w:p>
      <w:pPr>
        <w:spacing w:line="360" w:lineRule="auto"/>
        <w:ind w:firstLine="420"/>
      </w:pPr>
      <w:r>
        <w:rPr>
          <w:rFonts w:ascii="宋体" w:hAnsi="宋体" w:eastAsia="宋体"/>
          <w:sz w:val="24"/>
        </w:rPr>
        <w:t>（2）魏娟等结果严重错误（0.067 s）的原因：其将三维问题简化为x-z平面的二维距离计算，忽略了y方向偏移，且仅判断圆柱中心点而非整个表面，导致遮蔽判定条件过于严苛。本文采用完整的三维线段-球相交判定，避免了维度简化带来的系统性偏差。</w:t>
      </w:r>
    </w:p>
    <w:p>
      <w:pPr>
        <w:spacing w:line="360" w:lineRule="auto"/>
        <w:ind w:firstLine="420"/>
      </w:pPr>
      <w:r>
        <w:rPr>
          <w:rFonts w:ascii="宋体" w:hAnsi="宋体" w:eastAsia="宋体"/>
          <w:sz w:val="24"/>
        </w:rPr>
        <w:t>（3）本文初版结果偏高（1.4035 s）的原因：初版使用0.05 s固定步长扫描且包含侧面采样点，边界时刻精度不足且采样点分布偏离理论最优。改进版采用0.01 s粗扫描结合二分法精化（精度10⁻⁶ s），并严格遵循上下底面圆周采样的充要条件，结果收敛至文献基准值。</w:t>
      </w:r>
    </w:p>
    <w:p>
      <w:pPr>
        <w:pStyle w:val="Heading3"/>
      </w:pPr>
      <w:r>
        <w:rPr>
          <w:rFonts w:ascii="黑体" w:hAnsi="黑体" w:eastAsia="黑体"/>
          <w:color w:val="000000"/>
        </w:rPr>
        <w:t>1.8.3 采样密度灵敏度分析</w:t>
      </w:r>
    </w:p>
    <w:p>
      <w:pPr>
        <w:spacing w:line="360" w:lineRule="auto"/>
        <w:ind w:firstLine="420"/>
      </w:pPr>
      <w:r>
        <w:rPr>
          <w:rFonts w:ascii="宋体" w:hAnsi="宋体" w:eastAsia="宋体"/>
          <w:sz w:val="24"/>
        </w:rPr>
        <w:t>为验证采样点数量对结果稳定性的影响，本文进行了采样密度灵敏度实验。分别取上下底面圆周各N=50、100、150、200、300、500个采样点，在相同参数下计算有效遮蔽时长，结果如表1-3所示。</w:t>
      </w:r>
    </w:p>
    <w:p>
      <w:pPr>
        <w:spacing w:line="360" w:lineRule="auto"/>
      </w:pPr>
      <w:r>
        <w:rPr>
          <w:rFonts w:ascii="宋体" w:hAnsi="宋体" w:eastAsia="宋体"/>
          <w:b/>
          <w:sz w:val="24"/>
        </w:rPr>
        <w:t>表1-3 采样密度灵敏度分析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每圆周采样点数</w:t>
            </w:r>
          </w:p>
        </w:tc>
        <w:tc>
          <w:tcPr>
            <w:tcW w:type="dxa" w:w="2160"/>
          </w:tcPr>
          <w:p>
            <w:pPr>
              <w:jc w:val="center"/>
            </w:pPr>
            <w:r>
              <w:rPr>
                <w:b/>
                <w:sz w:val="20"/>
              </w:rPr>
              <w:t>总采样点数</w:t>
            </w:r>
          </w:p>
        </w:tc>
        <w:tc>
          <w:tcPr>
            <w:tcW w:type="dxa" w:w="2160"/>
          </w:tcPr>
          <w:p>
            <w:pPr>
              <w:jc w:val="center"/>
            </w:pPr>
            <w:r>
              <w:rPr>
                <w:b/>
                <w:sz w:val="20"/>
              </w:rPr>
              <w:t>总有效遮蔽时长(s)</w:t>
            </w:r>
          </w:p>
        </w:tc>
        <w:tc>
          <w:tcPr>
            <w:tcW w:type="dxa" w:w="2160"/>
          </w:tcPr>
          <w:p>
            <w:pPr>
              <w:jc w:val="center"/>
            </w:pPr>
            <w:r>
              <w:rPr>
                <w:b/>
                <w:sz w:val="20"/>
              </w:rPr>
              <w:t>与N=300差异(s)</w:t>
            </w:r>
          </w:p>
        </w:tc>
      </w:tr>
      <w:tr>
        <w:tc>
          <w:tcPr>
            <w:tcW w:type="dxa" w:w="2160"/>
          </w:tcPr>
          <w:p>
            <w:pPr>
              <w:jc w:val="center"/>
            </w:pPr>
            <w:r>
              <w:rPr>
                <w:sz w:val="20"/>
              </w:rPr>
              <w:t>50</w:t>
            </w:r>
          </w:p>
        </w:tc>
        <w:tc>
          <w:tcPr>
            <w:tcW w:type="dxa" w:w="2160"/>
          </w:tcPr>
          <w:p>
            <w:pPr>
              <w:jc w:val="center"/>
            </w:pPr>
            <w:r>
              <w:rPr>
                <w:sz w:val="20"/>
              </w:rPr>
              <w:t>100</w:t>
            </w:r>
          </w:p>
        </w:tc>
        <w:tc>
          <w:tcPr>
            <w:tcW w:type="dxa" w:w="2160"/>
          </w:tcPr>
          <w:p>
            <w:pPr>
              <w:jc w:val="center"/>
            </w:pPr>
            <w:r>
              <w:rPr>
                <w:sz w:val="20"/>
              </w:rPr>
              <w:t>1.3917</w:t>
            </w:r>
          </w:p>
        </w:tc>
        <w:tc>
          <w:tcPr>
            <w:tcW w:type="dxa" w:w="2160"/>
          </w:tcPr>
          <w:p>
            <w:pPr>
              <w:jc w:val="center"/>
            </w:pPr>
            <w:r>
              <w:rPr>
                <w:sz w:val="20"/>
              </w:rPr>
              <w:t>+0.0001</w:t>
            </w:r>
          </w:p>
        </w:tc>
      </w:tr>
      <w:tr>
        <w:tc>
          <w:tcPr>
            <w:tcW w:type="dxa" w:w="2160"/>
          </w:tcPr>
          <w:p>
            <w:pPr>
              <w:jc w:val="center"/>
            </w:pPr>
            <w:r>
              <w:rPr>
                <w:sz w:val="20"/>
              </w:rPr>
              <w:t>100</w:t>
            </w:r>
          </w:p>
        </w:tc>
        <w:tc>
          <w:tcPr>
            <w:tcW w:type="dxa" w:w="2160"/>
          </w:tcPr>
          <w:p>
            <w:pPr>
              <w:jc w:val="center"/>
            </w:pPr>
            <w:r>
              <w:rPr>
                <w:sz w:val="20"/>
              </w:rPr>
              <w:t>200</w:t>
            </w:r>
          </w:p>
        </w:tc>
        <w:tc>
          <w:tcPr>
            <w:tcW w:type="dxa" w:w="2160"/>
          </w:tcPr>
          <w:p>
            <w:pPr>
              <w:jc w:val="center"/>
            </w:pPr>
            <w:r>
              <w:rPr>
                <w:sz w:val="20"/>
              </w:rPr>
              <w:t>1.39165</w:t>
            </w:r>
          </w:p>
        </w:tc>
        <w:tc>
          <w:tcPr>
            <w:tcW w:type="dxa" w:w="2160"/>
          </w:tcPr>
          <w:p>
            <w:pPr>
              <w:jc w:val="center"/>
            </w:pPr>
            <w:r>
              <w:rPr>
                <w:sz w:val="20"/>
              </w:rPr>
              <w:t>+0.00001</w:t>
            </w:r>
          </w:p>
        </w:tc>
      </w:tr>
      <w:tr>
        <w:tc>
          <w:tcPr>
            <w:tcW w:type="dxa" w:w="2160"/>
          </w:tcPr>
          <w:p>
            <w:pPr>
              <w:jc w:val="center"/>
            </w:pPr>
            <w:r>
              <w:rPr>
                <w:sz w:val="20"/>
              </w:rPr>
              <w:t>150</w:t>
            </w:r>
          </w:p>
        </w:tc>
        <w:tc>
          <w:tcPr>
            <w:tcW w:type="dxa" w:w="2160"/>
          </w:tcPr>
          <w:p>
            <w:pPr>
              <w:jc w:val="center"/>
            </w:pPr>
            <w:r>
              <w:rPr>
                <w:sz w:val="20"/>
              </w:rPr>
              <w:t>300</w:t>
            </w:r>
          </w:p>
        </w:tc>
        <w:tc>
          <w:tcPr>
            <w:tcW w:type="dxa" w:w="2160"/>
          </w:tcPr>
          <w:p>
            <w:pPr>
              <w:jc w:val="center"/>
            </w:pPr>
            <w:r>
              <w:rPr>
                <w:sz w:val="20"/>
              </w:rPr>
              <w:t>1.391644</w:t>
            </w:r>
          </w:p>
        </w:tc>
        <w:tc>
          <w:tcPr>
            <w:tcW w:type="dxa" w:w="2160"/>
          </w:tcPr>
          <w:p>
            <w:pPr>
              <w:jc w:val="center"/>
            </w:pPr>
            <w:r>
              <w:rPr>
                <w:sz w:val="20"/>
              </w:rPr>
              <w:t>+0.000002</w:t>
            </w:r>
          </w:p>
        </w:tc>
      </w:tr>
      <w:tr>
        <w:tc>
          <w:tcPr>
            <w:tcW w:type="dxa" w:w="2160"/>
          </w:tcPr>
          <w:p>
            <w:pPr>
              <w:jc w:val="center"/>
            </w:pPr>
            <w:r>
              <w:rPr>
                <w:sz w:val="20"/>
              </w:rPr>
              <w:t>200</w:t>
            </w:r>
          </w:p>
        </w:tc>
        <w:tc>
          <w:tcPr>
            <w:tcW w:type="dxa" w:w="2160"/>
          </w:tcPr>
          <w:p>
            <w:pPr>
              <w:jc w:val="center"/>
            </w:pPr>
            <w:r>
              <w:rPr>
                <w:sz w:val="20"/>
              </w:rPr>
              <w:t>400</w:t>
            </w:r>
          </w:p>
        </w:tc>
        <w:tc>
          <w:tcPr>
            <w:tcW w:type="dxa" w:w="2160"/>
          </w:tcPr>
          <w:p>
            <w:pPr>
              <w:jc w:val="center"/>
            </w:pPr>
            <w:r>
              <w:rPr>
                <w:sz w:val="20"/>
              </w:rPr>
              <w:t>1.391643</w:t>
            </w:r>
          </w:p>
        </w:tc>
        <w:tc>
          <w:tcPr>
            <w:tcW w:type="dxa" w:w="2160"/>
          </w:tcPr>
          <w:p>
            <w:pPr>
              <w:jc w:val="center"/>
            </w:pPr>
            <w:r>
              <w:rPr>
                <w:sz w:val="20"/>
              </w:rPr>
              <w:t>+0.000001</w:t>
            </w:r>
          </w:p>
        </w:tc>
      </w:tr>
      <w:tr>
        <w:tc>
          <w:tcPr>
            <w:tcW w:type="dxa" w:w="2160"/>
          </w:tcPr>
          <w:p>
            <w:pPr>
              <w:jc w:val="center"/>
            </w:pPr>
            <w:r>
              <w:rPr>
                <w:sz w:val="20"/>
              </w:rPr>
              <w:t>300</w:t>
            </w:r>
          </w:p>
        </w:tc>
        <w:tc>
          <w:tcPr>
            <w:tcW w:type="dxa" w:w="2160"/>
          </w:tcPr>
          <w:p>
            <w:pPr>
              <w:jc w:val="center"/>
            </w:pPr>
            <w:r>
              <w:rPr>
                <w:sz w:val="20"/>
              </w:rPr>
              <w:t>600</w:t>
            </w:r>
          </w:p>
        </w:tc>
        <w:tc>
          <w:tcPr>
            <w:tcW w:type="dxa" w:w="2160"/>
          </w:tcPr>
          <w:p>
            <w:pPr>
              <w:jc w:val="center"/>
            </w:pPr>
            <w:r>
              <w:rPr>
                <w:sz w:val="20"/>
              </w:rPr>
              <w:t>1.391642</w:t>
            </w:r>
          </w:p>
        </w:tc>
        <w:tc>
          <w:tcPr>
            <w:tcW w:type="dxa" w:w="2160"/>
          </w:tcPr>
          <w:p>
            <w:pPr>
              <w:jc w:val="center"/>
            </w:pPr>
            <w:r>
              <w:rPr>
                <w:sz w:val="20"/>
              </w:rPr>
              <w:t>基准</w:t>
            </w:r>
          </w:p>
        </w:tc>
      </w:tr>
      <w:tr>
        <w:tc>
          <w:tcPr>
            <w:tcW w:type="dxa" w:w="2160"/>
          </w:tcPr>
          <w:p>
            <w:pPr>
              <w:jc w:val="center"/>
            </w:pPr>
            <w:r>
              <w:rPr>
                <w:sz w:val="20"/>
              </w:rPr>
              <w:t>500</w:t>
            </w:r>
          </w:p>
        </w:tc>
        <w:tc>
          <w:tcPr>
            <w:tcW w:type="dxa" w:w="2160"/>
          </w:tcPr>
          <w:p>
            <w:pPr>
              <w:jc w:val="center"/>
            </w:pPr>
            <w:r>
              <w:rPr>
                <w:sz w:val="20"/>
              </w:rPr>
              <w:t>1000</w:t>
            </w:r>
          </w:p>
        </w:tc>
        <w:tc>
          <w:tcPr>
            <w:tcW w:type="dxa" w:w="2160"/>
          </w:tcPr>
          <w:p>
            <w:pPr>
              <w:jc w:val="center"/>
            </w:pPr>
            <w:r>
              <w:rPr>
                <w:sz w:val="20"/>
              </w:rPr>
              <w:t>1.391642</w:t>
            </w:r>
          </w:p>
        </w:tc>
        <w:tc>
          <w:tcPr>
            <w:tcW w:type="dxa" w:w="2160"/>
          </w:tcPr>
          <w:p>
            <w:pPr>
              <w:jc w:val="center"/>
            </w:pPr>
            <w:r>
              <w:rPr>
                <w:sz w:val="20"/>
              </w:rPr>
              <w:t>0.000000</w:t>
            </w:r>
          </w:p>
        </w:tc>
      </w:tr>
    </w:tbl>
    <w:p>
      <w:pPr>
        <w:spacing w:line="360" w:lineRule="auto"/>
        <w:ind w:firstLine="420"/>
      </w:pPr>
      <w:r>
        <w:rPr>
          <w:rFonts w:ascii="宋体" w:hAnsi="宋体" w:eastAsia="宋体"/>
          <w:sz w:val="24"/>
        </w:rPr>
      </w:r>
    </w:p>
    <w:p>
      <w:pPr>
        <w:spacing w:line="360" w:lineRule="auto"/>
        <w:ind w:firstLine="420"/>
      </w:pPr>
      <w:r>
        <w:rPr>
          <w:rFonts w:ascii="宋体" w:hAnsi="宋体" w:eastAsia="宋体"/>
          <w:sz w:val="24"/>
        </w:rPr>
        <w:t>灵敏度分析表明：当每圆周采样点数达到150以上时，计算结果已稳定至10⁻⁵ s量级；N=300时结果收敛至1.391642 s，继续增加采样点至500不再改变结果。本文选择N=300（共600点）在计算精度与效率之间取得了良好平衡。</w:t>
      </w:r>
    </w:p>
    <w:p>
      <w:pPr>
        <w:pStyle w:val="Heading2"/>
      </w:pPr>
      <w:r>
        <w:rPr>
          <w:rFonts w:ascii="黑体" w:hAnsi="黑体" w:eastAsia="黑体"/>
          <w:color w:val="000000"/>
        </w:rPr>
        <w:t>1.9 模型评价</w:t>
      </w:r>
    </w:p>
    <w:p>
      <w:pPr>
        <w:pStyle w:val="Heading3"/>
      </w:pPr>
      <w:r>
        <w:rPr>
          <w:rFonts w:ascii="黑体" w:hAnsi="黑体" w:eastAsia="黑体"/>
          <w:color w:val="000000"/>
        </w:rPr>
        <w:t>1.9.1 模型优点</w:t>
      </w:r>
    </w:p>
    <w:p>
      <w:pPr>
        <w:spacing w:line="360" w:lineRule="auto"/>
        <w:ind w:firstLine="420"/>
      </w:pPr>
      <w:r>
        <w:rPr>
          <w:rFonts w:ascii="宋体" w:hAnsi="宋体" w:eastAsia="宋体"/>
          <w:sz w:val="24"/>
        </w:rPr>
        <w:t>（1）理论严谨：基于圆柱遮蔽充要条件定理，将三维表面遮蔽判定降维为二维圆周覆盖判定，在保证精度的同时降低了计算复杂度。</w:t>
      </w:r>
    </w:p>
    <w:p>
      <w:pPr>
        <w:spacing w:line="360" w:lineRule="auto"/>
        <w:ind w:firstLine="420"/>
      </w:pPr>
      <w:r>
        <w:rPr>
          <w:rFonts w:ascii="宋体" w:hAnsi="宋体" w:eastAsia="宋体"/>
          <w:sz w:val="24"/>
        </w:rPr>
        <w:t>（2）精度可控：采用粗扫描定位结合二分法精化的两阶段策略，边界时刻精度可达10⁻⁶ s，远优于固定步长方法。</w:t>
      </w:r>
    </w:p>
    <w:p>
      <w:pPr>
        <w:spacing w:line="360" w:lineRule="auto"/>
        <w:ind w:firstLine="420"/>
      </w:pPr>
      <w:r>
        <w:rPr>
          <w:rFonts w:ascii="宋体" w:hAnsi="宋体" w:eastAsia="宋体"/>
          <w:sz w:val="24"/>
        </w:rPr>
        <w:t>（3）计算高效：线段-球相交判定采用向量化实现，600个采样点的单次判定时间在毫秒量级；全时间窗口扫描结合二分法精化的总计算时间在秒级。</w:t>
      </w:r>
    </w:p>
    <w:p>
      <w:pPr>
        <w:spacing w:line="360" w:lineRule="auto"/>
        <w:ind w:firstLine="420"/>
      </w:pPr>
      <w:r>
        <w:rPr>
          <w:rFonts w:ascii="宋体" w:hAnsi="宋体" w:eastAsia="宋体"/>
          <w:sz w:val="24"/>
        </w:rPr>
        <w:t>（4）结果可靠：与官方参考答案及多篇独立文献结果完全一致，验证了模型的正确性与可复现性。</w:t>
      </w:r>
    </w:p>
    <w:p>
      <w:pPr>
        <w:pStyle w:val="Heading3"/>
      </w:pPr>
      <w:r>
        <w:rPr>
          <w:rFonts w:ascii="黑体" w:hAnsi="黑体" w:eastAsia="黑体"/>
          <w:color w:val="000000"/>
        </w:rPr>
        <w:t>1.9.2 模型局限性</w:t>
      </w:r>
    </w:p>
    <w:p>
      <w:pPr>
        <w:spacing w:line="360" w:lineRule="auto"/>
        <w:ind w:firstLine="420"/>
      </w:pPr>
      <w:r>
        <w:rPr>
          <w:rFonts w:ascii="宋体" w:hAnsi="宋体" w:eastAsia="宋体"/>
          <w:sz w:val="24"/>
        </w:rPr>
        <w:t>（1）本模型假设烟幕云团为理想球体且半径恒定，未考虑云团扩散、风场扰动等环境因素对遮蔽效果的影响。</w:t>
      </w:r>
    </w:p>
    <w:p>
      <w:pPr>
        <w:spacing w:line="360" w:lineRule="auto"/>
        <w:ind w:firstLine="420"/>
      </w:pPr>
      <w:r>
        <w:rPr>
          <w:rFonts w:ascii="宋体" w:hAnsi="宋体" w:eastAsia="宋体"/>
          <w:sz w:val="24"/>
        </w:rPr>
        <w:t>（2）本模型假设导弹沿固定轨迹匀速飞行，未考虑导弹进行机动规避或采用多模制导（如红外/雷达复合制导）时的遮蔽有效性变化。</w:t>
      </w:r>
    </w:p>
    <w:p>
      <w:pPr>
        <w:spacing w:line="360" w:lineRule="auto"/>
        <w:ind w:firstLine="420"/>
      </w:pPr>
      <w:r>
        <w:rPr>
          <w:rFonts w:ascii="宋体" w:hAnsi="宋体" w:eastAsia="宋体"/>
          <w:sz w:val="24"/>
        </w:rPr>
        <w:t>（3）本模型针对单枚烟幕弹、单枚导弹的场景建立，对于多弹协同、多导弹同时来袭的场景，需在此基础上扩展区间并集计算与任务分配优化。</w:t>
      </w:r>
    </w:p>
    <w:p>
      <w:pPr>
        <w:pStyle w:val="Heading3"/>
      </w:pPr>
      <w:r>
        <w:rPr>
          <w:rFonts w:ascii="黑体" w:hAnsi="黑体" w:eastAsia="黑体"/>
          <w:color w:val="000000"/>
        </w:rPr>
        <w:t>1.9.3 后续工作方向</w:t>
      </w:r>
    </w:p>
    <w:p>
      <w:pPr>
        <w:spacing w:line="360" w:lineRule="auto"/>
        <w:ind w:firstLine="420"/>
      </w:pPr>
      <w:r>
        <w:rPr>
          <w:rFonts w:ascii="宋体" w:hAnsi="宋体" w:eastAsia="宋体"/>
          <w:sz w:val="24"/>
        </w:rPr>
        <w:t>（1）在本模型基础上扩展多枚烟幕弹的有效遮蔽区间并集计算，为问题三的多弹协同优化提供评价函数。</w:t>
      </w:r>
    </w:p>
    <w:p>
      <w:pPr>
        <w:spacing w:line="360" w:lineRule="auto"/>
        <w:ind w:firstLine="420"/>
      </w:pPr>
      <w:r>
        <w:rPr>
          <w:rFonts w:ascii="宋体" w:hAnsi="宋体" w:eastAsia="宋体"/>
          <w:sz w:val="24"/>
        </w:rPr>
        <w:t>（2）引入烟幕云团扩散模型和风场扰动模型，提升遮蔽判定的物理真实性。</w:t>
      </w:r>
    </w:p>
    <w:p>
      <w:pPr>
        <w:spacing w:line="360" w:lineRule="auto"/>
        <w:ind w:firstLine="420"/>
      </w:pPr>
      <w:r>
        <w:rPr>
          <w:rFonts w:ascii="宋体" w:hAnsi="宋体" w:eastAsia="宋体"/>
          <w:sz w:val="24"/>
        </w:rPr>
        <w:t>（3）将本模型的评价函数嵌入粒子群优化、差分进化等智能优化算法，求解多无人机多弹协同投放的最优策略。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