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公（治）查财字〔2024〕2253号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虞城通商村镇银行股份有限公司、青岛银行、保定银行股份有限公司、西安银行、上海农村商业银行股份有限公司、江苏长江商业银行股份有限公司、九江银行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3684270</wp:posOffset>
                  </wp:positionH>
                  <wp:positionV relativeFrom="paragraph">
                    <wp:posOffset>2230120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虞城通商村镇银行股份有限公司623174753011719815等1张银行卡、青岛银行6231700680000597085等6张银行卡、保定银行股份有限公司6231683001000009123等10张银行卡、西安银行623165029242471232等2张银行卡、上海农村商业银行股份有限公司6231626032000269409等139张银行卡、江苏长江商业银行股份有限公司6231500002401112等1张银行卡、九江银行6231465300000561263等6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41007E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352</Words>
  <Characters>493</Characters>
  <Lines>9</Lines>
  <Paragraphs>2</Paragraphs>
  <TotalTime>7</TotalTime>
  <ScaleCrop>false</ScaleCrop>
  <LinksUpToDate>false</LinksUpToDate>
  <CharactersWithSpaces>780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2024-08-29T11:23:20Z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