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公（治）查财字〔2024〕2260号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湖北省农村信用合作社联社、山西省农村信用社联合社、攀枝花市商业银行、台州银行股份有限公司、东莞农村商业银行股份有限公司、福建省农村信用社联合社、深圳农村商业银行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3715385</wp:posOffset>
                  </wp:positionH>
                  <wp:positionV relativeFrom="paragraph">
                    <wp:posOffset>2498725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湖北省农村信用合作社联社6230555111006401等293张银行卡、山西省农村信用社联合社6230516603100253587等102张银行卡、攀枝花市商业银行6230486600001294930等1张银行卡、台州银行股份有限公司6230399991054633181等20张银行卡、东莞农村商业银行股份有限公司6230388810022626783等4张银行卡、福建省农村信用社联合社6230366607000010691等94张银行卡、深圳农村商业银行6230354300344066等5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16F2413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515</Characters>
  <Lines>9</Lines>
  <Paragraphs>2</Paragraphs>
  <TotalTime>7</TotalTime>
  <ScaleCrop>false</ScaleCrop>
  <LinksUpToDate>false</LinksUpToDate>
  <CharactersWithSpaces>802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2024-08-29T11:23:55Z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