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公（治）查财字〔2024〕2265号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珠海华润银行股份有限公司、广西北部湾银行、广东省农村信用社联合社、山东省农村信用社联合社、浙商银行股份有限公司、江西银行股份有限公司、广东南海农村商业银行股份有限公司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3688715</wp:posOffset>
                  </wp:positionH>
                  <wp:positionV relativeFrom="paragraph">
                    <wp:posOffset>2538095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珠海华润银行股份有限公司6223636801000640768等5张银行卡、广西北部湾银行6223356605066509等9张银行卡、广东省农村信用社联合社6223226029436697等187张银行卡、山东省农村信用社联合社6223203458609441等120张银行卡、浙商银行股份有限公司6223096900010547378等23张银行卡、江西银行股份有限公司6222759533728887等18张银行卡、广东南海农村商业银行股份有限公司622271113202941385等1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05C4227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378</Words>
  <Characters>514</Characters>
  <Lines>9</Lines>
  <Paragraphs>2</Paragraphs>
  <TotalTime>7</TotalTime>
  <ScaleCrop>false</ScaleCrop>
  <LinksUpToDate>false</LinksUpToDate>
  <CharactersWithSpaces>801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2024-08-29T11:24:39Z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