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公（治）查财字〔2024〕2266号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上海银行、交通银行股份有限公司、内蒙古银行、北京农村商业银行、嘉兴银行股份有限公司、南京银行股份有限公司、徽商银行股份有限公司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3697605</wp:posOffset>
                  </wp:positionH>
                  <wp:positionV relativeFrom="paragraph">
                    <wp:posOffset>2216150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上海银行622267110018435228等100张银行卡、交通银行股份有限公司6222629530010817980等376张银行卡、内蒙古银行6221470010500474529等6张银行卡、北京农村商业银行6221386152037680492等17张银行卡、嘉兴银行股份有限公司6221321110717949等4张银行卡、南京银行股份有限公司6217772422185074等14张银行卡、徽商银行股份有限公司6217758312002435045等28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9B82AEC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338</Words>
  <Characters>481</Characters>
  <Lines>9</Lines>
  <Paragraphs>2</Paragraphs>
  <TotalTime>7</TotalTime>
  <ScaleCrop>false</ScaleCrop>
  <LinksUpToDate>false</LinksUpToDate>
  <CharactersWithSpaces>768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2024-08-29T11:24:45Z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