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公（治）查财字〔2024〕2269号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文山砚山长江村镇银行股份有限公司、茂名高州长江村镇银行股份有限公司、阳江阳春长江村镇银行股份有限公司、茂名电白长江村镇银行股份有限公司、潮州潮安长江村镇银行股份有限公司、长春双阳吉银村镇银行股份有限公司、东营莱商村镇银行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3759835</wp:posOffset>
                  </wp:positionH>
                  <wp:positionV relativeFrom="paragraph">
                    <wp:posOffset>2640965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文山砚山长江村镇银行股份有限公司6216760300100099316等1张银行卡、茂名高州长江村镇银行股份有限公司6216760250100183034等9张银行卡、阳江阳春长江村镇银行股份有限公司6216760230100175669等1张银行卡、茂名电白长江村镇银行股份有限公司6216760130100894675等17张银行卡、潮州潮安长江村镇银行股份有限公司6216760080100247442等3张银行卡、长春双阳吉银村镇银行股份有限公司6216593200000147996等1张银行卡、东营莱商村镇银行6216566600000478635等1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9097FE0"/>
    <w:rsid w:val="099B402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401C6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432</Words>
  <Characters>576</Characters>
  <Lines>9</Lines>
  <Paragraphs>2</Paragraphs>
  <TotalTime>7</TotalTime>
  <ScaleCrop>false</ScaleCrop>
  <LinksUpToDate>false</LinksUpToDate>
  <CharactersWithSpaces>863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2024-08-29T11:25:08Z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