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第五册《Design System（组件规范）》V1.0</w:t>
      </w:r>
    </w:p>
    <w:p>
      <w:r>
        <w:t>AI影视企业经营管理系统（EMS）设计系统规范</w:t>
        <w:br/>
        <w:t>适用于：产品、UI、前端开发</w:t>
      </w:r>
    </w:p>
    <w:p>
      <w:pPr>
        <w:pStyle w:val="Heading2"/>
      </w:pPr>
      <w:r>
        <w:t>1. Design System目标</w:t>
      </w:r>
    </w:p>
    <w:p>
      <w:pPr>
        <w:pStyle w:val="ListBullet"/>
      </w:pPr>
      <w:r>
        <w:t>统一所有页面视觉与交互，保证一致性。</w:t>
      </w:r>
    </w:p>
    <w:p>
      <w:pPr>
        <w:pStyle w:val="ListBullet"/>
      </w:pPr>
      <w:r>
        <w:t>建立可复用组件库，提高研发效率。</w:t>
      </w:r>
    </w:p>
    <w:p>
      <w:pPr>
        <w:pStyle w:val="ListBullet"/>
      </w:pPr>
      <w:r>
        <w:t>支持PC（1440px）优先，同时兼容移动端。</w:t>
      </w:r>
    </w:p>
    <w:p>
      <w:pPr>
        <w:pStyle w:val="Heading2"/>
      </w:pPr>
      <w:r>
        <w:t>2. 页面布局规范</w:t>
      </w:r>
    </w:p>
    <w:p>
      <w:pPr>
        <w:pStyle w:val="ListBullet"/>
      </w:pPr>
      <w:r>
        <w:t>左侧：固定导航（240px）。</w:t>
      </w:r>
    </w:p>
    <w:p>
      <w:pPr>
        <w:pStyle w:val="ListBullet"/>
      </w:pPr>
      <w:r>
        <w:t>顶部：全局导航、搜索、消息、个人中心。</w:t>
      </w:r>
    </w:p>
    <w:p>
      <w:pPr>
        <w:pStyle w:val="ListBullet"/>
      </w:pPr>
      <w:r>
        <w:t>内容区：卡片化布局，12列栅格。</w:t>
      </w:r>
    </w:p>
    <w:p>
      <w:pPr>
        <w:pStyle w:val="ListBullet"/>
      </w:pPr>
      <w:r>
        <w:t>统一页面间距：24px；卡片内边距：20px；圆角：12px。</w:t>
      </w:r>
    </w:p>
    <w:p>
      <w:pPr>
        <w:pStyle w:val="Heading2"/>
      </w:pPr>
      <w:r>
        <w:t>3. 颜色规范</w:t>
      </w:r>
    </w:p>
    <w:p>
      <w:pPr>
        <w:pStyle w:val="ListBullet"/>
      </w:pPr>
      <w:r>
        <w:t>主色：品牌蓝（Primary）。</w:t>
      </w:r>
    </w:p>
    <w:p>
      <w:pPr>
        <w:pStyle w:val="ListBullet"/>
      </w:pPr>
      <w:r>
        <w:t>成功：绿色（Success）。</w:t>
      </w:r>
    </w:p>
    <w:p>
      <w:pPr>
        <w:pStyle w:val="ListBullet"/>
      </w:pPr>
      <w:r>
        <w:t>警告：橙色（Warning）。</w:t>
      </w:r>
    </w:p>
    <w:p>
      <w:pPr>
        <w:pStyle w:val="ListBullet"/>
      </w:pPr>
      <w:r>
        <w:t>危险：红色（Danger）。</w:t>
      </w:r>
    </w:p>
    <w:p>
      <w:pPr>
        <w:pStyle w:val="ListBullet"/>
      </w:pPr>
      <w:r>
        <w:t>信息：灰蓝色（Info）。</w:t>
      </w:r>
    </w:p>
    <w:p>
      <w:pPr>
        <w:pStyle w:val="ListBullet"/>
      </w:pPr>
      <w:r>
        <w:t>背景：浅灰；卡片：白色。</w:t>
      </w:r>
    </w:p>
    <w:p>
      <w:pPr>
        <w:pStyle w:val="Heading2"/>
      </w:pPr>
      <w:r>
        <w:t>4. 字体规范</w:t>
      </w:r>
    </w:p>
    <w:p>
      <w:pPr>
        <w:pStyle w:val="ListBullet"/>
      </w:pPr>
      <w:r>
        <w:t>标题：24/20/18px。</w:t>
      </w:r>
    </w:p>
    <w:p>
      <w:pPr>
        <w:pStyle w:val="ListBullet"/>
      </w:pPr>
      <w:r>
        <w:t>正文：14/16px。</w:t>
      </w:r>
    </w:p>
    <w:p>
      <w:pPr>
        <w:pStyle w:val="ListBullet"/>
      </w:pPr>
      <w:r>
        <w:t>说明文字：12px。</w:t>
      </w:r>
    </w:p>
    <w:p>
      <w:pPr>
        <w:pStyle w:val="ListBullet"/>
      </w:pPr>
      <w:r>
        <w:t>数字指标采用等宽数字样式。</w:t>
      </w:r>
    </w:p>
    <w:p>
      <w:pPr>
        <w:pStyle w:val="Heading2"/>
      </w:pPr>
      <w:r>
        <w:t>5. 通用组件</w:t>
      </w:r>
    </w:p>
    <w:p>
      <w:pPr>
        <w:pStyle w:val="ListBullet"/>
      </w:pPr>
      <w:r>
        <w:t>按钮（主按钮、次按钮、危险按钮、文本按钮）。</w:t>
      </w:r>
    </w:p>
    <w:p>
      <w:pPr>
        <w:pStyle w:val="ListBullet"/>
      </w:pPr>
      <w:r>
        <w:t>输入框、搜索框、下拉框、日期选择器。</w:t>
      </w:r>
    </w:p>
    <w:p>
      <w:pPr>
        <w:pStyle w:val="ListBullet"/>
      </w:pPr>
      <w:r>
        <w:t>标签(Tag)、徽章(Badge)、头像(Avatar)。</w:t>
      </w:r>
    </w:p>
    <w:p>
      <w:pPr>
        <w:pStyle w:val="ListBullet"/>
      </w:pPr>
      <w:r>
        <w:t>卡片(Card)、抽屉(Drawer)、弹窗(Dialog)。</w:t>
      </w:r>
    </w:p>
    <w:p>
      <w:pPr>
        <w:pStyle w:val="ListBullet"/>
      </w:pPr>
      <w:r>
        <w:t>步骤条(Steps)、分页(Pagination)、Tabs。</w:t>
      </w:r>
    </w:p>
    <w:p>
      <w:pPr>
        <w:pStyle w:val="Heading2"/>
      </w:pPr>
      <w:r>
        <w:t>6. 业务组件</w:t>
      </w:r>
    </w:p>
    <w:p>
      <w:pPr>
        <w:pStyle w:val="ListBullet"/>
      </w:pPr>
      <w:r>
        <w:t>绩效卡片（KPI、OKR、Leader评分）。</w:t>
      </w:r>
    </w:p>
    <w:p>
      <w:pPr>
        <w:pStyle w:val="ListBullet"/>
      </w:pPr>
      <w:r>
        <w:t>任务卡片（待办、进行中、已完成）。</w:t>
      </w:r>
    </w:p>
    <w:p>
      <w:pPr>
        <w:pStyle w:val="ListBullet"/>
      </w:pPr>
      <w:r>
        <w:t>项目卡片（剧集状态、负责人、进度）。</w:t>
      </w:r>
    </w:p>
    <w:p>
      <w:pPr>
        <w:pStyle w:val="ListBullet"/>
      </w:pPr>
      <w:r>
        <w:t>AI建议卡片。</w:t>
      </w:r>
    </w:p>
    <w:p>
      <w:pPr>
        <w:pStyle w:val="ListBullet"/>
      </w:pPr>
      <w:r>
        <w:t>排行榜卡片。</w:t>
      </w:r>
    </w:p>
    <w:p>
      <w:pPr>
        <w:pStyle w:val="ListBullet"/>
      </w:pPr>
      <w:r>
        <w:t>风险预警卡片。</w:t>
      </w:r>
    </w:p>
    <w:p>
      <w:pPr>
        <w:pStyle w:val="Heading2"/>
      </w:pPr>
      <w:r>
        <w:t>7. 图表组件</w:t>
      </w:r>
    </w:p>
    <w:p>
      <w:pPr>
        <w:pStyle w:val="ListBullet"/>
      </w:pPr>
      <w:r>
        <w:t>折线图（趋势）。</w:t>
      </w:r>
    </w:p>
    <w:p>
      <w:pPr>
        <w:pStyle w:val="ListBullet"/>
      </w:pPr>
      <w:r>
        <w:t>柱状图（对比）。</w:t>
      </w:r>
    </w:p>
    <w:p>
      <w:pPr>
        <w:pStyle w:val="ListBullet"/>
      </w:pPr>
      <w:r>
        <w:t>环形图（完成率）。</w:t>
      </w:r>
    </w:p>
    <w:p>
      <w:pPr>
        <w:pStyle w:val="ListBullet"/>
      </w:pPr>
      <w:r>
        <w:t>雷达图（能力模型）。</w:t>
      </w:r>
    </w:p>
    <w:p>
      <w:pPr>
        <w:pStyle w:val="ListBullet"/>
      </w:pPr>
      <w:r>
        <w:t>漏斗图（招聘、转化）。</w:t>
      </w:r>
    </w:p>
    <w:p>
      <w:pPr>
        <w:pStyle w:val="ListBullet"/>
      </w:pPr>
      <w:r>
        <w:t>甘特图（项目管理）。</w:t>
      </w:r>
    </w:p>
    <w:p>
      <w:pPr>
        <w:pStyle w:val="Heading2"/>
      </w:pPr>
      <w:r>
        <w:t>8. 表格规范</w:t>
      </w:r>
    </w:p>
    <w:p>
      <w:pPr>
        <w:pStyle w:val="ListBullet"/>
      </w:pPr>
      <w:r>
        <w:t>支持固定表头、排序、筛选、搜索。</w:t>
      </w:r>
    </w:p>
    <w:p>
      <w:pPr>
        <w:pStyle w:val="ListBullet"/>
      </w:pPr>
      <w:r>
        <w:t>支持列显示隐藏。</w:t>
      </w:r>
    </w:p>
    <w:p>
      <w:pPr>
        <w:pStyle w:val="ListBullet"/>
      </w:pPr>
      <w:r>
        <w:t>支持批量操作。</w:t>
      </w:r>
    </w:p>
    <w:p>
      <w:pPr>
        <w:pStyle w:val="ListBullet"/>
      </w:pPr>
      <w:r>
        <w:t>支持导出Excel。</w:t>
      </w:r>
    </w:p>
    <w:p>
      <w:pPr>
        <w:pStyle w:val="Heading2"/>
      </w:pPr>
      <w:r>
        <w:t>9. 状态规范</w:t>
      </w:r>
    </w:p>
    <w:p>
      <w:pPr>
        <w:pStyle w:val="ListBullet"/>
      </w:pPr>
      <w:r>
        <w:t>进行中：蓝色。</w:t>
      </w:r>
    </w:p>
    <w:p>
      <w:pPr>
        <w:pStyle w:val="ListBullet"/>
      </w:pPr>
      <w:r>
        <w:t>已完成：绿色。</w:t>
      </w:r>
    </w:p>
    <w:p>
      <w:pPr>
        <w:pStyle w:val="ListBullet"/>
      </w:pPr>
      <w:r>
        <w:t>待审核：黄色。</w:t>
      </w:r>
    </w:p>
    <w:p>
      <w:pPr>
        <w:pStyle w:val="ListBullet"/>
      </w:pPr>
      <w:r>
        <w:t>延期：红色。</w:t>
      </w:r>
    </w:p>
    <w:p>
      <w:pPr>
        <w:pStyle w:val="ListBullet"/>
      </w:pPr>
      <w:r>
        <w:t>已驳回：灰色。</w:t>
      </w:r>
    </w:p>
    <w:p>
      <w:pPr>
        <w:pStyle w:val="Heading2"/>
      </w:pPr>
      <w:r>
        <w:t>10. 图标规范</w:t>
      </w:r>
    </w:p>
    <w:p>
      <w:pPr>
        <w:pStyle w:val="ListBullet"/>
      </w:pPr>
      <w:r>
        <w:t>统一使用线性图标。</w:t>
      </w:r>
    </w:p>
    <w:p>
      <w:pPr>
        <w:pStyle w:val="ListBullet"/>
      </w:pPr>
      <w:r>
        <w:t>同一模块保持图标风格一致。</w:t>
      </w:r>
    </w:p>
    <w:p>
      <w:pPr>
        <w:pStyle w:val="ListBullet"/>
      </w:pPr>
      <w:r>
        <w:t>重要操作配图标+文字。</w:t>
      </w:r>
    </w:p>
    <w:p>
      <w:pPr>
        <w:pStyle w:val="Heading2"/>
      </w:pPr>
      <w:r>
        <w:t>11. 交互规范</w:t>
      </w:r>
    </w:p>
    <w:p>
      <w:pPr>
        <w:pStyle w:val="ListBullet"/>
      </w:pPr>
      <w:r>
        <w:t>点击卡片进入详情。</w:t>
      </w:r>
    </w:p>
    <w:p>
      <w:pPr>
        <w:pStyle w:val="ListBullet"/>
      </w:pPr>
      <w:r>
        <w:t>所有列表支持快捷搜索。</w:t>
      </w:r>
    </w:p>
    <w:p>
      <w:pPr>
        <w:pStyle w:val="ListBullet"/>
      </w:pPr>
      <w:r>
        <w:t>关键操作二次确认。</w:t>
      </w:r>
    </w:p>
    <w:p>
      <w:pPr>
        <w:pStyle w:val="ListBullet"/>
      </w:pPr>
      <w:r>
        <w:t>支持面包屑导航。</w:t>
      </w:r>
    </w:p>
    <w:p>
      <w:pPr>
        <w:pStyle w:val="ListBullet"/>
      </w:pPr>
      <w:r>
        <w:t>支持右键快捷菜单（PC）。</w:t>
      </w:r>
    </w:p>
    <w:p>
      <w:pPr>
        <w:pStyle w:val="Heading2"/>
      </w:pPr>
      <w:r>
        <w:t>12. 响应式规范</w:t>
      </w:r>
    </w:p>
    <w:p>
      <w:pPr>
        <w:pStyle w:val="ListBullet"/>
      </w:pPr>
      <w:r>
        <w:t>1440px为标准设计稿。</w:t>
      </w:r>
    </w:p>
    <w:p>
      <w:pPr>
        <w:pStyle w:val="ListBullet"/>
      </w:pPr>
      <w:r>
        <w:t>1920px自适应扩展。</w:t>
      </w:r>
    </w:p>
    <w:p>
      <w:pPr>
        <w:pStyle w:val="ListBullet"/>
      </w:pPr>
      <w:r>
        <w:t>Pad端保留核心模块。</w:t>
      </w:r>
    </w:p>
    <w:p>
      <w:pPr>
        <w:pStyle w:val="ListBullet"/>
      </w:pPr>
      <w:r>
        <w:t>移动端保留工作台、任务、审批、绩效。</w:t>
      </w:r>
    </w:p>
    <w:p>
      <w:pPr>
        <w:pStyle w:val="Heading2"/>
      </w:pPr>
      <w:r>
        <w:t>13. 页面模板</w:t>
      </w:r>
    </w:p>
    <w:p>
      <w:pPr>
        <w:pStyle w:val="ListBullet"/>
      </w:pPr>
      <w:r>
        <w:t>员工工作台</w:t>
      </w:r>
    </w:p>
    <w:p>
      <w:pPr>
        <w:pStyle w:val="ListBullet"/>
      </w:pPr>
      <w:r>
        <w:t>Leader工作台</w:t>
      </w:r>
    </w:p>
    <w:p>
      <w:pPr>
        <w:pStyle w:val="ListBullet"/>
      </w:pPr>
      <w:r>
        <w:t>HR工作台</w:t>
      </w:r>
    </w:p>
    <w:p>
      <w:pPr>
        <w:pStyle w:val="ListBullet"/>
      </w:pPr>
      <w:r>
        <w:t>CEO经营驾驶舱</w:t>
      </w:r>
    </w:p>
    <w:p>
      <w:pPr>
        <w:pStyle w:val="ListBullet"/>
      </w:pPr>
      <w:r>
        <w:t>项目详情页</w:t>
      </w:r>
    </w:p>
    <w:p>
      <w:pPr>
        <w:pStyle w:val="ListBullet"/>
      </w:pPr>
      <w:r>
        <w:t>绩效详情页</w:t>
      </w:r>
    </w:p>
    <w:p>
      <w:pPr>
        <w:pStyle w:val="ListBullet"/>
      </w:pPr>
      <w:r>
        <w:t>周报页面</w:t>
      </w:r>
    </w:p>
    <w:p>
      <w:pPr>
        <w:pStyle w:val="ListBullet"/>
      </w:pPr>
      <w:r>
        <w:t>系统配置页面</w:t>
      </w:r>
    </w:p>
    <w:p>
      <w:pPr>
        <w:pStyle w:val="Heading2"/>
      </w:pPr>
      <w:r>
        <w:t>14. 开发规范</w:t>
      </w:r>
    </w:p>
    <w:p>
      <w:pPr>
        <w:pStyle w:val="ListBullet"/>
      </w:pPr>
      <w:r>
        <w:t>所有组件统一命名。</w:t>
      </w:r>
    </w:p>
    <w:p>
      <w:pPr>
        <w:pStyle w:val="ListBullet"/>
      </w:pPr>
      <w:r>
        <w:t>组件支持主题切换。</w:t>
      </w:r>
    </w:p>
    <w:p>
      <w:pPr>
        <w:pStyle w:val="ListBullet"/>
      </w:pPr>
      <w:r>
        <w:t>业务组件禁止重复开发。</w:t>
      </w:r>
    </w:p>
    <w:p>
      <w:pPr>
        <w:pStyle w:val="ListBullet"/>
      </w:pPr>
      <w:r>
        <w:t>组件库版本统一维护。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