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B1B2B"/>
          <w:sz w:val="56"/>
        </w:rPr>
        <w:t>THE DILLON ARCHITECTURE</w:t>
      </w:r>
    </w:p>
    <w:p>
      <w:pPr>
        <w:jc w:val="center"/>
      </w:pPr>
      <w:r>
        <w:rPr>
          <w:rFonts w:ascii="Georgia" w:hAnsi="Georgia"/>
          <w:b/>
          <w:color w:val="0B1B2B"/>
          <w:sz w:val="48"/>
        </w:rPr>
        <w:t>Canonical Constitution</w:t>
      </w:r>
    </w:p>
    <w:p>
      <w:pPr>
        <w:jc w:val="center"/>
      </w:pPr>
      <w:r>
        <w:rPr>
          <w:b/>
          <w:color w:val="C9A227"/>
          <w:sz w:val="32"/>
        </w:rPr>
        <w:t>Version 1.0</w:t>
      </w:r>
    </w:p>
    <w:p>
      <w:pPr>
        <w:jc w:val="center"/>
      </w:pPr>
      <w:r>
        <w:rPr>
          <w:i/>
          <w:color w:val="505050"/>
          <w:sz w:val="24"/>
        </w:rPr>
        <w:t>Source-of-Truth Anchor for the Dillon Architecture Canon</w:t>
      </w:r>
    </w:p>
    <w:p>
      <w:pPr>
        <w:jc w:val="center"/>
      </w:pPr>
      <w:r>
        <w:rPr>
          <w:sz w:val="24"/>
        </w:rPr>
        <w:br/>
        <w:t>Timothy J. Dillon</w:t>
        <w:br/>
        <w:t>Founder &amp; Chief Inventor</w:t>
        <w:br/>
        <w:t>206 Innovation Inc.</w:t>
        <w:br/>
        <w:t>Bellevue, Washington</w:t>
        <w:br/>
        <w:t>2026</w:t>
      </w:r>
    </w:p>
    <w:p>
      <w:pPr>
        <w:jc w:val="center"/>
      </w:pPr>
      <w:r>
        <w:rPr>
          <w:b/>
          <w:color w:val="C9A227"/>
          <w:sz w:val="22"/>
        </w:rPr>
        <w:br/>
        <w:t>CONSTITUTIONAL REFERENCE EDITION</w:t>
      </w:r>
    </w:p>
    <w:p>
      <w:pPr>
        <w:jc w:val="center"/>
      </w:pPr>
      <w:r>
        <w:rPr>
          <w:sz w:val="21"/>
        </w:rPr>
        <w:br/>
        <w:t>This Constitution governs the canonical definitions, equation register, evidence doctrine, platform registry, volume structure, claim-status framework, and amendment process for the Dillon Architecture.</w:t>
      </w:r>
    </w:p>
    <w:p>
      <w:r>
        <w:br w:type="page"/>
      </w:r>
    </w:p>
    <w:p>
      <w:pPr>
        <w:pStyle w:val="DAArticle"/>
        <w:pBdr>
          <w:top w:val="single" w:sz="8" w:space="1" w:color="C9A227"/>
        </w:pBdr>
      </w:pPr>
      <w:r>
        <w:t>PREAMBLE</w:t>
      </w:r>
    </w:p>
    <w:p>
      <w:pPr>
        <w:pStyle w:val="DABody"/>
      </w:pPr>
      <w:r>
        <w:t>The Dillon Architecture is a unified framework intended to organize mathematics, propagation, information, coherence, verification, deployment, and meaning into a coherent architectural system.</w:t>
      </w:r>
    </w:p>
    <w:p>
      <w:pPr>
        <w:pStyle w:val="DABody"/>
      </w:pPr>
      <w:r>
        <w:t>The purpose of this Constitution is to preserve continuity, consistency, traceability, and architectural integrity across all future volumes, papers, simulations, repositories, patents, presentations, and derivative works.</w:t>
      </w:r>
    </w:p>
    <w:p>
      <w:pPr>
        <w:pStyle w:val="DABody"/>
      </w:pPr>
      <w:r>
        <w:t>This document serves as the source-of-truth anchor beneath the Canon Stewardship Charter and above the seven-volume Dillon Architecture Library.</w:t>
      </w:r>
    </w:p>
    <w:p>
      <w:pPr>
        <w:pStyle w:val="DAArticle"/>
      </w:pPr>
      <w:r>
        <w:t>ARTICLE I</w:t>
        <w:br/>
        <w:t>Canonical Mission</w:t>
      </w:r>
    </w:p>
    <w:p>
      <w:pPr>
        <w:pStyle w:val="DABody"/>
      </w:pPr>
      <w:r>
        <w:t>The mission of the Dillon Architecture is to discover, model, verify, and deploy structural solutions through geometry, propagation, coherence, prediction, and evidence.</w:t>
      </w:r>
    </w:p>
    <w:p>
      <w:pPr>
        <w:pStyle w:val="DABody"/>
      </w:pPr>
      <w:r>
        <w:t>The architecture seeks to reveal hidden structure, improve prediction, preserve evidence, increase resilience, restore coherence, and enable responsible deployment.</w:t>
      </w:r>
    </w:p>
    <w:p>
      <w:pPr>
        <w:pStyle w:val="DAArticle"/>
      </w:pPr>
      <w:r>
        <w:t>ARTICLE II</w:t>
        <w:br/>
        <w:t>Foundational Principles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1B2B"/>
          </w:tcPr>
          <w:p>
            <w:r/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5040"/>
            <w:shd w:fill="0B1B2B"/>
          </w:tcPr>
          <w:p>
            <w:r/>
            <w:r>
              <w:rPr>
                <w:b/>
                <w:color w:val="FFFFFF"/>
                <w:sz w:val="20"/>
              </w:rPr>
              <w:t>Canonical Statement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1</w:t>
            </w:r>
          </w:p>
        </w:tc>
        <w:tc>
          <w:tcPr>
            <w:tcW w:type="dxa" w:w="5040"/>
            <w:shd w:fill="F7F4EA"/>
          </w:tcPr>
          <w:p>
            <w:r/>
            <w:r>
              <w:rPr>
                <w:b w:val="0"/>
                <w:color w:val="111111"/>
                <w:sz w:val="20"/>
              </w:rPr>
              <w:t>Structure precedes explanation.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2</w:t>
            </w:r>
          </w:p>
        </w:tc>
        <w:tc>
          <w:tcPr>
            <w:tcW w:type="dxa" w:w="5040"/>
            <w:shd w:fill="F7F4EA"/>
          </w:tcPr>
          <w:p>
            <w:r/>
            <w:r>
              <w:rPr>
                <w:b w:val="0"/>
                <w:color w:val="111111"/>
                <w:sz w:val="20"/>
              </w:rPr>
              <w:t>Geometry conditions propagation.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3</w:t>
            </w:r>
          </w:p>
        </w:tc>
        <w:tc>
          <w:tcPr>
            <w:tcW w:type="dxa" w:w="5040"/>
            <w:shd w:fill="F7F4EA"/>
          </w:tcPr>
          <w:p>
            <w:r/>
            <w:r>
              <w:rPr>
                <w:b w:val="0"/>
                <w:color w:val="111111"/>
                <w:sz w:val="20"/>
              </w:rPr>
              <w:t>Propagation enables coherence.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4</w:t>
            </w:r>
          </w:p>
        </w:tc>
        <w:tc>
          <w:tcPr>
            <w:tcW w:type="dxa" w:w="5040"/>
            <w:shd w:fill="F7F4EA"/>
          </w:tcPr>
          <w:p>
            <w:r/>
            <w:r>
              <w:rPr>
                <w:b w:val="0"/>
                <w:color w:val="111111"/>
                <w:sz w:val="20"/>
              </w:rPr>
              <w:t>Coherence integrates information.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5</w:t>
            </w:r>
          </w:p>
        </w:tc>
        <w:tc>
          <w:tcPr>
            <w:tcW w:type="dxa" w:w="5040"/>
            <w:shd w:fill="F7F4EA"/>
          </w:tcPr>
          <w:p>
            <w:r/>
            <w:r>
              <w:rPr>
                <w:b w:val="0"/>
                <w:color w:val="111111"/>
                <w:sz w:val="20"/>
              </w:rPr>
              <w:t>Integrated information may resolve as awareness.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6</w:t>
            </w:r>
          </w:p>
        </w:tc>
        <w:tc>
          <w:tcPr>
            <w:tcW w:type="dxa" w:w="5040"/>
            <w:shd w:fill="F7F4EA"/>
          </w:tcPr>
          <w:p>
            <w:r/>
            <w:r>
              <w:rPr>
                <w:b w:val="0"/>
                <w:color w:val="111111"/>
                <w:sz w:val="20"/>
              </w:rPr>
              <w:t>Verification is part of the architecture.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7</w:t>
            </w:r>
          </w:p>
        </w:tc>
        <w:tc>
          <w:tcPr>
            <w:tcW w:type="dxa" w:w="5040"/>
            <w:shd w:fill="F7F4EA"/>
          </w:tcPr>
          <w:p>
            <w:r/>
            <w:r>
              <w:rPr>
                <w:b w:val="0"/>
                <w:color w:val="111111"/>
                <w:sz w:val="20"/>
              </w:rPr>
              <w:t>Evidence outranks authority.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8</w:t>
            </w:r>
          </w:p>
        </w:tc>
        <w:tc>
          <w:tcPr>
            <w:tcW w:type="dxa" w:w="5040"/>
            <w:shd w:fill="F7F4EA"/>
          </w:tcPr>
          <w:p>
            <w:r/>
            <w:r>
              <w:rPr>
                <w:b w:val="0"/>
                <w:color w:val="111111"/>
                <w:sz w:val="20"/>
              </w:rPr>
              <w:t>Claims require traceability.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9</w:t>
            </w:r>
          </w:p>
        </w:tc>
        <w:tc>
          <w:tcPr>
            <w:tcW w:type="dxa" w:w="5040"/>
            <w:shd w:fill="F7F4EA"/>
          </w:tcPr>
          <w:p>
            <w:r/>
            <w:r>
              <w:rPr>
                <w:b w:val="0"/>
                <w:color w:val="111111"/>
                <w:sz w:val="20"/>
              </w:rPr>
              <w:t>Deployment requires validation.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10</w:t>
            </w:r>
          </w:p>
        </w:tc>
        <w:tc>
          <w:tcPr>
            <w:tcW w:type="dxa" w:w="5040"/>
            <w:shd w:fill="F7F4EA"/>
          </w:tcPr>
          <w:p>
            <w:r/>
            <w:r>
              <w:rPr>
                <w:b w:val="0"/>
                <w:color w:val="111111"/>
                <w:sz w:val="20"/>
              </w:rPr>
              <w:t>The ultimate objective is restoration of coherence.</w:t>
            </w:r>
          </w:p>
        </w:tc>
      </w:tr>
    </w:tbl>
    <w:p/>
    <w:p>
      <w:pPr>
        <w:pStyle w:val="DAArticle"/>
      </w:pPr>
      <w:r>
        <w:t>ARTICLE III</w:t>
        <w:br/>
        <w:t>Canonical Equations</w:t>
      </w:r>
    </w:p>
    <w:p>
      <w:pPr>
        <w:pStyle w:val="DABody"/>
      </w:pPr>
      <w:r>
        <w:t>The following equations constitute the Canonical Equation Register and shall be used consistently across future works.</w:t>
      </w:r>
    </w:p>
    <w:p>
      <w:pPr>
        <w:pStyle w:val="DACaption"/>
      </w:pPr>
      <w:r>
        <w:rPr>
          <w:b/>
        </w:rPr>
        <w:t>Dillon Equation</w:t>
      </w:r>
    </w:p>
    <w:p>
      <w:pPr>
        <w:jc w:val="center"/>
      </w:pPr>
      <w:r>
        <w:rPr>
          <w:rFonts w:ascii="Cambria Math" w:hAnsi="Cambria Math"/>
          <w:b/>
          <w:color w:val="0B1B2B"/>
          <w:sz w:val="26"/>
        </w:rPr>
        <w:t>c_eff = f(K, R, ∇K, ∂_tK)</w:t>
      </w:r>
    </w:p>
    <w:p>
      <w:pPr>
        <w:pStyle w:val="DACaption"/>
      </w:pPr>
      <w:r>
        <w:rPr>
          <w:b/>
        </w:rPr>
        <w:t>Curvature Variable Physics</w:t>
      </w:r>
    </w:p>
    <w:p>
      <w:pPr>
        <w:jc w:val="center"/>
      </w:pPr>
      <w:r>
        <w:rPr>
          <w:rFonts w:ascii="Cambria Math" w:hAnsi="Cambria Math"/>
          <w:b/>
          <w:color w:val="0B1B2B"/>
          <w:sz w:val="26"/>
        </w:rPr>
        <w:t>C(K) = β₁∂_tK + β₂∇K + β₃∇²K</w:t>
      </w:r>
    </w:p>
    <w:p>
      <w:pPr>
        <w:pStyle w:val="DACaption"/>
      </w:pPr>
      <w:r>
        <w:rPr>
          <w:b/>
        </w:rPr>
        <w:t>Refractive Coherence Velocity</w:t>
      </w:r>
    </w:p>
    <w:p>
      <w:pPr>
        <w:jc w:val="center"/>
      </w:pPr>
      <w:r>
        <w:rPr>
          <w:rFonts w:ascii="Cambria Math" w:hAnsi="Cambria Math"/>
          <w:b/>
          <w:color w:val="0B1B2B"/>
          <w:sz w:val="26"/>
        </w:rPr>
        <w:t>v_c = η_Φ c_eff</w:t>
      </w:r>
    </w:p>
    <w:p>
      <w:pPr>
        <w:pStyle w:val="DACaption"/>
      </w:pPr>
      <w:r>
        <w:rPr>
          <w:b/>
        </w:rPr>
        <w:t>Integrated Coherence</w:t>
      </w:r>
    </w:p>
    <w:p>
      <w:pPr>
        <w:jc w:val="center"/>
      </w:pPr>
      <w:r>
        <w:rPr>
          <w:rFonts w:ascii="Cambria Math" w:hAnsi="Cambria Math"/>
          <w:b/>
          <w:color w:val="0B1B2B"/>
          <w:sz w:val="26"/>
        </w:rPr>
        <w:t>Φ_Dillon = I(K, R, ∇K, ∂_tK, M, S, B, τ)</w:t>
      </w:r>
    </w:p>
    <w:p>
      <w:pPr>
        <w:pStyle w:val="DACaption"/>
      </w:pPr>
      <w:r>
        <w:rPr>
          <w:b/>
        </w:rPr>
        <w:t>Awareness Threshold</w:t>
      </w:r>
    </w:p>
    <w:p>
      <w:pPr>
        <w:jc w:val="center"/>
      </w:pPr>
      <w:r>
        <w:rPr>
          <w:rFonts w:ascii="Cambria Math" w:hAnsi="Cambria Math"/>
          <w:b/>
          <w:color w:val="0B1B2B"/>
          <w:sz w:val="26"/>
        </w:rPr>
        <w:t>Φ_Dillon ≥ Θ_A</w:t>
      </w:r>
    </w:p>
    <w:p>
      <w:pPr>
        <w:pStyle w:val="DACaption"/>
      </w:pPr>
      <w:r>
        <w:rPr>
          <w:b/>
        </w:rPr>
        <w:t>4D Vortex Module</w:t>
      </w:r>
    </w:p>
    <w:p>
      <w:pPr>
        <w:jc w:val="center"/>
      </w:pPr>
      <w:r>
        <w:rPr>
          <w:rFonts w:ascii="Cambria Math" w:hAnsi="Cambria Math"/>
          <w:b/>
          <w:color w:val="0B1B2B"/>
          <w:sz w:val="26"/>
        </w:rPr>
        <w:t>Ω_4D = ∇ × v + ∂v/∂τ</w:t>
      </w:r>
    </w:p>
    <w:p>
      <w:pPr>
        <w:pStyle w:val="DACaption"/>
      </w:pPr>
      <w:r>
        <w:rPr>
          <w:b/>
        </w:rPr>
        <w:t>Omega Calculus</w:t>
      </w:r>
    </w:p>
    <w:p>
      <w:pPr>
        <w:jc w:val="center"/>
        <w:pBdr>
          <w:top w:val="single" w:sz="8" w:space="1" w:color="C9A227"/>
        </w:pBdr>
      </w:pPr>
      <w:r>
        <w:rPr>
          <w:rFonts w:ascii="Aptos" w:hAnsi="Aptos"/>
          <w:b/>
          <w:color w:val="0B1B2B"/>
          <w:sz w:val="20"/>
        </w:rPr>
        <w:t>Measure -&gt; Classify -&gt; Reduce -&gt; Bound -&gt; Predict -&gt; Close -&gt; Heal</w:t>
      </w:r>
    </w:p>
    <w:p/>
    <w:p>
      <w:pPr>
        <w:pStyle w:val="DAArticle"/>
      </w:pPr>
      <w:r>
        <w:t>ARTICLE IV</w:t>
        <w:br/>
        <w:t>Canonical Architecture Stack</w:t>
      </w:r>
    </w:p>
    <w:p>
      <w:pPr>
        <w:pStyle w:val="DACaption"/>
      </w:pPr>
      <w:r>
        <w:rPr>
          <w:b/>
        </w:rPr>
        <w:t>Stack Authority</w:t>
      </w:r>
    </w:p>
    <w:p>
      <w:pPr>
        <w:jc w:val="center"/>
        <w:pBdr>
          <w:top w:val="single" w:sz="8" w:space="1" w:color="C9A227"/>
        </w:pBdr>
      </w:pPr>
      <w:r>
        <w:rPr>
          <w:rFonts w:ascii="Aptos" w:hAnsi="Aptos"/>
          <w:b/>
          <w:color w:val="0B1B2B"/>
          <w:sz w:val="20"/>
        </w:rPr>
        <w:t>Origin Engine -&gt; Architecture Engine -&gt; Omega Calculus -&gt; Verification Layer -&gt; Applied Platforms -&gt; Evidence Archive -&gt; Independent Review -&gt; Deployment</w:t>
      </w:r>
    </w:p>
    <w:p/>
    <w:p>
      <w:pPr>
        <w:pStyle w:val="DABody"/>
      </w:pPr>
      <w:r>
        <w:t>This stack may not be altered without constitutional amendment.</w:t>
      </w:r>
    </w:p>
    <w:p>
      <w:pPr>
        <w:pStyle w:val="DAArticle"/>
      </w:pPr>
      <w:r>
        <w:t>ARTICLE V</w:t>
        <w:br/>
        <w:t>Canonical Volume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1B2B"/>
          </w:tcPr>
          <w:p>
            <w:r/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5040"/>
            <w:shd w:fill="0B1B2B"/>
          </w:tcPr>
          <w:p>
            <w:r/>
            <w:r>
              <w:rPr>
                <w:b/>
                <w:color w:val="FFFFFF"/>
                <w:sz w:val="20"/>
              </w:rPr>
              <w:t>Canonical Scope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Volume I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Foundations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Volume I-A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Figure Atlas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Volume II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Physics &amp; Propagation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Volume III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Information, Coherence &amp; Consciousness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Volume IV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Verification, Computation &amp; Security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Volume V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Energy, Defense &amp; Infrastructure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Volume VI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Applications &amp; Deployment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Volume VII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Logos &amp; Meaning</w:t>
            </w:r>
          </w:p>
        </w:tc>
      </w:tr>
    </w:tbl>
    <w:p/>
    <w:p>
      <w:pPr>
        <w:pStyle w:val="DAArticle"/>
      </w:pPr>
      <w:r>
        <w:t>ARTICLE VI</w:t>
        <w:br/>
        <w:t>Platform Registry</w:t>
      </w:r>
    </w:p>
    <w:p>
      <w:pPr>
        <w:pStyle w:val="DACaption"/>
      </w:pPr>
      <w:r>
        <w:rPr>
          <w:b/>
        </w:rPr>
        <w:t>Scientific Platforms</w:t>
      </w:r>
    </w:p>
    <w:p>
      <w:pPr>
        <w:pStyle w:val="DABody"/>
      </w:pPr>
      <w:r>
        <w:t>Dillon Equation, Curvature Variable Physics, Predictive Geometry, Refractive Coherence Velocity, Omega Calculus</w:t>
      </w:r>
    </w:p>
    <w:p>
      <w:pPr>
        <w:pStyle w:val="DACaption"/>
      </w:pPr>
      <w:r>
        <w:rPr>
          <w:b/>
        </w:rPr>
        <w:t>Verification Platforms</w:t>
      </w:r>
    </w:p>
    <w:p>
      <w:pPr>
        <w:pStyle w:val="DABody"/>
      </w:pPr>
      <w:r>
        <w:t>TEVR™, BCDE™, CodeXView™, CVP Spin Overlay™, Tier-3 Accounting™</w:t>
      </w:r>
    </w:p>
    <w:p>
      <w:pPr>
        <w:pStyle w:val="DACaption"/>
      </w:pPr>
      <w:r>
        <w:rPr>
          <w:b/>
        </w:rPr>
        <w:t>Applied Platforms</w:t>
      </w:r>
    </w:p>
    <w:p>
      <w:pPr>
        <w:pStyle w:val="DABody"/>
      </w:pPr>
      <w:r>
        <w:t>Dillon Energy™, Geodesic Shield™, ChargeRail Mesh™, ODI Mesh™, Dillon Cryptography™, Curvature-Native Finance™, Health &amp; Coherence Systems™, CVP Fusion™</w:t>
      </w:r>
    </w:p>
    <w:p>
      <w:pPr>
        <w:pStyle w:val="DACaption"/>
      </w:pPr>
      <w:r>
        <w:rPr>
          <w:b/>
        </w:rPr>
        <w:t>Commercial Platforms</w:t>
      </w:r>
    </w:p>
    <w:p>
      <w:pPr>
        <w:pStyle w:val="DABody"/>
      </w:pPr>
      <w:r>
        <w:t>You Call The Play™, SportsFan™, Northern Flow™</w:t>
      </w:r>
    </w:p>
    <w:p>
      <w:pPr>
        <w:pStyle w:val="DAArticle"/>
      </w:pPr>
      <w:r>
        <w:t>ARTICLE VII</w:t>
        <w:br/>
        <w:t>Evidence Standard</w:t>
      </w:r>
    </w:p>
    <w:p>
      <w:pPr>
        <w:pStyle w:val="DACaption"/>
      </w:pPr>
      <w:r>
        <w:rPr>
          <w:b/>
        </w:rPr>
        <w:t>Evidence Maturity Progression</w:t>
      </w:r>
    </w:p>
    <w:p>
      <w:pPr>
        <w:jc w:val="center"/>
        <w:pBdr>
          <w:top w:val="single" w:sz="8" w:space="1" w:color="C9A227"/>
        </w:pBdr>
      </w:pPr>
      <w:r>
        <w:rPr>
          <w:rFonts w:ascii="Aptos" w:hAnsi="Aptos"/>
          <w:b/>
          <w:color w:val="0B1B2B"/>
          <w:sz w:val="20"/>
        </w:rPr>
        <w:t>Concept -&gt; Mathematical -&gt; Code Supported -&gt; Public Archive -&gt; Independent Review -&gt; Independent Validation</w:t>
      </w:r>
    </w:p>
    <w:p/>
    <w:p>
      <w:pPr>
        <w:pStyle w:val="DAArticle"/>
      </w:pPr>
      <w:r>
        <w:t>ARTICLE VIII</w:t>
        <w:br/>
        <w:t>Claim Status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1B2B"/>
          </w:tcPr>
          <w:p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5040"/>
            <w:shd w:fill="0B1B2B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Level 1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Conceptual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Level 2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Mathematical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Level 3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Code Supported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Level 4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Public Archive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Level 5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Independent Review</w:t>
            </w:r>
          </w:p>
        </w:tc>
      </w:tr>
      <w:tr>
        <w:tc>
          <w:tcPr>
            <w:tcW w:type="dxa" w:w="5040"/>
            <w:shd w:fill="F7F4EA"/>
          </w:tcPr>
          <w:p>
            <w:r/>
            <w:r>
              <w:rPr>
                <w:b/>
                <w:color w:val="0B1B2B"/>
                <w:sz w:val="20"/>
              </w:rPr>
              <w:t>Level 6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11111"/>
                <w:sz w:val="20"/>
              </w:rPr>
              <w:t>Independent Validation</w:t>
            </w:r>
          </w:p>
        </w:tc>
      </w:tr>
    </w:tbl>
    <w:p>
      <w:pPr>
        <w:pStyle w:val="DAArticle"/>
      </w:pPr>
      <w:r>
        <w:t>ARTICLE IX</w:t>
        <w:br/>
        <w:t>Verification Requirements</w:t>
      </w:r>
    </w:p>
    <w:p>
      <w:pPr>
        <w:pStyle w:val="DACaption"/>
      </w:pPr>
      <w:r>
        <w:rPr>
          <w:b/>
        </w:rPr>
        <w:t>Preferred Verification Stack</w:t>
      </w:r>
    </w:p>
    <w:p>
      <w:pPr>
        <w:jc w:val="center"/>
        <w:pBdr>
          <w:top w:val="single" w:sz="8" w:space="1" w:color="C9A227"/>
        </w:pBdr>
      </w:pPr>
      <w:r>
        <w:rPr>
          <w:rFonts w:ascii="Aptos" w:hAnsi="Aptos"/>
          <w:b/>
          <w:color w:val="0B1B2B"/>
          <w:sz w:val="20"/>
        </w:rPr>
        <w:t>TEVR -&gt; BCDE -&gt; CodeXView -&gt; Spin Overlay -&gt; Evidence Archive -&gt; Independent Review</w:t>
      </w:r>
    </w:p>
    <w:p/>
    <w:p>
      <w:pPr>
        <w:pStyle w:val="DABody"/>
      </w:pPr>
      <w:r>
        <w:t>Verification artifacts should include source code, figures, manuscripts, datasets, hashes, timestamps, replay instructions, and review notes whenever practical.</w:t>
      </w:r>
    </w:p>
    <w:p>
      <w:pPr>
        <w:pStyle w:val="DAArticle"/>
      </w:pPr>
      <w:r>
        <w:t>ARTICLE X</w:t>
        <w:br/>
        <w:t>Independent Review Doctrine</w:t>
      </w:r>
    </w:p>
    <w:p>
      <w:pPr>
        <w:pStyle w:val="DABody"/>
      </w:pPr>
      <w:r>
        <w:t>The Dillon Architecture recognizes critique, challenge, reproduction, adversarial testing, and independent validation as essential components of scientific progress.</w:t>
      </w:r>
    </w:p>
    <w:p>
      <w:pPr>
        <w:pStyle w:val="DABody"/>
      </w:pPr>
      <w:r>
        <w:t>Review is not considered hostility. Review is considered structural refinement.</w:t>
      </w:r>
    </w:p>
    <w:p>
      <w:pPr>
        <w:pStyle w:val="DAArticle"/>
      </w:pPr>
      <w:r>
        <w:t>ARTICLE XI</w:t>
        <w:br/>
        <w:t>Public Evidence Doctrine</w:t>
      </w:r>
    </w:p>
    <w:p>
      <w:pPr>
        <w:pStyle w:val="DACaption"/>
      </w:pPr>
      <w:r>
        <w:rPr>
          <w:b/>
        </w:rPr>
        <w:t>Preferred Publication Sequence</w:t>
      </w:r>
    </w:p>
    <w:p>
      <w:pPr>
        <w:jc w:val="center"/>
        <w:pBdr>
          <w:top w:val="single" w:sz="8" w:space="1" w:color="C9A227"/>
        </w:pBdr>
      </w:pPr>
      <w:r>
        <w:rPr>
          <w:rFonts w:ascii="Aptos" w:hAnsi="Aptos"/>
          <w:b/>
          <w:color w:val="0B1B2B"/>
          <w:sz w:val="20"/>
        </w:rPr>
        <w:t>Paper -&gt; Code -&gt; Figures -&gt; Evidence -&gt; Archive -&gt; Review</w:t>
      </w:r>
    </w:p>
    <w:p/>
    <w:p>
      <w:pPr>
        <w:pStyle w:val="DABody"/>
      </w:pPr>
      <w:r>
        <w:t>Repositories should preserve provenance, replayability, and traceability whenever practical.</w:t>
      </w:r>
    </w:p>
    <w:p>
      <w:pPr>
        <w:pStyle w:val="DAArticle"/>
      </w:pPr>
      <w:r>
        <w:t>ARTICLE XII</w:t>
        <w:br/>
        <w:t>Amendment Process</w:t>
      </w:r>
    </w:p>
    <w:p>
      <w:pPr>
        <w:pStyle w:val="DACaption"/>
      </w:pPr>
      <w:r>
        <w:rPr>
          <w:b/>
        </w:rPr>
        <w:t>Amendment Sequence</w:t>
      </w:r>
    </w:p>
    <w:p>
      <w:pPr>
        <w:jc w:val="center"/>
        <w:pBdr>
          <w:top w:val="single" w:sz="8" w:space="1" w:color="C9A227"/>
        </w:pBdr>
      </w:pPr>
      <w:r>
        <w:rPr>
          <w:rFonts w:ascii="Aptos" w:hAnsi="Aptos"/>
          <w:b/>
          <w:color w:val="0B1B2B"/>
          <w:sz w:val="20"/>
        </w:rPr>
        <w:t>Proposal -&gt; Justification -&gt; Impact Analysis -&gt; Version Assignment -&gt; Canonical Approval</w:t>
      </w:r>
    </w:p>
    <w:p/>
    <w:p>
      <w:pPr>
        <w:pStyle w:val="DABody"/>
      </w:pPr>
      <w:r>
        <w:t>No constitutional equation may be altered without documented rationale and impact analysis.</w:t>
      </w:r>
    </w:p>
    <w:p>
      <w:pPr>
        <w:pStyle w:val="DAArticle"/>
      </w:pPr>
      <w:r>
        <w:t>ARTICLE XIII</w:t>
        <w:br/>
        <w:t>Canonical Mottos</w:t>
      </w:r>
    </w:p>
    <w:p>
      <w:pPr>
        <w:pStyle w:val="DAQuote"/>
        <w:jc w:val="center"/>
      </w:pPr>
      <w:r>
        <w:rPr>
          <w:b/>
        </w:rPr>
        <w:t>Scientific Motto</w:t>
        <w:br/>
      </w:r>
      <w:r>
        <w:t>Geometry conditions propagation. Propagation enables coherence. Coherence integrates information. Integrated information resolves as awareness.</w:t>
      </w:r>
    </w:p>
    <w:p>
      <w:pPr>
        <w:pStyle w:val="DAQuote"/>
        <w:jc w:val="center"/>
      </w:pPr>
      <w:r>
        <w:rPr>
          <w:b/>
        </w:rPr>
        <w:t>Operational Motto</w:t>
        <w:br/>
      </w:r>
      <w:r>
        <w:t>Measure. Classify. Reduce. Bound. Predict. Close. Heal.</w:t>
      </w:r>
    </w:p>
    <w:p>
      <w:pPr>
        <w:pStyle w:val="DAQuote"/>
        <w:jc w:val="center"/>
      </w:pPr>
      <w:r>
        <w:rPr>
          <w:b/>
        </w:rPr>
        <w:t>Verification Motto</w:t>
        <w:br/>
      </w:r>
      <w:r>
        <w:t>Publish the claim. Preserve the evidence. Release the code. Enable replay. Invite review.</w:t>
      </w:r>
    </w:p>
    <w:p>
      <w:pPr>
        <w:pStyle w:val="DAArticle"/>
      </w:pPr>
      <w:r>
        <w:t>ARTICLE XIV</w:t>
        <w:br/>
        <w:t>Final Declaration</w:t>
      </w:r>
    </w:p>
    <w:p>
      <w:pPr>
        <w:pStyle w:val="DACaption"/>
      </w:pPr>
      <w:r>
        <w:rPr>
          <w:b/>
        </w:rPr>
        <w:t>Governing Pathway</w:t>
      </w:r>
    </w:p>
    <w:p>
      <w:pPr>
        <w:jc w:val="center"/>
        <w:pBdr>
          <w:top w:val="single" w:sz="8" w:space="1" w:color="C9A227"/>
        </w:pBdr>
      </w:pPr>
      <w:r>
        <w:rPr>
          <w:rFonts w:ascii="Aptos" w:hAnsi="Aptos"/>
          <w:b/>
          <w:color w:val="0B1B2B"/>
          <w:sz w:val="20"/>
        </w:rPr>
        <w:t>Structure -&gt; Evidence -&gt; Verification -&gt; Deployment -&gt; Restoration</w:t>
      </w:r>
    </w:p>
    <w:p/>
    <w:p>
      <w:pPr>
        <w:pStyle w:val="DABody"/>
      </w:pPr>
      <w:r>
        <w:t>The purpose of the Dillon Architecture is not merely to explain systems. Its purpose is to reveal structure, preserve truth, restore coherence, and provide a durable framework for discovery, validation, and deployment.</w:t>
      </w:r>
    </w:p>
    <w:p>
      <w:pPr>
        <w:pStyle w:val="DABody"/>
      </w:pPr>
      <w:r>
        <w:t>This Constitution becomes the source-of-truth anchor for the Dillon Architecture canon beneath the Stewardship Charter and above all volumes, repositories, patents, decks, simulations, and derivative works.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Timothy J. Dillon | 206 Innovation Inc. | Constitutional Reference Edition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05050"/>
        <w:sz w:val="16"/>
      </w:rPr>
      <w:t>The Dillon Architecture | Canonical Constitution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itle">
    <w:name w:val="DA Title"/>
    <w:rPr>
      <w:rFonts w:ascii="Aptos" w:hAnsi="Aptos"/>
      <w:b/>
      <w:color w:val="0B1B2B"/>
      <w:sz w:val="56"/>
    </w:rPr>
  </w:style>
  <w:style w:type="paragraph" w:customStyle="1" w:styleId="DASubtitle">
    <w:name w:val="DA Subtitle"/>
    <w:rPr>
      <w:rFonts w:ascii="Aptos" w:hAnsi="Aptos"/>
      <w:b w:val="0"/>
      <w:color w:val="C9A227"/>
      <w:sz w:val="28"/>
    </w:rPr>
  </w:style>
  <w:style w:type="paragraph" w:customStyle="1" w:styleId="DAArticle">
    <w:name w:val="DA Article"/>
    <w:rPr>
      <w:rFonts w:ascii="Aptos" w:hAnsi="Aptos"/>
      <w:b/>
      <w:color w:val="0B1B2B"/>
      <w:sz w:val="30"/>
    </w:rPr>
  </w:style>
  <w:style w:type="paragraph" w:customStyle="1" w:styleId="DABody">
    <w:name w:val="DA Body"/>
    <w:rPr>
      <w:rFonts w:ascii="Aptos" w:hAnsi="Aptos"/>
      <w:b w:val="0"/>
      <w:color w:val="111111"/>
      <w:sz w:val="21"/>
    </w:rPr>
  </w:style>
  <w:style w:type="paragraph" w:customStyle="1" w:styleId="DACaption">
    <w:name w:val="DA Caption"/>
    <w:rPr>
      <w:rFonts w:ascii="Aptos" w:hAnsi="Aptos"/>
      <w:b w:val="0"/>
      <w:color w:val="555555"/>
      <w:sz w:val="18"/>
    </w:rPr>
  </w:style>
  <w:style w:type="paragraph" w:customStyle="1" w:styleId="DAQuote">
    <w:name w:val="DA Quote"/>
    <w:rPr>
      <w:rFonts w:ascii="Aptos" w:hAnsi="Aptos"/>
      <w:b/>
      <w:color w:val="0B1B2B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