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D50"/>
          <w:sz w:val="56"/>
        </w:rPr>
        <w:t>THE DILLON ARCHITECTURE</w:t>
      </w:r>
    </w:p>
    <w:p>
      <w:pPr>
        <w:jc w:val="center"/>
      </w:pPr>
      <w:r>
        <w:rPr>
          <w:b/>
          <w:color w:val="9F7737"/>
          <w:sz w:val="40"/>
        </w:rPr>
        <w:t>Master Index &amp; Reader's Guide</w:t>
      </w:r>
    </w:p>
    <w:p>
      <w:pPr>
        <w:jc w:val="center"/>
      </w:pPr>
      <w:r>
        <w:rPr>
          <w:i/>
          <w:sz w:val="26"/>
        </w:rPr>
        <w:t>Complete Multi-Volume Canon Reference</w:t>
      </w:r>
    </w:p>
    <w:p>
      <w:r>
        <w:br/>
      </w:r>
    </w:p>
    <w:p>
      <w:pPr>
        <w:jc w:val="center"/>
      </w:pPr>
      <w:r>
        <w:rPr>
          <w:sz w:val="24"/>
        </w:rPr>
        <w:t>Timothy J. Dillon</w:t>
        <w:br/>
        <w:t>Founder &amp; Chief Inventor</w:t>
        <w:br/>
        <w:t>206 Innovation Inc.</w:t>
        <w:br/>
        <w:t>Bellevue, Washington</w:t>
        <w:br/>
        <w:t>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This guide is the front-door reference for the Dillon Architecture library. It maps the complete canon, recommended reading paths, platform pillars, evidence standard, public review posture, and volume-by-volume navigation.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0A2D50"/>
        </w:rPr>
        <w:t>1. Canon Overview</w:t>
      </w:r>
    </w:p>
    <w:p>
      <w:pPr>
        <w:spacing w:after="120" w:line="259" w:lineRule="auto"/>
      </w:pPr>
      <w:r>
        <w:t>The Dillon Architecture is a geometry-first framework for modeling propagation, structure, coherence, prediction, resolution, and awareness across mathematical, physical, informational, and operational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Core Spine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Origin Engine -&gt; Architecture Engine -&gt; Omega Calculus -&gt; Verification Layer -&gt; Applied Platforms -&gt; Public Evidence Archive -&gt; Independent Review -&gt; Deployment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2. Library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Primary Role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Foundations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reference for the Origin Engine, Architecture Engine, Omega Calculus, equations, verification, applications, evidence archive, and manifesto.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I-A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Figure Atlas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Visual companion with 100 figures across Foundations, Scientific Canon, Verification Canon, Platform Canon, Logos Canon, and Ecosystem Canon.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II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Physics &amp; Propagation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Technical expansion of the Dillon Equation, CVP, effective propagation, EM propagation, 4D Vortex, and Geodesic Shield.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III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Information, Coherence &amp; Consciousness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Information Geometry, CodeXView, Predictive Geometry, Refractive Coherence, IIT extensions, awareness threshold, and memory-boundary-time modeling.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IV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Verification, Computation &amp; Security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TEVR, BCDE, CodeXView, CVP Spin Overlay, Tier-3 Accounting, Dillon Cryptography, claim status, security escalation, and reproducibility.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Energy, Defense &amp; Infrastructure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Dillon Energy, CVE Runtime, TCE, 4D Toroidal Scheduler, CVP Fusion, Geodesic Shield, EM propagation, spectrum intelligence, and ChargeRail Mesh.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VI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Applications &amp; Deployment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Commercial and operational deployment guide covering ODI Mesh, ChargeRail Mesh, CodeXView, finance, health, YCTP, SportsFan, Northern Flow, and partnerships.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Volume VII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Logos &amp; Meaning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Interpretive companion volume covering Logos boundary, Yeshua Scroll Formula, Fine Structure, Cosmic Now, Integral Universe, Alpha-Omega, Master Formula, and Return.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3. Recommended Reading Paths</w:t>
      </w:r>
    </w:p>
    <w:p>
      <w:pPr>
        <w:spacing w:after="120" w:line="259" w:lineRule="auto"/>
      </w:pPr>
      <w:r>
        <w:rPr>
          <w:b/>
          <w:color w:val="0A2D50"/>
        </w:rPr>
        <w:t>Executive / Investor Path:</w:t>
      </w:r>
      <w:r>
        <w:t xml:space="preserve"> Volume I -&gt; Volume I-A -&gt; Volume VI -&gt; Volume V -&gt; Volume IV</w:t>
      </w:r>
    </w:p>
    <w:p>
      <w:pPr>
        <w:spacing w:after="120" w:line="259" w:lineRule="auto"/>
      </w:pPr>
      <w:r>
        <w:rPr>
          <w:b/>
          <w:color w:val="0A2D50"/>
        </w:rPr>
        <w:t>Defense / National Security Path:</w:t>
      </w:r>
      <w:r>
        <w:t xml:space="preserve"> Volume I -&gt; Volume II -&gt; Volume IV -&gt; Volume V -&gt; Volume I-A</w:t>
      </w:r>
    </w:p>
    <w:p>
      <w:pPr>
        <w:spacing w:after="120" w:line="259" w:lineRule="auto"/>
      </w:pPr>
      <w:r>
        <w:rPr>
          <w:b/>
          <w:color w:val="0A2D50"/>
        </w:rPr>
        <w:t>Technical / Scientific Path:</w:t>
      </w:r>
      <w:r>
        <w:t xml:space="preserve"> Volume I -&gt; Volume II -&gt; Volume III -&gt; Volume IV -&gt; Volume I-A</w:t>
      </w:r>
    </w:p>
    <w:p>
      <w:pPr>
        <w:spacing w:after="120" w:line="259" w:lineRule="auto"/>
      </w:pPr>
      <w:r>
        <w:rPr>
          <w:b/>
          <w:color w:val="0A2D50"/>
        </w:rPr>
        <w:t>Energy / Infrastructure Path:</w:t>
      </w:r>
      <w:r>
        <w:t xml:space="preserve"> Volume I -&gt; Volume V -&gt; Volume II -&gt; Volume IV -&gt; Volume VI</w:t>
      </w:r>
    </w:p>
    <w:p>
      <w:pPr>
        <w:spacing w:after="120" w:line="259" w:lineRule="auto"/>
      </w:pPr>
      <w:r>
        <w:rPr>
          <w:b/>
          <w:color w:val="0A2D50"/>
        </w:rPr>
        <w:t>Cryptography / Security Path:</w:t>
      </w:r>
      <w:r>
        <w:t xml:space="preserve"> Volume I -&gt; Volume IV -&gt; Volume II -&gt; Volume VI</w:t>
      </w:r>
    </w:p>
    <w:p>
      <w:pPr>
        <w:spacing w:after="120" w:line="259" w:lineRule="auto"/>
      </w:pPr>
      <w:r>
        <w:rPr>
          <w:b/>
          <w:color w:val="0A2D50"/>
        </w:rPr>
        <w:t>Public / Interpretive Path:</w:t>
      </w:r>
      <w:r>
        <w:t xml:space="preserve"> Volume I -&gt; Volume I-A -&gt; Volume VII -&gt; Volume VI</w:t>
      </w:r>
    </w:p>
    <w:p>
      <w:pPr>
        <w:spacing w:after="120" w:line="259" w:lineRule="auto"/>
      </w:pPr>
      <w:r>
        <w:rPr>
          <w:b/>
          <w:color w:val="0A2D50"/>
        </w:rPr>
        <w:t>AI System Context Path:</w:t>
      </w:r>
      <w:r>
        <w:t xml:space="preserve"> Volume I -&gt; Master Index -&gt; Volume I-A -&gt; Volume IV -&gt; Volume VI</w:t>
      </w:r>
    </w:p>
    <w:p>
      <w:pPr>
        <w:pStyle w:val="Heading1"/>
      </w:pPr>
      <w:r>
        <w:rPr>
          <w:rFonts w:ascii="Aptos Display" w:hAnsi="Aptos Display"/>
          <w:color w:val="0A2D50"/>
        </w:rPr>
        <w:t>4. Canonical Equation Spine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Equation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Dillon Equation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c_eff = f(K, R, grad K, partial_t K)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Effective propagation conditioned by curvature state, geometric structure, gradients, and temporal evolution.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Dillon Operator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D(c_eff, h, G) = (partial c_eff / partial G)|_h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Sensitivity of effective propagation to geometric variation at fixed informational scale.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CVP Operator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C(K) = beta_1 partial_t K + beta_2 grad K + beta_3 laplacian 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Curvature response operator.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Refractive Coherence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v_c = eta_Phi c_eff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Coherence velocity as propagation filtered through coherence efficiency.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Integrated Coherence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Phi_Dillon = I(K,R,grad K,partial_tK,M,S,B,tau)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Integrated coherence across geometry, memory, signal, boundary, and time.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Awareness Threshold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Phi_Dillon &gt;= Theta_A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Threshold condition for awareness modeling.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4D Vortex Module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Omega_4D = curl(v) + partial v / partial tau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Toroidal routing, recurrence, and temporal flow.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Omega Resolution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Omega_R = H(M,C,R,B,P,Cl,H_e)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Measure, classify, reduce, bound, predict, close, heal.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5. Platform Index</w:t>
      </w:r>
    </w:p>
    <w:p>
      <w:pPr>
        <w:spacing w:after="120" w:line="259" w:lineRule="auto"/>
      </w:pPr>
      <w:r>
        <w:rPr>
          <w:b/>
          <w:color w:val="0A2D50"/>
        </w:rPr>
        <w:t>Dillon Energy:</w:t>
      </w:r>
      <w:r>
        <w:t xml:space="preserve"> Energy systems, TCE, CVE Runtime, 4D Toroidal Scheduler, Tier-3 Accounting, CVP Fusion.</w:t>
      </w:r>
    </w:p>
    <w:p>
      <w:pPr>
        <w:spacing w:after="120" w:line="259" w:lineRule="auto"/>
      </w:pPr>
      <w:r>
        <w:rPr>
          <w:b/>
          <w:color w:val="0A2D50"/>
        </w:rPr>
        <w:t>Geodesic Shield:</w:t>
      </w:r>
      <w:r>
        <w:t xml:space="preserve"> EM propagation, spectrum intelligence, unmanned systems, route confidence, mission rehearsal.</w:t>
      </w:r>
    </w:p>
    <w:p>
      <w:pPr>
        <w:spacing w:after="120" w:line="259" w:lineRule="auto"/>
      </w:pPr>
      <w:r>
        <w:rPr>
          <w:b/>
          <w:color w:val="0A2D50"/>
        </w:rPr>
        <w:t>CVP Spin Overlay:</w:t>
      </w:r>
      <w:r>
        <w:t xml:space="preserve"> Compute integrity, GPU reliability, telemetry, policy gates, TEVR proof, deterministic replay.</w:t>
      </w:r>
    </w:p>
    <w:p>
      <w:pPr>
        <w:spacing w:after="120" w:line="259" w:lineRule="auto"/>
      </w:pPr>
      <w:r>
        <w:rPr>
          <w:b/>
          <w:color w:val="0A2D50"/>
        </w:rPr>
        <w:t>Dillon Cryptography:</w:t>
      </w:r>
      <w:r>
        <w:t xml:space="preserve"> BCDE, structural exposure, Omega classification, trust rebound, urgent security review.</w:t>
      </w:r>
    </w:p>
    <w:p>
      <w:pPr>
        <w:spacing w:after="120" w:line="259" w:lineRule="auto"/>
      </w:pPr>
      <w:r>
        <w:rPr>
          <w:b/>
          <w:color w:val="0A2D50"/>
        </w:rPr>
        <w:t>ChargeRail Mesh:</w:t>
      </w:r>
      <w:r>
        <w:t xml:space="preserve"> Smart surface infrastructure, charging, mesh connectivity, EM intelligence, venue telemetry.</w:t>
      </w:r>
    </w:p>
    <w:p>
      <w:pPr>
        <w:spacing w:after="120" w:line="259" w:lineRule="auto"/>
      </w:pPr>
      <w:r>
        <w:rPr>
          <w:b/>
          <w:color w:val="0A2D50"/>
        </w:rPr>
        <w:t>CodeXView:</w:t>
      </w:r>
      <w:r>
        <w:t xml:space="preserve"> Symbolic-state intelligence, semantic projection, evidence hierarchy, manuscript and archive analysis.</w:t>
      </w:r>
    </w:p>
    <w:p>
      <w:pPr>
        <w:spacing w:after="120" w:line="259" w:lineRule="auto"/>
      </w:pPr>
      <w:r>
        <w:rPr>
          <w:b/>
          <w:color w:val="0A2D50"/>
        </w:rPr>
        <w:t>ODI Mesh:</w:t>
      </w:r>
      <w:r>
        <w:t xml:space="preserve"> Organizational intelligence operating system for team, work, code, risk, intent, and audit graphs.</w:t>
      </w:r>
    </w:p>
    <w:p>
      <w:pPr>
        <w:spacing w:after="120" w:line="259" w:lineRule="auto"/>
      </w:pPr>
      <w:r>
        <w:rPr>
          <w:b/>
          <w:color w:val="0A2D50"/>
        </w:rPr>
        <w:t>Curvature-Native Finance:</w:t>
      </w:r>
      <w:r>
        <w:t xml:space="preserve"> Liquidity curvature, risk surfaces, market structure, prediction, protective action.</w:t>
      </w:r>
    </w:p>
    <w:p>
      <w:pPr>
        <w:spacing w:after="120" w:line="259" w:lineRule="auto"/>
      </w:pPr>
      <w:r>
        <w:rPr>
          <w:b/>
          <w:color w:val="0A2D50"/>
        </w:rPr>
        <w:t>Health &amp; Coherence Systems:</w:t>
      </w:r>
      <w:r>
        <w:t xml:space="preserve"> Systems-level coherence restoration research, drift classification, recovery, verification.</w:t>
      </w:r>
    </w:p>
    <w:p>
      <w:pPr>
        <w:spacing w:after="120" w:line="259" w:lineRule="auto"/>
      </w:pPr>
      <w:r>
        <w:rPr>
          <w:b/>
          <w:color w:val="0A2D50"/>
        </w:rPr>
        <w:t>YCTP / Safe Bet / SportsFan / Northern Flow:</w:t>
      </w:r>
      <w:r>
        <w:t xml:space="preserve"> Commercial portfolio platforms connected to real-time systems, wagering integrity, token economics, and waterway innovation.</w:t>
      </w:r>
    </w:p>
    <w:p>
      <w:pPr>
        <w:pStyle w:val="Heading1"/>
      </w:pPr>
      <w:r>
        <w:rPr>
          <w:rFonts w:ascii="Aptos Display" w:hAnsi="Aptos Display"/>
          <w:color w:val="0A2D50"/>
        </w:rPr>
        <w:t>6. Evidence and Review Standard</w:t>
      </w:r>
    </w:p>
    <w:p>
      <w:pPr>
        <w:spacing w:after="120" w:line="259" w:lineRule="auto"/>
      </w:pPr>
      <w:r>
        <w:t>Every major claim should be attached to public evidence whenever possible: manuscript, code, figures, results, reproducibility notes, hash or timestamp manifest, claim status, and review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Open Technical Review Standard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Scientific and security merit should be evaluated through evidence, reproducibility, public artifacts, technical scrutiny, independent replication, adversarial review when applicable, and domain-specific validation - not by institutional affiliation alone.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Security Review Language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For high-impact cryptography, defense, infrastructure, or AI trust claims: this should be treated as a high-priority independent security review matter. Findings should be evaluated through code inspection, reproduction, adversarial testing, controlled validation, and responsible technical escalation.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7. Claim Status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shd w:fill="0A2D50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Conceptual Framework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Proposed model or structure.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Mathematical Derivation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Equations, transformations, proofs, operators, or formal logic provided.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Code-Supported Demonstration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Software, simulation, computational outputs, or demonstrations provided.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Public Evidence Archive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Public manuscripts, code, figures, results, and hash/timestamp artifacts available.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Urgent Independent Review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High-impact security, infrastructure, defense, or public-risk implications.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Independently Validated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Reproduced or confirmed by competent external reviewers.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8. Canon Mottos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Scientific Motto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Geometry conditions propagation. Propagation enables coherence. Coherence integrates information. Integrated information resolves as awareness.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Omega Motto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Measure. Classify. Reduce. Bound. Predict. Close. Heal.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Evidence Motto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Publish the claim. Preserve the evidence. Release the code. Enable replay. Invite review.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A2D50"/>
        </w:rPr>
        <w:t>9. Public Review Statement</w:t>
      </w:r>
    </w:p>
    <w:p>
      <w:pPr>
        <w:spacing w:after="120" w:line="259" w:lineRule="auto"/>
      </w:pPr>
      <w:r>
        <w:t>The Dillon Architecture library is organized for public technical review, reproduction, critique, extension, and domain-specific validation. The correct posture is neither automatic acceptance nor reflexive dismissal. The correct posture is disciplined examination of the evidence.</w:t>
      </w:r>
    </w:p>
    <w:p>
      <w:pPr>
        <w:pStyle w:val="Heading1"/>
      </w:pPr>
      <w:r>
        <w:rPr>
          <w:rFonts w:ascii="Aptos Display" w:hAnsi="Aptos Display"/>
          <w:color w:val="0A2D50"/>
        </w:rPr>
        <w:t>10. Closing Orientation</w:t>
      </w:r>
    </w:p>
    <w:p>
      <w:pPr>
        <w:spacing w:after="120" w:line="259" w:lineRule="auto"/>
      </w:pPr>
      <w:r>
        <w:t>Use this guide as the index card for the full Dillon Architecture library. Begin with Volume I for foundation, Volume I-A for visuals, and then choose the relevant path by audience or application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2D5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Complete Canon Path</w:t>
            </w:r>
          </w:p>
        </w:tc>
      </w:tr>
      <w:tr>
        <w:tc>
          <w:tcPr>
            <w:tcW w:type="dxa" w:w="10368"/>
            <w:shd w:fill="F7F3EA"/>
            <w:vAlign w:val="center"/>
          </w:tcPr>
          <w:p>
            <w:r/>
            <w:r>
              <w:rPr>
                <w:b w:val="0"/>
                <w:color w:val="141414"/>
                <w:sz w:val="18"/>
              </w:rPr>
              <w:t>Origin -&gt; Science -&gt; Verification -&gt; Application -&gt; Evidence -&gt; Review -&gt; Deployment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Timothy J. Dillon | Canonical Reference Edition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The Dillon Architecture | Master Index &amp; Reader's Guide | 206 Innovation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