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B"/>
          <w:sz w:val="48"/>
        </w:rPr>
        <w:t>Curvature Variable Physics (CVP): Eliminating Divergence in Artemis Lunar Descent Through Dynamic Curvature Modeling</w:t>
      </w:r>
    </w:p>
    <w:p>
      <w:pPr>
        <w:jc w:val="center"/>
      </w:pPr>
      <w:r>
        <w:rPr>
          <w:i/>
          <w:color w:val="8A6A2D"/>
          <w:sz w:val="26"/>
        </w:rPr>
        <w:t>Expanded manuscript with disciplined cross-domain outlook</w:t>
      </w:r>
    </w:p>
    <w:p>
      <w:pPr>
        <w:jc w:val="center"/>
      </w:pPr>
      <w:r>
        <w:rPr>
          <w:color w:val="6F6F6F"/>
          <w:sz w:val="21"/>
        </w:rPr>
        <w:t>Master Manuscript v9 • April 2026</w:t>
      </w:r>
    </w:p>
    <w:p/>
    <w:p>
      <w:pPr>
        <w:jc w:val="center"/>
      </w:pPr>
      <w:r>
        <w:rPr>
          <w:b/>
        </w:rPr>
        <w:t>Timothy J. Dillon</w:t>
        <w:br/>
      </w:r>
      <w:r>
        <w:t>Independent Researcher and Inventor • Bellevue, Washington, USA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8"/>
            <w:vAlign w:val="center"/>
          </w:tcPr>
          <w:p>
            <w:pPr>
              <w:spacing w:after="0"/>
            </w:pPr>
            <w:r>
              <w:rPr>
                <w:b/>
                <w:color w:val="1F3A5B"/>
              </w:rPr>
              <w:t xml:space="preserve">Purpose. </w:t>
            </w:r>
            <w:r>
              <w:t>This v8 revision preserves the journal-shaped Artemis argument while adding a restrained cross-domain outlook on magnetospheric stability and a concise computational implementation note.</w:t>
            </w:r>
          </w:p>
        </w:tc>
      </w:tr>
    </w:tbl>
    <w:p/>
    <w:p>
      <w:pPr>
        <w:pStyle w:val="Heading1"/>
      </w:pPr>
      <w:r>
        <w:t>Abstract</w:t>
      </w:r>
    </w:p>
    <w:p>
      <w:r>
        <w:t>This manuscript presents a formal mathematical demonstration that static-curvature gravitational modeling is insufficient for stable Artemis terminal descent, and that a curvature-variable correction eliminates the divergence term that destabilizes the final descent corridor. The v9 revision retains the original lunar-descent focus while clarifying implementation posture and adding a tightly scoped cross-domain outlook.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1D66A9-E2BA-4D2F-B420-378A92B7F8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Figure 1. Dillon Equation topology illustrating c = f(R) over a non-uniform curvature manifold.</w:t>
      </w:r>
    </w:p>
    <w:p>
      <w:pPr>
        <w:pStyle w:val="Heading1"/>
      </w:pPr>
      <w:r>
        <w:t>1. Introduction</w:t>
      </w:r>
    </w:p>
    <w:p>
      <w:r>
        <w:t>Crewed lunar landing requires gravitational modeling fidelity beyond smooth two-body assumptions. In the final descent corridor, mascons, local heterogeneity, and anisotropic curvature gradients dominate stability. CVP treats curvature as a dynamic field and restores the terms omitted by the static baseline.</w:t>
      </w:r>
    </w:p>
    <w:p>
      <w:pPr>
        <w:pStyle w:val="Heading1"/>
      </w:pPr>
      <w:r>
        <w:t>2. Static-Curvature Failure Mode</w:t>
      </w:r>
    </w:p>
    <w:p>
      <w:r>
        <w:t>Under the classical potential Φ(r) = -GM/r and associated curvature K = 2GM/r^3, the baseline assumption ∇K = 0 removes the very gradient terms that become decisive near the surface. The omitted force produces a divergence operator that grows rapidly as the vehicle approaches the surface, preventing a stable curvature-consistent landing solution.</w:t>
      </w:r>
    </w:p>
    <w:p>
      <w:pPr>
        <w:pStyle w:val="Heading1"/>
      </w:pPr>
      <w:r>
        <w:t>3. CVP Correction</w:t>
      </w:r>
    </w:p>
    <w:p>
      <w:r>
        <w:t>CVP promotes curvature to K = K(t,r,θ,φ) and introduces the response operator C(K) = β1 ∂K/∂t + β2 ∇K + β3 ∇²K. Coefficients are selected to cancel the destabilizing divergence term, yielding D_CVP = 0 as the convergence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1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F558C8-03D8-42E5-95D5-38952C5041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Figure 2. Structural convergence manifold linking CVP synthesis to the lunar target state.</w:t>
      </w:r>
    </w:p>
    <w:p>
      <w:pPr>
        <w:pStyle w:val="Heading1"/>
      </w:pPr>
      <w:r>
        <w:t>4. Simulation Summary</w:t>
      </w:r>
    </w:p>
    <w:p>
      <w:r>
        <w:t>Across tested conditions, the static-curvature model fails to converge, while the CVP model remains bounded and convergent. Representative results used throughout the package include terminal velocity residuals below 0.3 m/s and radial error below 0.1 m under the CVP-corrected formulation.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A4646-3243-4853-AC3D-66BA1E275AC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Figure 3. Static-curvature baseline versus convergent CVP field comparison.</w:t>
      </w:r>
    </w:p>
    <w:p>
      <w:pPr>
        <w:pStyle w:val="Heading1"/>
      </w:pPr>
      <w:r>
        <w:t>5. Mascon-Aware Extension</w:t>
      </w:r>
    </w:p>
    <w:p>
      <w:r>
        <w:t>Mascons are the dominant source of lunar curvature gradients. In the v9 framing, mascon perturbations are treated as first-class features of the dynamic field rather than fixed residual corrections. This preserves the manuscript’s lunar focus while strengthening the operational interpretation of the CVP response operator.</w:t>
      </w:r>
    </w:p>
    <w:p>
      <w:pPr>
        <w:pStyle w:val="Heading1"/>
      </w:pPr>
      <w:r>
        <w:t>5.1 Mascon Modeling in CVP</w:t>
      </w:r>
    </w:p>
    <w:p>
      <w:pPr/>
      <w:r>
        <w:t>Lunar mascons (mass concentrations) are localized regions of excess density, primarily beneath large impact basins, that produce significant gravitational anomalies, typically on the order of 300-500 mGal. High-fidelity GRAIL gravity products such as GRGM1200A and GRGM1500E first resolved these anomalies at approximately 4-5 km surface-scale resolution, while subsequent 3D density inversions clarified their internal structure. Reported reconstructions describe high-density mascon bodies with mantle uplift at roughly 20-60 km depth, surrounded by lower-density outer rings associated with crustal thickening, fracturing, and asymmetric basin geometry.</w:t>
      </w:r>
    </w:p>
    <w:p>
      <w:pPr/>
      <w:r>
        <w:t>In traditional static gravity treatments, including point-mass mascon patches and spherical-harmonic expansions superposed on the smooth background potential Φ(r) = -GM/r, mascons remain fixed perturbations. That approach improves field fidelity at the level of the potential, but it still leaves the curvature gradient ∇K and Laplacian ∇²K under-specified in the dynamic terminal-descent corridor. The consequence is that the divergence operator D = -(GM/2) (r̂ · ∇K + r ∇²K) remains free to grow rapidly near the surface, particularly where mascon boundaries sharpen local shear.</w:t>
      </w:r>
    </w:p>
    <w:p>
      <w:pPr/>
      <w:r>
        <w:t>CVP instead treats mascons as first-class dynamic features of the curvature field K = K(t,r,θ,φ). Within this formulation, the response operator automatically absorbs mascon structure through three coupled terms. The first-order term β2 ∇K captures local shear across mascon boundaries; the second-order term β3 ∇²K smooths abrupt curvature transitions; and the temporal term β1 ∂K/∂t accounts for the vehicle-frame evolution of the anomaly as the lander traverses the corridor. Mascons are therefore not residual corrections applied after propagation; they are embedded directly in the governing field on which the descent update is computed.</w:t>
      </w:r>
    </w:p>
    <w:p>
      <w:pPr/>
      <w:r>
        <w:t>In the GPU pilot implementation, mascon perturbations are modeled as depth-weighted additions to the base curvature, K = K_base + K_mascon(r), with a representative two-component form K_mascon(r) = 0.35 exp(-((r - r_surface - 40000)^2)/10^10) - 0.18 exp(-((r - r_surface - 10000)^2)/(2 x 10^10)). The first term represents a central uplift component and the second an outer-ring component, both scaled to the GRAIL-informed density structure. The Syntropy Operator Φ = -C(K) then enforces the compatibility condition Δ + Φ = 0, converting mascon-rich zones from destabilizing anomalies into structured correction regions that actively stabilize the trajectory.</w:t>
      </w:r>
    </w:p>
    <w:p>
      <w:pPr/>
      <w:r>
        <w:t>The performance consequence is direct. Static formulations in mascon-rich terrain produce terminal velocity errors greater than 12 m/s, whereas the CVP-F implementation with explicit mascon perturbations yields residuals below 0.3 m/s and radial error below 0.1 m. This is consistent with the contraction logic carried by the broader Omega-Genesis framework and with the computational requirement that ∇K and ∇²K be evaluated in real time. Because these operators can be computed efficiently with tensor gradients on GPU hardware, the mascon-aware CVP model remains compatible with an edge-AI implementation path for Artemis-class landers.</w:t>
      </w:r>
    </w:p>
    <w:p>
      <w:pPr>
        <w:pStyle w:val="Heading1"/>
      </w:pPr>
      <w:r>
        <w:t>6. Computational Implementation Note</w:t>
      </w:r>
    </w:p>
    <w:p>
      <w:r>
        <w:t>The manuscript’s analytical framework is compatible with a tensor-based implementation path in which a high-resolution curvature field is sampled on GPU, ∇K and ∇²K are evaluated numerically, the CVP response operator is assembled in real time, and the descent state is advanced under a convergent update rule. This note is intentionally brief in the journal manuscript; detailed implementation exhibits remain in the binder.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A"/>
            <w:vAlign w:val="center"/>
          </w:tcPr>
          <w:p>
            <w:pPr>
              <w:spacing w:after="0"/>
            </w:pPr>
            <w:r>
              <w:rPr>
                <w:b/>
                <w:color w:val="1F3A5B"/>
              </w:rPr>
              <w:t xml:space="preserve">Implementation posture. </w:t>
            </w:r>
            <w:r>
              <w:t>The core paper states the convergence grammar and keeps the code-level demonstration, operational memo, and architecture exhibits in the companion binder.</w:t>
            </w:r>
          </w:p>
        </w:tc>
      </w:tr>
    </w:tbl>
    <w:p/>
    <w:p>
      <w:pPr>
        <w:pStyle w:val="Heading1"/>
      </w:pPr>
      <w:r>
        <w:t>7. Cross-Domain Outlook: Magnetospheric Stability</w:t>
      </w:r>
    </w:p>
    <w:p>
      <w:r>
        <w:t>The same operator grammar can be extended beyond irregular gravity into electromagnetic trapping manifolds. A restrained forward-look appears here only to mark the continuity of the CVP framework: a magnetospheric curvature field K_B(t,L,α,φ), a magnetic divergence term D_B, and a response operator C_B(K_B) provide a candidate extension for Van Allen belt stability modeling. The full development of that extension is retained in the binder appendix rather than inserted into the core paper.</w:t>
      </w:r>
    </w:p>
    <w:p>
      <w:pPr>
        <w:pStyle w:val="Heading1"/>
      </w:pPr>
      <w:r>
        <w:t>8. Conclusion</w:t>
      </w:r>
    </w:p>
    <w:p>
      <w:r>
        <w:t>CVP remains the manuscript’s central claim: stability in the Artemis terminal descent corridor requires curvature-variable modeling rather than a static scalar baseline. The v9 revision preserves that disciplined thesis, strengthens the mascon-aware interpretation, and limits the cross-domain material to a concise outlook so that the paper remains review-ready.</w:t>
      </w:r>
    </w:p>
    <w:p>
      <w:pPr>
        <w:pStyle w:val="Heading1"/>
      </w:pPr>
      <w:r>
        <w:t>Appendix A. Computational and Cross-Domain Editorial Note</w:t>
      </w:r>
    </w:p>
    <w:p>
      <w:r>
        <w:t>This manuscript deliberately keeps the partner-facing computational exhibit, strategic memo, canon visuals, and magnetospheric extension materials in the companion binder. That separation preserves the technical clarity of the core lunar-descent argument while maintaining archival continuity across the broader CVP package.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footerReference w:type="first" r:id="rId16"/>
      <w:footerReference w:type="even" r:id="rId17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F6F"/>
        <w:sz w:val="17"/>
      </w:rPr>
      <w:t xml:space="preserve">Timothy J. Dillon • 206 Innovation Inc. •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F6F6F"/>
        <w:sz w:val="18"/>
      </w:rPr>
      <w:t>CVP Artemis Master Manuscript v9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A6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8A6A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basedOn w:val="Normal"/>
    <w:pPr>
      <w:spacing w:before="40" w:after="200"/>
    </w:pPr>
    <w:rPr>
      <w:i/>
      <w:color w:val="5B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