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Final Review Submission Set</w:t>
      </w:r>
    </w:p>
    <w:p>
      <w:pPr>
        <w:jc w:val="center"/>
      </w:pPr>
      <w:r>
        <w:rPr>
          <w:i/>
          <w:sz w:val="21"/>
        </w:rPr>
        <w:t>Timothy J. Dillon | 206 Innovation Inc. | April 2026</w:t>
      </w:r>
    </w:p>
    <w:p>
      <w:pPr>
        <w:spacing w:before="200" w:after="160"/>
      </w:pPr>
      <w:r>
        <w:rPr>
          <w:b/>
        </w:rPr>
        <w:t xml:space="preserve">Recommended review package for circulation and submission screening. </w:t>
      </w:r>
      <w:r>
        <w:t>The two primary manuscripts are the disciplined lunar paper and the standalone magnetospheric companion paper. Binder and synthesis materials are included as supporting review references.</w:t>
      </w:r>
    </w:p>
    <w:p>
      <w:r>
        <w:rPr>
          <w:b/>
          <w:color w:val="1F3A5F"/>
          <w:sz w:val="26"/>
        </w:rPr>
        <w:t>Primary manuscripts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D9EAF7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3888"/>
            <w:shd w:fill="D9EAF7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20"/>
              </w:rPr>
              <w:t>Recommended use</w:t>
            </w:r>
          </w:p>
        </w:tc>
      </w:tr>
      <w:tr>
        <w:tc>
          <w:tcPr>
            <w:tcW w:type="dxa" w:w="1008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CVP Artemis Master Manuscript v9</w:t>
            </w:r>
          </w:p>
        </w:tc>
        <w:tc>
          <w:tcPr>
            <w:tcW w:type="dxa" w:w="3888"/>
          </w:tcPr>
          <w:p>
            <w:r>
              <w:t>Core lunar-descent paper with mascon-aware extension and restrained cross-domain outlook.</w:t>
            </w:r>
          </w:p>
        </w:tc>
        <w:tc>
          <w:tcPr>
            <w:tcW w:type="dxa" w:w="2592"/>
          </w:tcPr>
          <w:p>
            <w:r>
              <w:t>Primary submission manuscript for lunar/CVP review.</w:t>
            </w:r>
          </w:p>
        </w:tc>
      </w:tr>
      <w:tr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Magnetospheric Extension: CVP Applied to the Van Allen Radiation Belts v5</w:t>
            </w:r>
          </w:p>
        </w:tc>
        <w:tc>
          <w:tcPr>
            <w:tcW w:type="dxa" w:w="3888"/>
          </w:tcPr>
          <w:p>
            <w:r>
              <w:t>Standalone companion manuscript for the CVP-B / Van Allen extension with embedded figures.</w:t>
            </w:r>
          </w:p>
        </w:tc>
        <w:tc>
          <w:tcPr>
            <w:tcW w:type="dxa" w:w="2592"/>
          </w:tcPr>
          <w:p>
            <w:r>
              <w:t>Companion manuscript or separate review paper.</w:t>
            </w:r>
          </w:p>
        </w:tc>
      </w:tr>
    </w:tbl>
    <w:p>
      <w:r>
        <w:rPr>
          <w:b/>
          <w:color w:val="1F3A5F"/>
          <w:sz w:val="26"/>
        </w:rPr>
        <w:t>Supporting review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032"/>
            <w:shd w:fill="E8EEF7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  <w:shd w:fill="E8EEF7"/>
          </w:tcPr>
          <w:p>
            <w:r>
              <w:rPr>
                <w:b/>
                <w:sz w:val="20"/>
              </w:rPr>
              <w:t>Role in review set</w:t>
            </w:r>
          </w:p>
        </w:tc>
        <w:tc>
          <w:tcPr>
            <w:tcW w:type="dxa" w:w="4176"/>
            <w:shd w:fill="E8EEF7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032"/>
          </w:tcPr>
          <w:p>
            <w:r>
              <w:t>AIAA/IEEE Submission Binder Addendum v8</w:t>
            </w:r>
          </w:p>
        </w:tc>
        <w:tc>
          <w:tcPr>
            <w:tcW w:type="dxa" w:w="2880"/>
          </w:tcPr>
          <w:p>
            <w:r>
              <w:t>Companion appendix package</w:t>
            </w:r>
          </w:p>
        </w:tc>
        <w:tc>
          <w:tcPr>
            <w:tcW w:type="dxa" w:w="4176"/>
          </w:tcPr>
          <w:p>
            <w:r>
              <w:t>Carries canon visuals and the CVP-B appendix structure without disturbing the core lunar manuscript.</w:t>
            </w:r>
          </w:p>
        </w:tc>
      </w:tr>
      <w:tr>
        <w:tc>
          <w:tcPr>
            <w:tcW w:type="dxa" w:w="4032"/>
          </w:tcPr>
          <w:p>
            <w:r>
              <w:t>Unified Curvature-Variable Physics - Submission-Style Manuscript v2</w:t>
            </w:r>
          </w:p>
        </w:tc>
        <w:tc>
          <w:tcPr>
            <w:tcW w:type="dxa" w:w="2880"/>
          </w:tcPr>
          <w:p>
            <w:r>
              <w:t>Cross-domain synthesis draft</w:t>
            </w:r>
          </w:p>
        </w:tc>
        <w:tc>
          <w:tcPr>
            <w:tcW w:type="dxa" w:w="4176"/>
          </w:tcPr>
          <w:p>
            <w:r>
              <w:t>Useful for reviewers who want the broader gravitational + magnetospheric architecture in one place.</w:t>
            </w:r>
          </w:p>
        </w:tc>
      </w:tr>
      <w:tr>
        <w:tc>
          <w:tcPr>
            <w:tcW w:type="dxa" w:w="4032"/>
          </w:tcPr>
          <w:p>
            <w:r>
              <w:t>Three Van Allen figure plates</w:t>
            </w:r>
          </w:p>
        </w:tc>
        <w:tc>
          <w:tcPr>
            <w:tcW w:type="dxa" w:w="2880"/>
          </w:tcPr>
          <w:p>
            <w:r>
              <w:t>Standalone visual set</w:t>
            </w:r>
          </w:p>
        </w:tc>
        <w:tc>
          <w:tcPr>
            <w:tcW w:type="dxa" w:w="4176"/>
          </w:tcPr>
          <w:p>
            <w:r>
              <w:t>Figure 1, Figure 2, and Figure 3 included separately for manuscript and presentation reuse.</w:t>
            </w:r>
          </w:p>
        </w:tc>
      </w:tr>
    </w:tbl>
    <w:p>
      <w:r>
        <w:rPr>
          <w:b/>
          <w:color w:val="1F3A5F"/>
          <w:sz w:val="26"/>
        </w:rPr>
        <w:t>Bundle contents</w:t>
      </w:r>
    </w:p>
    <w:p>
      <w:pPr>
        <w:spacing w:after="0"/>
        <w:ind w:left="288"/>
      </w:pPr>
      <w:r>
        <w:rPr>
          <w:b/>
        </w:rPr>
        <w:t xml:space="preserve">• </w:t>
      </w:r>
      <w:r>
        <w:t>Timothy_J_Dillon_CVP_Artemis_Master_Manuscript_v9.docx</w:t>
      </w:r>
    </w:p>
    <w:p>
      <w:pPr>
        <w:spacing w:after="0"/>
        <w:ind w:left="288"/>
      </w:pPr>
      <w:r>
        <w:rPr>
          <w:b/>
        </w:rPr>
        <w:t xml:space="preserve">• </w:t>
      </w:r>
      <w:r>
        <w:t>Timothy_J_Dillon_CVP_Artemis_Master_Manuscript_v9.pdf</w:t>
      </w:r>
    </w:p>
    <w:p>
      <w:pPr>
        <w:spacing w:after="0"/>
        <w:ind w:left="288"/>
      </w:pPr>
      <w:r>
        <w:rPr>
          <w:b/>
        </w:rPr>
        <w:t xml:space="preserve">• </w:t>
      </w:r>
      <w:r>
        <w:t>Magnetospheric_Extension_CVP_Van_Allen_Journal_Ready_v5.docx</w:t>
      </w:r>
    </w:p>
    <w:p>
      <w:pPr>
        <w:spacing w:after="0"/>
        <w:ind w:left="288"/>
      </w:pPr>
      <w:r>
        <w:rPr>
          <w:b/>
        </w:rPr>
        <w:t xml:space="preserve">• </w:t>
      </w:r>
      <w:r>
        <w:t>Magnetospheric_Extension_CVP_Van_Allen_Journal_Ready_v5.pdf</w:t>
      </w:r>
    </w:p>
    <w:p>
      <w:pPr>
        <w:spacing w:after="0"/>
        <w:ind w:left="288"/>
      </w:pPr>
      <w:r>
        <w:rPr>
          <w:b/>
        </w:rPr>
        <w:t xml:space="preserve">• </w:t>
      </w:r>
      <w:r>
        <w:t>AIAA_IEEE_Submission_Binder_Addendum_v8.pdf</w:t>
      </w:r>
    </w:p>
    <w:p>
      <w:pPr>
        <w:spacing w:after="0"/>
        <w:ind w:left="288"/>
      </w:pPr>
      <w:r>
        <w:rPr>
          <w:b/>
        </w:rPr>
        <w:t xml:space="preserve">• </w:t>
      </w:r>
      <w:r>
        <w:t>CVP_Expanded_Submission_Style_Manuscript_v2.pdf</w:t>
      </w:r>
    </w:p>
    <w:p>
      <w:pPr>
        <w:spacing w:after="0"/>
        <w:ind w:left="288"/>
      </w:pPr>
      <w:r>
        <w:rPr>
          <w:b/>
        </w:rPr>
        <w:t xml:space="preserve">• </w:t>
      </w:r>
      <w:r>
        <w:t>a_single_scientific_infographic_figure_on_a_dark_s.png</w:t>
      </w:r>
    </w:p>
    <w:p>
      <w:pPr>
        <w:spacing w:after="0"/>
        <w:ind w:left="288"/>
      </w:pPr>
      <w:r>
        <w:rPr>
          <w:b/>
        </w:rPr>
        <w:t xml:space="preserve">• </w:t>
      </w:r>
      <w:r>
        <w:t>a_scientific_comparative_digital_illustration_labe.png</w:t>
      </w:r>
    </w:p>
    <w:p>
      <w:pPr>
        <w:spacing w:after="0"/>
        <w:ind w:left="288"/>
      </w:pPr>
      <w:r>
        <w:rPr>
          <w:b/>
        </w:rPr>
        <w:t xml:space="preserve">• </w:t>
      </w:r>
      <w:r>
        <w:t>a_scientific_infographic_illustration_titled_figu.png</w:t>
      </w:r>
    </w:p>
    <w:p>
      <w:pPr>
        <w:spacing w:before="160"/>
      </w:pPr>
      <w:r>
        <w:rPr>
          <w:b/>
        </w:rPr>
        <w:t xml:space="preserve">Submission note. </w:t>
      </w:r>
      <w:r>
        <w:t>For strict review, circulate the Artemis and Van Allen manuscripts as the primary documents and treat the binder addendum plus unified CVP synthesis as companion support material.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