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sz w:val="22"/>
        </w:rPr>
        <w:t>CVP Fusion Solutions Compendium — Addendum (Master)</w:t>
      </w:r>
    </w:p>
    <w:p>
      <w:pPr>
        <w:jc w:val="center"/>
      </w:pPr>
      <w:r>
        <w:rPr>
          <w:rFonts w:ascii="Calibri" w:hAnsi="Calibri"/>
          <w:sz w:val="22"/>
        </w:rPr>
        <w:t>Equation Panel Locked • Omega + 4D + EM Integration • Expansion Modules P7–P8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Prepared by: </w:t>
      </w:r>
      <w:r>
        <w:rPr>
          <w:rFonts w:ascii="Calibri" w:hAnsi="Calibri"/>
          <w:sz w:val="22"/>
        </w:rPr>
        <w:t>Timothy J. Dillon</w:t>
      </w:r>
    </w:p>
    <w:p>
      <w:pPr>
        <w:jc w:val="center"/>
      </w:pPr>
      <w:r>
        <w:rPr>
          <w:rFonts w:ascii="Calibri" w:hAnsi="Calibri"/>
          <w:color w:val="464646"/>
          <w:sz w:val="22"/>
        </w:rPr>
        <w:t>206 Innovation Inc. • Bellevue, Washington</w:t>
      </w:r>
    </w:p>
    <w:p>
      <w:pPr>
        <w:jc w:val="center"/>
      </w:pPr>
      <w:r>
        <w:rPr>
          <w:rFonts w:ascii="Calibri" w:hAnsi="Calibri"/>
          <w:color w:val="464646"/>
          <w:sz w:val="22"/>
        </w:rPr>
        <w:t>Date: May 28, 2026</w:t>
      </w:r>
    </w:p>
    <w:p>
      <w:r>
        <w:rPr>
          <w:rFonts w:ascii="Calibri" w:hAnsi="Calibri"/>
          <w:sz w:val="22"/>
        </w:rPr>
        <w:br w:type="page"/>
      </w:r>
    </w:p>
    <w:p>
      <w:pPr>
        <w:pStyle w:val="Heading1"/>
      </w:pPr>
      <w:r>
        <w:rPr>
          <w:rFonts w:ascii="Calibri" w:hAnsi="Calibri"/>
          <w:sz w:val="22"/>
        </w:rPr>
        <w:t>Canonical Equation Panel (Locked)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6FB" w:val="clear"/>
          </w:tcPr>
          <w:p>
            <w:r>
              <w:t>c = local invariant causal speed</w:t>
              <w:br/>
              <w:t>c_eff = f(K, R, nabla K, partial_t K) (curvature-conditioned effective propagation)</w:t>
              <w:br/>
              <w:t>D(c_eff, h, G_geom) = (delta c_eff / delta G_geom)|_h (formal Dillon Operator)</w:t>
              <w:br/>
              <w:t>Public form: D(c_eff, h, G_geom) = (partial c_eff / partial G_geom)|_h</w:t>
              <w:br/>
              <w:t>Delta_G c_eff = c_eff - c</w:t>
              <w:br/>
              <w:t>Curvature chain: T_mu_nu -&gt; G_geom -&gt; c_eff</w:t>
              <w:br/>
              <w:t>Notation governance: use G_geom (or mathcal G); avoid plain G for the Dillon Operator</w:t>
            </w:r>
          </w:p>
        </w:tc>
      </w:tr>
    </w:tbl>
    <w:p/>
    <w:p>
      <w:pPr>
        <w:pStyle w:val="Heading1"/>
      </w:pPr>
      <w:r>
        <w:rPr>
          <w:rFonts w:ascii="Calibri" w:hAnsi="Calibri"/>
          <w:sz w:val="22"/>
        </w:rPr>
        <w:t>Executive Summary</w:t>
      </w:r>
    </w:p>
    <w:p>
      <w:r>
        <w:rPr>
          <w:rFonts w:ascii="Calibri" w:hAnsi="Calibri"/>
          <w:sz w:val="22"/>
        </w:rPr>
        <w:t>This compendium maps fusion bottlenecks into CVP-native solution modules with concrete algorithms, success metrics, and TEVR proof-bundle artifacts. This revision upgrades the entire set to the locked Dillon Equation notation (c vs c_eff; G_geom governance) and adds two long-horizon expansion modules: starlifting and black hole energy harvesting. The core fusion posture remains conservative and engineering-first: stability, recovery, constraints, and replayable evidence.</w:t>
      </w:r>
    </w:p>
    <w:p>
      <w:pPr>
        <w:pStyle w:val="Heading1"/>
      </w:pPr>
      <w:r>
        <w:rPr>
          <w:rFonts w:ascii="Calibri" w:hAnsi="Calibri"/>
          <w:sz w:val="22"/>
        </w:rPr>
        <w:t>Problem-by-Problem Solutions (P1–P8)</w:t>
      </w:r>
    </w:p>
    <w:p>
      <w:pPr>
        <w:pStyle w:val="Heading2"/>
      </w:pPr>
      <w:r>
        <w:rPr>
          <w:rFonts w:ascii="Calibri" w:hAnsi="Calibri"/>
          <w:sz w:val="22"/>
        </w:rPr>
        <w:t>P1. Real-time stability and disruption avoidance (tearing modes, locked modes, wall contact)</w:t>
      </w:r>
    </w:p>
    <w:p>
      <w:r>
        <w:rPr>
          <w:rFonts w:ascii="Calibri" w:hAnsi="Calibri"/>
          <w:sz w:val="22"/>
        </w:rPr>
        <w:t>Root cause: Plasma is inherently unstable; many actuators must be coordinated at high rate with sparse/noisy sensors; sim-to-real drift breaks policies.</w:t>
      </w:r>
    </w:p>
    <w:p>
      <w:r>
        <w:rPr>
          <w:rFonts w:ascii="Calibri" w:hAnsi="Calibri"/>
          <w:sz w:val="22"/>
        </w:rPr>
        <w:t>CVP module: Invariant-Driven Stability State + CVP Safe-Manifold Controller</w:t>
      </w:r>
    </w:p>
    <w:p>
      <w:r>
        <w:rPr>
          <w:rFonts w:ascii="Calibri" w:hAnsi="Calibri"/>
          <w:sz w:val="22"/>
        </w:rPr>
        <w:t>Solution:</w:t>
      </w:r>
    </w:p>
    <w:p>
      <w:r>
        <w:rPr>
          <w:rFonts w:ascii="Calibri" w:hAnsi="Calibri"/>
          <w:sz w:val="22"/>
        </w:rPr>
        <w:t>Define invariant state I(t); forecast disruption risk; run constrained MPC/RL hybrid restricted to a safe manifold with recovery gates and hard limits.</w:t>
      </w:r>
    </w:p>
    <w:p>
      <w:r>
        <w:rPr>
          <w:rFonts w:ascii="Calibri" w:hAnsi="Calibri"/>
          <w:sz w:val="22"/>
        </w:rPr>
        <w:t>Algorithms / implementation:</w:t>
      </w:r>
    </w:p>
    <w:p>
      <w:pPr>
        <w:pStyle w:val="ListBullet"/>
      </w:pPr>
      <w:r>
        <w:rPr>
          <w:rFonts w:ascii="Calibri" w:hAnsi="Calibri"/>
          <w:sz w:val="22"/>
        </w:rPr>
        <w:t>Predictor: calibrated p_hat(disruption | I(t)) with uncertainty thresholds</w:t>
      </w:r>
    </w:p>
    <w:p>
      <w:pPr>
        <w:pStyle w:val="ListBullet"/>
      </w:pPr>
      <w:r>
        <w:rPr>
          <w:rFonts w:ascii="Calibri" w:hAnsi="Calibri"/>
          <w:sz w:val="22"/>
        </w:rPr>
        <w:t>Mitigator: constrained MPC or constrained policy optimization with g(u,I)=True</w:t>
      </w:r>
    </w:p>
    <w:p>
      <w:pPr>
        <w:pStyle w:val="ListBullet"/>
      </w:pPr>
      <w:r>
        <w:rPr>
          <w:rFonts w:ascii="Calibri" w:hAnsi="Calibri"/>
          <w:sz w:val="22"/>
        </w:rPr>
        <w:t>Drift-gate: if recovery tests fail, downgrade to conservative policy</w:t>
      </w:r>
    </w:p>
    <w:p>
      <w:r>
        <w:rPr>
          <w:rFonts w:ascii="Calibri" w:hAnsi="Calibri"/>
          <w:sz w:val="22"/>
        </w:rPr>
        <w:t>Success metrics:</w:t>
      </w:r>
    </w:p>
    <w:p>
      <w:pPr>
        <w:pStyle w:val="ListBullet"/>
      </w:pPr>
      <w:r>
        <w:rPr>
          <w:rFonts w:ascii="Calibri" w:hAnsi="Calibri"/>
          <w:sz w:val="22"/>
        </w:rPr>
        <w:t>Avoided disruptions (%), false positives, wall-contact events</w:t>
      </w:r>
    </w:p>
    <w:p>
      <w:pPr>
        <w:pStyle w:val="ListBullet"/>
      </w:pPr>
      <w:r>
        <w:rPr>
          <w:rFonts w:ascii="Calibri" w:hAnsi="Calibri"/>
          <w:sz w:val="22"/>
        </w:rPr>
        <w:t>Mode amplitude proxy reduction at fixed heating power</w:t>
      </w:r>
    </w:p>
    <w:p>
      <w:pPr>
        <w:pStyle w:val="ListBullet"/>
      </w:pPr>
      <w:r>
        <w:rPr>
          <w:rFonts w:ascii="Calibri" w:hAnsi="Calibri"/>
          <w:sz w:val="22"/>
        </w:rPr>
        <w:t>Zero constraint violations in claim runs</w:t>
      </w:r>
    </w:p>
    <w:p>
      <w:pPr>
        <w:pStyle w:val="ListBullet"/>
      </w:pPr>
      <w:r>
        <w:rPr>
          <w:rFonts w:ascii="Calibri" w:hAnsi="Calibri"/>
          <w:sz w:val="22"/>
        </w:rPr>
        <w:t>Recovery tests pass within epsilon</w:t>
      </w:r>
    </w:p>
    <w:p>
      <w:r>
        <w:rPr>
          <w:rFonts w:ascii="Calibri" w:hAnsi="Calibri"/>
          <w:sz w:val="22"/>
        </w:rPr>
        <w:t>TEVR proof-bundle artifacts:</w:t>
      </w:r>
    </w:p>
    <w:p>
      <w:pPr>
        <w:pStyle w:val="ListBullet"/>
      </w:pPr>
      <w:r>
        <w:rPr>
          <w:rFonts w:ascii="Calibri" w:hAnsi="Calibri"/>
          <w:sz w:val="22"/>
        </w:rPr>
        <w:t>Frozen setpoints + actuator families; deterministic run-order fingerprints</w:t>
      </w:r>
    </w:p>
    <w:p>
      <w:pPr>
        <w:pStyle w:val="ListBullet"/>
      </w:pPr>
      <w:r>
        <w:rPr>
          <w:rFonts w:ascii="Calibri" w:hAnsi="Calibri"/>
          <w:sz w:val="22"/>
        </w:rPr>
        <w:t>Replay script raw traces -&gt; metrics -&gt; figures; declared epsilon</w:t>
      </w:r>
    </w:p>
    <w:p>
      <w:pPr>
        <w:pStyle w:val="ListBullet"/>
      </w:pPr>
      <w:r>
        <w:rPr>
          <w:rFonts w:ascii="Calibri" w:hAnsi="Calibri"/>
          <w:sz w:val="22"/>
        </w:rPr>
        <w:t>Environment/model hashes; calibration chain</w:t>
      </w:r>
    </w:p>
    <w:p>
      <w:pPr>
        <w:pStyle w:val="Heading2"/>
      </w:pPr>
      <w:r>
        <w:rPr>
          <w:rFonts w:ascii="Calibri" w:hAnsi="Calibri"/>
          <w:sz w:val="22"/>
        </w:rPr>
        <w:t>P2. Design speed for leak-proof magnetic confinement (stellarator / advanced coil design)</w:t>
      </w:r>
    </w:p>
    <w:p>
      <w:r>
        <w:rPr>
          <w:rFonts w:ascii="Calibri" w:hAnsi="Calibri"/>
          <w:sz w:val="22"/>
        </w:rPr>
        <w:t>Root cause: Coil optimization is high-dimensional and historically slow; tolerance robustness is often treated late.</w:t>
      </w:r>
    </w:p>
    <w:p>
      <w:r>
        <w:rPr>
          <w:rFonts w:ascii="Calibri" w:hAnsi="Calibri"/>
          <w:sz w:val="22"/>
        </w:rPr>
        <w:t>CVP module: CVP Design-Invariant Optimizer + Robustness-First Objective</w:t>
      </w:r>
    </w:p>
    <w:p>
      <w:r>
        <w:rPr>
          <w:rFonts w:ascii="Calibri" w:hAnsi="Calibri"/>
          <w:sz w:val="22"/>
        </w:rPr>
        <w:t>Solution:</w:t>
      </w:r>
    </w:p>
    <w:p>
      <w:r>
        <w:rPr>
          <w:rFonts w:ascii="Calibri" w:hAnsi="Calibri"/>
          <w:sz w:val="22"/>
        </w:rPr>
        <w:t>Define I_field capturing closure/islands/tolerance; optimize L(I_field)+lambda*R(tolerance); TEVR-proof every candidate.</w:t>
      </w:r>
    </w:p>
    <w:p>
      <w:r>
        <w:rPr>
          <w:rFonts w:ascii="Calibri" w:hAnsi="Calibri"/>
          <w:sz w:val="22"/>
        </w:rPr>
        <w:t>Algorithms / implementation:</w:t>
      </w:r>
    </w:p>
    <w:p>
      <w:pPr>
        <w:pStyle w:val="ListBullet"/>
      </w:pPr>
      <w:r>
        <w:rPr>
          <w:rFonts w:ascii="Calibri" w:hAnsi="Calibri"/>
          <w:sz w:val="22"/>
        </w:rPr>
        <w:t>Objective: minimize L(I_field)+lambda*R(tolerance)</w:t>
      </w:r>
    </w:p>
    <w:p>
      <w:pPr>
        <w:pStyle w:val="ListBullet"/>
      </w:pPr>
      <w:r>
        <w:rPr>
          <w:rFonts w:ascii="Calibri" w:hAnsi="Calibri"/>
          <w:sz w:val="22"/>
        </w:rPr>
        <w:t>Search: gradient-based where available; otherwise CMA-ES/BayesOpt with constraints</w:t>
      </w:r>
    </w:p>
    <w:p>
      <w:pPr>
        <w:pStyle w:val="ListBullet"/>
      </w:pPr>
      <w:r>
        <w:rPr>
          <w:rFonts w:ascii="Calibri" w:hAnsi="Calibri"/>
          <w:sz w:val="22"/>
        </w:rPr>
        <w:t>Robustness: Monte Carlo tolerance sweeps as acceptance tests</w:t>
      </w:r>
    </w:p>
    <w:p>
      <w:r>
        <w:rPr>
          <w:rFonts w:ascii="Calibri" w:hAnsi="Calibri"/>
          <w:sz w:val="22"/>
        </w:rPr>
        <w:t>Success metrics:</w:t>
      </w:r>
    </w:p>
    <w:p>
      <w:pPr>
        <w:pStyle w:val="ListBullet"/>
      </w:pPr>
      <w:r>
        <w:rPr>
          <w:rFonts w:ascii="Calibri" w:hAnsi="Calibri"/>
          <w:sz w:val="22"/>
        </w:rPr>
        <w:t>Design runtime (speedup), leakage/island constraints satisfied</w:t>
      </w:r>
    </w:p>
    <w:p>
      <w:pPr>
        <w:pStyle w:val="ListBullet"/>
      </w:pPr>
      <w:r>
        <w:rPr>
          <w:rFonts w:ascii="Calibri" w:hAnsi="Calibri"/>
          <w:sz w:val="22"/>
        </w:rPr>
        <w:t>Tolerance robustness yield under perturbation</w:t>
      </w:r>
    </w:p>
    <w:p>
      <w:pPr>
        <w:pStyle w:val="ListBullet"/>
      </w:pPr>
      <w:r>
        <w:rPr>
          <w:rFonts w:ascii="Calibri" w:hAnsi="Calibri"/>
          <w:sz w:val="22"/>
        </w:rPr>
        <w:t>Manufacturing feasibility score</w:t>
      </w:r>
    </w:p>
    <w:p>
      <w:r>
        <w:rPr>
          <w:rFonts w:ascii="Calibri" w:hAnsi="Calibri"/>
          <w:sz w:val="22"/>
        </w:rPr>
        <w:t>TEVR proof-bundle artifacts:</w:t>
      </w:r>
    </w:p>
    <w:p>
      <w:pPr>
        <w:pStyle w:val="ListBullet"/>
      </w:pPr>
      <w:r>
        <w:rPr>
          <w:rFonts w:ascii="Calibri" w:hAnsi="Calibri"/>
          <w:sz w:val="22"/>
        </w:rPr>
        <w:t>Seed lineage + solver version hashes; geometry files checksummed</w:t>
      </w:r>
    </w:p>
    <w:p>
      <w:pPr>
        <w:pStyle w:val="ListBullet"/>
      </w:pPr>
      <w:r>
        <w:rPr>
          <w:rFonts w:ascii="Calibri" w:hAnsi="Calibri"/>
          <w:sz w:val="22"/>
        </w:rPr>
        <w:t>Tolerance sweep definitions and thresholds embedded</w:t>
      </w:r>
    </w:p>
    <w:p>
      <w:pPr>
        <w:pStyle w:val="Heading2"/>
      </w:pPr>
      <w:r>
        <w:rPr>
          <w:rFonts w:ascii="Calibri" w:hAnsi="Calibri"/>
          <w:sz w:val="22"/>
        </w:rPr>
        <w:t>P3. Edge/divertor heat exhaust and component longevity (SOLPS-ITER class challenges)</w:t>
      </w:r>
    </w:p>
    <w:p>
      <w:r>
        <w:rPr>
          <w:rFonts w:ascii="Calibri" w:hAnsi="Calibri"/>
          <w:sz w:val="22"/>
        </w:rPr>
        <w:t>Root cause: Heat and particle exhaust concentrate on divertor targets; asymmetries and drifts create strike-point patterns; materials face cycling.</w:t>
      </w:r>
    </w:p>
    <w:p>
      <w:r>
        <w:rPr>
          <w:rFonts w:ascii="Calibri" w:hAnsi="Calibri"/>
          <w:sz w:val="22"/>
        </w:rPr>
        <w:t>CVP module: CVP Edge/Exhaust Index + Heat-Flux Shaping Controller</w:t>
      </w:r>
    </w:p>
    <w:p>
      <w:r>
        <w:rPr>
          <w:rFonts w:ascii="Calibri" w:hAnsi="Calibri"/>
          <w:sz w:val="22"/>
        </w:rPr>
        <w:t>Solution:</w:t>
      </w:r>
    </w:p>
    <w:p>
      <w:r>
        <w:rPr>
          <w:rFonts w:ascii="Calibri" w:hAnsi="Calibri"/>
          <w:sz w:val="22"/>
        </w:rPr>
        <w:t>Define edge invariants I_edge and heat-risk H(t)=max_x q(x,t); train surrogates; control to minimize peak heat while preserving confinement.</w:t>
      </w:r>
    </w:p>
    <w:p>
      <w:r>
        <w:rPr>
          <w:rFonts w:ascii="Calibri" w:hAnsi="Calibri"/>
          <w:sz w:val="22"/>
        </w:rPr>
        <w:t>Algorithms / implementation:</w:t>
      </w:r>
    </w:p>
    <w:p>
      <w:pPr>
        <w:pStyle w:val="ListBullet"/>
      </w:pPr>
      <w:r>
        <w:rPr>
          <w:rFonts w:ascii="Calibri" w:hAnsi="Calibri"/>
          <w:sz w:val="22"/>
        </w:rPr>
        <w:t>Surrogate: differentiable q_hat(x,t | I_edge,u) with local recovery constraints</w:t>
      </w:r>
    </w:p>
    <w:p>
      <w:pPr>
        <w:pStyle w:val="ListBullet"/>
      </w:pPr>
      <w:r>
        <w:rPr>
          <w:rFonts w:ascii="Calibri" w:hAnsi="Calibri"/>
          <w:sz w:val="22"/>
        </w:rPr>
        <w:t>Controller: multi-objective constrained optimization to minimize peak heat flux</w:t>
      </w:r>
    </w:p>
    <w:p>
      <w:pPr>
        <w:pStyle w:val="ListBullet"/>
      </w:pPr>
      <w:r>
        <w:rPr>
          <w:rFonts w:ascii="Calibri" w:hAnsi="Calibri"/>
          <w:sz w:val="22"/>
        </w:rPr>
        <w:t>Strike-point sweeping schedules that avoid mode excitation</w:t>
      </w:r>
    </w:p>
    <w:p>
      <w:r>
        <w:rPr>
          <w:rFonts w:ascii="Calibri" w:hAnsi="Calibri"/>
          <w:sz w:val="22"/>
        </w:rPr>
        <w:t>Success metrics:</w:t>
      </w:r>
    </w:p>
    <w:p>
      <w:pPr>
        <w:pStyle w:val="ListBullet"/>
      </w:pPr>
      <w:r>
        <w:rPr>
          <w:rFonts w:ascii="Calibri" w:hAnsi="Calibri"/>
          <w:sz w:val="22"/>
        </w:rPr>
        <w:t>Peak heat flux reduction (%), distribution uniformity</w:t>
      </w:r>
    </w:p>
    <w:p>
      <w:pPr>
        <w:pStyle w:val="ListBullet"/>
      </w:pPr>
      <w:r>
        <w:rPr>
          <w:rFonts w:ascii="Calibri" w:hAnsi="Calibri"/>
          <w:sz w:val="22"/>
        </w:rPr>
        <w:t>Time-at-risk above threshold</w:t>
      </w:r>
    </w:p>
    <w:p>
      <w:pPr>
        <w:pStyle w:val="ListBullet"/>
      </w:pPr>
      <w:r>
        <w:rPr>
          <w:rFonts w:ascii="Calibri" w:hAnsi="Calibri"/>
          <w:sz w:val="22"/>
        </w:rPr>
        <w:t>Confinement proxy maintained (no regression beyond epsilon)</w:t>
      </w:r>
    </w:p>
    <w:p>
      <w:r>
        <w:rPr>
          <w:rFonts w:ascii="Calibri" w:hAnsi="Calibri"/>
          <w:sz w:val="22"/>
        </w:rPr>
        <w:t>TEVR proof-bundle artifacts:</w:t>
      </w:r>
    </w:p>
    <w:p>
      <w:pPr>
        <w:pStyle w:val="ListBullet"/>
      </w:pPr>
      <w:r>
        <w:rPr>
          <w:rFonts w:ascii="Calibri" w:hAnsi="Calibri"/>
          <w:sz w:val="22"/>
        </w:rPr>
        <w:t>Model provenance (datasets), training logs, cross-validation</w:t>
      </w:r>
    </w:p>
    <w:p>
      <w:pPr>
        <w:pStyle w:val="ListBullet"/>
      </w:pPr>
      <w:r>
        <w:rPr>
          <w:rFonts w:ascii="Calibri" w:hAnsi="Calibri"/>
          <w:sz w:val="22"/>
        </w:rPr>
        <w:t>Operational replay of heat-risk decisions vs measured q(x)</w:t>
      </w:r>
    </w:p>
    <w:p>
      <w:pPr>
        <w:pStyle w:val="Heading2"/>
      </w:pPr>
      <w:r>
        <w:rPr>
          <w:rFonts w:ascii="Calibri" w:hAnsi="Calibri"/>
          <w:sz w:val="22"/>
        </w:rPr>
        <w:t>P4. Alternative confinement (Z-pinch / pulsed pinch systems)</w:t>
      </w:r>
    </w:p>
    <w:p>
      <w:r>
        <w:rPr>
          <w:rFonts w:ascii="Calibri" w:hAnsi="Calibri"/>
          <w:sz w:val="22"/>
        </w:rPr>
        <w:t>Root cause: Pinch systems face fast instabilities; pulsed timing is unforgiving; diagnostics can be limited.</w:t>
      </w:r>
    </w:p>
    <w:p>
      <w:r>
        <w:rPr>
          <w:rFonts w:ascii="Calibri" w:hAnsi="Calibri"/>
          <w:sz w:val="22"/>
        </w:rPr>
        <w:t>CVP module: CVP Pulse-Shaping and Instability-Suppression Overlay</w:t>
      </w:r>
    </w:p>
    <w:p>
      <w:r>
        <w:rPr>
          <w:rFonts w:ascii="Calibri" w:hAnsi="Calibri"/>
          <w:sz w:val="22"/>
        </w:rPr>
        <w:t>Solution:</w:t>
      </w:r>
    </w:p>
    <w:p>
      <w:r>
        <w:rPr>
          <w:rFonts w:ascii="Calibri" w:hAnsi="Calibri"/>
          <w:sz w:val="22"/>
        </w:rPr>
        <w:t>Treat current drive and timing as waveforms; compute pinch invariants I_pinch; optimize waveform families to avoid instability growth windows.</w:t>
      </w:r>
    </w:p>
    <w:p>
      <w:r>
        <w:rPr>
          <w:rFonts w:ascii="Calibri" w:hAnsi="Calibri"/>
          <w:sz w:val="22"/>
        </w:rPr>
        <w:t>Algorithms / implementation:</w:t>
      </w:r>
    </w:p>
    <w:p>
      <w:pPr>
        <w:pStyle w:val="ListBullet"/>
      </w:pPr>
      <w:r>
        <w:rPr>
          <w:rFonts w:ascii="Calibri" w:hAnsi="Calibri"/>
          <w:sz w:val="22"/>
        </w:rPr>
        <w:t>Waveform optimization under hard limits (dI/dt, voltage, arcing, electrode stress)</w:t>
      </w:r>
    </w:p>
    <w:p>
      <w:pPr>
        <w:pStyle w:val="ListBullet"/>
      </w:pPr>
      <w:r>
        <w:rPr>
          <w:rFonts w:ascii="Calibri" w:hAnsi="Calibri"/>
          <w:sz w:val="22"/>
        </w:rPr>
        <w:t>Band-targeted bounded perturbations to decorrelate unstable modes</w:t>
      </w:r>
    </w:p>
    <w:p>
      <w:pPr>
        <w:pStyle w:val="ListBullet"/>
      </w:pPr>
      <w:r>
        <w:rPr>
          <w:rFonts w:ascii="Calibri" w:hAnsi="Calibri"/>
          <w:sz w:val="22"/>
        </w:rPr>
        <w:t>Virtual diagnostics to reconstruct missing states with confidence scoring</w:t>
      </w:r>
    </w:p>
    <w:p>
      <w:r>
        <w:rPr>
          <w:rFonts w:ascii="Calibri" w:hAnsi="Calibri"/>
          <w:sz w:val="22"/>
        </w:rPr>
        <w:t>Success metrics:</w:t>
      </w:r>
    </w:p>
    <w:p>
      <w:pPr>
        <w:pStyle w:val="ListBullet"/>
      </w:pPr>
      <w:r>
        <w:rPr>
          <w:rFonts w:ascii="Calibri" w:hAnsi="Calibri"/>
          <w:sz w:val="22"/>
        </w:rPr>
        <w:t>Repeatable stable pinch duration; reduced run-to-run variance</w:t>
      </w:r>
    </w:p>
    <w:p>
      <w:pPr>
        <w:pStyle w:val="ListBullet"/>
      </w:pPr>
      <w:r>
        <w:rPr>
          <w:rFonts w:ascii="Calibri" w:hAnsi="Calibri"/>
          <w:sz w:val="22"/>
        </w:rPr>
        <w:t>Neutron yield per joule (Phase B)</w:t>
      </w:r>
    </w:p>
    <w:p>
      <w:pPr>
        <w:pStyle w:val="ListBullet"/>
      </w:pPr>
      <w:r>
        <w:rPr>
          <w:rFonts w:ascii="Calibri" w:hAnsi="Calibri"/>
          <w:sz w:val="22"/>
        </w:rPr>
        <w:t>Lower arcing/electrode-damage rate</w:t>
      </w:r>
    </w:p>
    <w:p>
      <w:r>
        <w:rPr>
          <w:rFonts w:ascii="Calibri" w:hAnsi="Calibri"/>
          <w:sz w:val="22"/>
        </w:rPr>
        <w:t>TEVR proof-bundle artifacts:</w:t>
      </w:r>
    </w:p>
    <w:p>
      <w:pPr>
        <w:pStyle w:val="ListBullet"/>
      </w:pPr>
      <w:r>
        <w:rPr>
          <w:rFonts w:ascii="Calibri" w:hAnsi="Calibri"/>
          <w:sz w:val="22"/>
        </w:rPr>
        <w:t>Waveform hashes; synchronized timing logs; calibration chain</w:t>
      </w:r>
    </w:p>
    <w:p>
      <w:pPr>
        <w:pStyle w:val="Heading2"/>
      </w:pPr>
      <w:r>
        <w:rPr>
          <w:rFonts w:ascii="Calibri" w:hAnsi="Calibri"/>
          <w:sz w:val="22"/>
        </w:rPr>
        <w:t>P5. Virtual diagnostics and sensor scarcity (Diag2Diag-type reconstruction)</w:t>
      </w:r>
    </w:p>
    <w:p>
      <w:r>
        <w:rPr>
          <w:rFonts w:ascii="Calibri" w:hAnsi="Calibri"/>
          <w:sz w:val="22"/>
        </w:rPr>
        <w:t>Root cause: Commercial fusion cannot afford unlimited sensors; sensors fail/drift; missing channels destabilize control loops.</w:t>
      </w:r>
    </w:p>
    <w:p>
      <w:r>
        <w:rPr>
          <w:rFonts w:ascii="Calibri" w:hAnsi="Calibri"/>
          <w:sz w:val="22"/>
        </w:rPr>
        <w:t>CVP module: CVP Integrity Plane for Diagnostics (Trust-Weighted Sensing)</w:t>
      </w:r>
    </w:p>
    <w:p>
      <w:r>
        <w:rPr>
          <w:rFonts w:ascii="Calibri" w:hAnsi="Calibri"/>
          <w:sz w:val="22"/>
        </w:rPr>
        <w:t>Solution:</w:t>
      </w:r>
    </w:p>
    <w:p>
      <w:r>
        <w:rPr>
          <w:rFonts w:ascii="Calibri" w:hAnsi="Calibri"/>
          <w:sz w:val="22"/>
        </w:rPr>
        <w:t>Fuse physical sensors and virtual diagnostics into trust-weighted measurement; confidence scoring; failover to conservative control when needed.</w:t>
      </w:r>
    </w:p>
    <w:p>
      <w:r>
        <w:rPr>
          <w:rFonts w:ascii="Calibri" w:hAnsi="Calibri"/>
          <w:sz w:val="22"/>
        </w:rPr>
        <w:t>Algorithms / implementation:</w:t>
      </w:r>
    </w:p>
    <w:p>
      <w:pPr>
        <w:pStyle w:val="ListBullet"/>
      </w:pPr>
      <w:r>
        <w:rPr>
          <w:rFonts w:ascii="Calibri" w:hAnsi="Calibri"/>
          <w:sz w:val="22"/>
        </w:rPr>
        <w:t>Reconstruction with uncertainty estimates</w:t>
      </w:r>
    </w:p>
    <w:p>
      <w:pPr>
        <w:pStyle w:val="ListBullet"/>
      </w:pPr>
      <w:r>
        <w:rPr>
          <w:rFonts w:ascii="Calibri" w:hAnsi="Calibri"/>
          <w:sz w:val="22"/>
        </w:rPr>
        <w:t>Invariant consistency checks to flag drift</w:t>
      </w:r>
    </w:p>
    <w:p>
      <w:pPr>
        <w:pStyle w:val="ListBullet"/>
      </w:pPr>
      <w:r>
        <w:rPr>
          <w:rFonts w:ascii="Calibri" w:hAnsi="Calibri"/>
          <w:sz w:val="22"/>
        </w:rPr>
        <w:t>Failover policy when uncertainty exceeds threshold</w:t>
      </w:r>
    </w:p>
    <w:p>
      <w:r>
        <w:rPr>
          <w:rFonts w:ascii="Calibri" w:hAnsi="Calibri"/>
          <w:sz w:val="22"/>
        </w:rPr>
        <w:t>Success metrics:</w:t>
      </w:r>
    </w:p>
    <w:p>
      <w:pPr>
        <w:pStyle w:val="ListBullet"/>
      </w:pPr>
      <w:r>
        <w:rPr>
          <w:rFonts w:ascii="Calibri" w:hAnsi="Calibri"/>
          <w:sz w:val="22"/>
        </w:rPr>
        <w:t>Control stability under sensor dropout; downtime reduction</w:t>
      </w:r>
    </w:p>
    <w:p>
      <w:pPr>
        <w:pStyle w:val="ListBullet"/>
      </w:pPr>
      <w:r>
        <w:rPr>
          <w:rFonts w:ascii="Calibri" w:hAnsi="Calibri"/>
          <w:sz w:val="22"/>
        </w:rPr>
        <w:t>Reconstruction error vs ground truth; calibration stability</w:t>
      </w:r>
    </w:p>
    <w:p>
      <w:pPr>
        <w:pStyle w:val="ListBullet"/>
      </w:pPr>
      <w:r>
        <w:rPr>
          <w:rFonts w:ascii="Calibri" w:hAnsi="Calibri"/>
          <w:sz w:val="22"/>
        </w:rPr>
        <w:t>False alarm rate for drift detection</w:t>
      </w:r>
    </w:p>
    <w:p>
      <w:r>
        <w:rPr>
          <w:rFonts w:ascii="Calibri" w:hAnsi="Calibri"/>
          <w:sz w:val="22"/>
        </w:rPr>
        <w:t>TEVR proof-bundle artifacts:</w:t>
      </w:r>
    </w:p>
    <w:p>
      <w:pPr>
        <w:pStyle w:val="ListBullet"/>
      </w:pPr>
      <w:r>
        <w:rPr>
          <w:rFonts w:ascii="Calibri" w:hAnsi="Calibri"/>
          <w:sz w:val="22"/>
        </w:rPr>
        <w:t>Dataset partitions + dropout scenarios; uncertainty calibration reports</w:t>
      </w:r>
    </w:p>
    <w:p>
      <w:pPr>
        <w:pStyle w:val="ListBullet"/>
      </w:pPr>
      <w:r>
        <w:rPr>
          <w:rFonts w:ascii="Calibri" w:hAnsi="Calibri"/>
          <w:sz w:val="22"/>
        </w:rPr>
        <w:t>Replay of reconstructions on fixed test sets</w:t>
      </w:r>
    </w:p>
    <w:p>
      <w:pPr>
        <w:pStyle w:val="Heading2"/>
      </w:pPr>
      <w:r>
        <w:rPr>
          <w:rFonts w:ascii="Calibri" w:hAnsi="Calibri"/>
          <w:sz w:val="22"/>
        </w:rPr>
        <w:t>P6. Economic viability: iteration speed, reliability, and cost of operation</w:t>
      </w:r>
    </w:p>
    <w:p>
      <w:r>
        <w:rPr>
          <w:rFonts w:ascii="Calibri" w:hAnsi="Calibri"/>
          <w:sz w:val="22"/>
        </w:rPr>
        <w:t>Root cause: Shots are expensive; sim/experiment mismatch wastes cycles; partners demand reproducibility; reliability drives OPEX.</w:t>
      </w:r>
    </w:p>
    <w:p>
      <w:r>
        <w:rPr>
          <w:rFonts w:ascii="Calibri" w:hAnsi="Calibri"/>
          <w:sz w:val="22"/>
        </w:rPr>
        <w:t>CVP module: TEVR Proof Bundles + Micro-Experiment Batching + Robust Optimization</w:t>
      </w:r>
    </w:p>
    <w:p>
      <w:r>
        <w:rPr>
          <w:rFonts w:ascii="Calibri" w:hAnsi="Calibri"/>
          <w:sz w:val="22"/>
        </w:rPr>
        <w:t>Solution:</w:t>
      </w:r>
    </w:p>
    <w:p>
      <w:r>
        <w:rPr>
          <w:rFonts w:ascii="Calibri" w:hAnsi="Calibri"/>
          <w:sz w:val="22"/>
        </w:rPr>
        <w:t>Make every claim replayable; increase information per shot with bounded micro-perturbations; optimize for robust performance under uncertainty.</w:t>
      </w:r>
    </w:p>
    <w:p>
      <w:r>
        <w:rPr>
          <w:rFonts w:ascii="Calibri" w:hAnsi="Calibri"/>
          <w:sz w:val="22"/>
        </w:rPr>
        <w:t>Algorithms / implementation:</w:t>
      </w:r>
    </w:p>
    <w:p>
      <w:pPr>
        <w:pStyle w:val="ListBullet"/>
      </w:pPr>
      <w:r>
        <w:rPr>
          <w:rFonts w:ascii="Calibri" w:hAnsi="Calibri"/>
          <w:sz w:val="22"/>
        </w:rPr>
        <w:t>TEVR pipeline integrated with data acquisition and analysis</w:t>
      </w:r>
    </w:p>
    <w:p>
      <w:pPr>
        <w:pStyle w:val="ListBullet"/>
      </w:pPr>
      <w:r>
        <w:rPr>
          <w:rFonts w:ascii="Calibri" w:hAnsi="Calibri"/>
          <w:sz w:val="22"/>
        </w:rPr>
        <w:t>Robust objective: maximize E[perf] - lambda*Var(perf) with safety constraints</w:t>
      </w:r>
    </w:p>
    <w:p>
      <w:pPr>
        <w:pStyle w:val="ListBullet"/>
      </w:pPr>
      <w:r>
        <w:rPr>
          <w:rFonts w:ascii="Calibri" w:hAnsi="Calibri"/>
          <w:sz w:val="22"/>
        </w:rPr>
        <w:t>Shot-time batching to estimate local sensitivities dPi/dtheta and dH/dtheta</w:t>
      </w:r>
    </w:p>
    <w:p>
      <w:r>
        <w:rPr>
          <w:rFonts w:ascii="Calibri" w:hAnsi="Calibri"/>
          <w:sz w:val="22"/>
        </w:rPr>
        <w:t>Success metrics:</w:t>
      </w:r>
    </w:p>
    <w:p>
      <w:pPr>
        <w:pStyle w:val="ListBullet"/>
      </w:pPr>
      <w:r>
        <w:rPr>
          <w:rFonts w:ascii="Calibri" w:hAnsi="Calibri"/>
          <w:sz w:val="22"/>
        </w:rPr>
        <w:t>Cost per validated improvement; time-to-decision reduction</w:t>
      </w:r>
    </w:p>
    <w:p>
      <w:pPr>
        <w:pStyle w:val="ListBullet"/>
      </w:pPr>
      <w:r>
        <w:rPr>
          <w:rFonts w:ascii="Calibri" w:hAnsi="Calibri"/>
          <w:sz w:val="22"/>
        </w:rPr>
        <w:t>Replication success across days/operators</w:t>
      </w:r>
    </w:p>
    <w:p>
      <w:pPr>
        <w:pStyle w:val="ListBullet"/>
      </w:pPr>
      <w:r>
        <w:rPr>
          <w:rFonts w:ascii="Calibri" w:hAnsi="Calibri"/>
          <w:sz w:val="22"/>
        </w:rPr>
        <w:t>Reduced variance and fewer aborts</w:t>
      </w:r>
    </w:p>
    <w:p>
      <w:r>
        <w:rPr>
          <w:rFonts w:ascii="Calibri" w:hAnsi="Calibri"/>
          <w:sz w:val="22"/>
        </w:rPr>
        <w:t>TEVR proof-bundle artifacts:</w:t>
      </w:r>
    </w:p>
    <w:p>
      <w:pPr>
        <w:pStyle w:val="ListBullet"/>
      </w:pPr>
      <w:r>
        <w:rPr>
          <w:rFonts w:ascii="Calibri" w:hAnsi="Calibri"/>
          <w:sz w:val="22"/>
        </w:rPr>
        <w:t>End-to-end provenance: run logs -&gt; raw traces -&gt; analysis -&gt; figures -&gt; signed artifacts</w:t>
      </w:r>
    </w:p>
    <w:p>
      <w:pPr>
        <w:pStyle w:val="Heading2"/>
      </w:pPr>
      <w:r>
        <w:rPr>
          <w:rFonts w:ascii="Calibri" w:hAnsi="Calibri"/>
          <w:sz w:val="22"/>
        </w:rPr>
        <w:t>P7. Starlifting: controlled stellar mass extraction (long-horizon infrastructure)</w:t>
      </w:r>
    </w:p>
    <w:p>
      <w:r>
        <w:rPr>
          <w:rFonts w:ascii="Calibri" w:hAnsi="Calibri"/>
          <w:sz w:val="22"/>
        </w:rPr>
        <w:t>Root cause: Astrophysical-scale extraction must be ultra-low-rate to avoid destabilizing stellar structure; routing and capture require precise field control.</w:t>
      </w:r>
    </w:p>
    <w:p>
      <w:r>
        <w:rPr>
          <w:rFonts w:ascii="Calibri" w:hAnsi="Calibri"/>
          <w:sz w:val="22"/>
        </w:rPr>
        <w:t>CVP module: CVP Stellar Extraction Overlay (Omega gating + 4D state + EM routing)</w:t>
      </w:r>
    </w:p>
    <w:p>
      <w:r>
        <w:rPr>
          <w:rFonts w:ascii="Calibri" w:hAnsi="Calibri"/>
          <w:sz w:val="22"/>
        </w:rPr>
        <w:t>Solution:</w:t>
      </w:r>
    </w:p>
    <w:p>
      <w:r>
        <w:rPr>
          <w:rFonts w:ascii="Calibri" w:hAnsi="Calibri"/>
          <w:sz w:val="22"/>
        </w:rPr>
        <w:t>Model starlifting as controlled thermal outflow plus magnetic routing. Use Omega convergence flags to halt on instability; enforce TEVR proof bundles for energy accounting and extraction stability.</w:t>
      </w:r>
    </w:p>
    <w:p>
      <w:r>
        <w:rPr>
          <w:rFonts w:ascii="Calibri" w:hAnsi="Calibri"/>
          <w:sz w:val="22"/>
        </w:rPr>
        <w:t>Algorithms / implementation:</w:t>
      </w:r>
    </w:p>
    <w:p>
      <w:pPr>
        <w:pStyle w:val="ListBullet"/>
      </w:pPr>
      <w:r>
        <w:rPr>
          <w:rFonts w:ascii="Calibri" w:hAnsi="Calibri"/>
          <w:sz w:val="22"/>
        </w:rPr>
        <w:t>Baseline: v_esc = sqrt(2*G*M_star/r_star); E_spec = G*M_star/r_star</w:t>
      </w:r>
    </w:p>
    <w:p>
      <w:pPr>
        <w:pStyle w:val="ListBullet"/>
      </w:pPr>
      <w:r>
        <w:rPr>
          <w:rFonts w:ascii="Calibri" w:hAnsi="Calibri"/>
          <w:sz w:val="22"/>
        </w:rPr>
        <w:t>Control: localized heating -&gt; plasma fountain; magnetic nozzle routing</w:t>
      </w:r>
    </w:p>
    <w:p>
      <w:pPr>
        <w:pStyle w:val="ListBullet"/>
      </w:pPr>
      <w:r>
        <w:rPr>
          <w:rFonts w:ascii="Calibri" w:hAnsi="Calibri"/>
          <w:sz w:val="22"/>
        </w:rPr>
        <w:t>Governance: extraction fraction f ~ mdot/M_star bounded (e.g., ~0.001%/yr) with recovery gates</w:t>
      </w:r>
    </w:p>
    <w:p>
      <w:r>
        <w:rPr>
          <w:rFonts w:ascii="Calibri" w:hAnsi="Calibri"/>
          <w:sz w:val="22"/>
        </w:rPr>
        <w:t>Success metrics:</w:t>
      </w:r>
    </w:p>
    <w:p>
      <w:pPr>
        <w:pStyle w:val="ListBullet"/>
      </w:pPr>
      <w:r>
        <w:rPr>
          <w:rFonts w:ascii="Calibri" w:hAnsi="Calibri"/>
          <w:sz w:val="22"/>
        </w:rPr>
        <w:t>Stable extraction without triggering fragmentation flags</w:t>
      </w:r>
    </w:p>
    <w:p>
      <w:pPr>
        <w:pStyle w:val="ListBullet"/>
      </w:pPr>
      <w:r>
        <w:rPr>
          <w:rFonts w:ascii="Calibri" w:hAnsi="Calibri"/>
          <w:sz w:val="22"/>
        </w:rPr>
        <w:t>Energy-per-kg accounting consistent with E_spec within tolerance</w:t>
      </w:r>
    </w:p>
    <w:p>
      <w:pPr>
        <w:pStyle w:val="ListBullet"/>
      </w:pPr>
      <w:r>
        <w:rPr>
          <w:rFonts w:ascii="Calibri" w:hAnsi="Calibri"/>
          <w:sz w:val="22"/>
        </w:rPr>
        <w:t>Routing efficiency and containment success</w:t>
      </w:r>
    </w:p>
    <w:p>
      <w:r>
        <w:rPr>
          <w:rFonts w:ascii="Calibri" w:hAnsi="Calibri"/>
          <w:sz w:val="22"/>
        </w:rPr>
        <w:t>TEVR proof-bundle artifacts:</w:t>
      </w:r>
    </w:p>
    <w:p>
      <w:pPr>
        <w:pStyle w:val="ListBullet"/>
      </w:pPr>
      <w:r>
        <w:rPr>
          <w:rFonts w:ascii="Calibri" w:hAnsi="Calibri"/>
          <w:sz w:val="22"/>
        </w:rPr>
        <w:t>Frozen setpoints, field maps, extraction logs; deterministic replay; declared epsilon</w:t>
      </w:r>
    </w:p>
    <w:p>
      <w:pPr>
        <w:pStyle w:val="Heading2"/>
      </w:pPr>
      <w:r>
        <w:rPr>
          <w:rFonts w:ascii="Calibri" w:hAnsi="Calibri"/>
          <w:sz w:val="22"/>
        </w:rPr>
        <w:t>P8. Black hole energy harvesting: extreme-environment governance (conceptual)</w:t>
      </w:r>
    </w:p>
    <w:p>
      <w:r>
        <w:rPr>
          <w:rFonts w:ascii="Calibri" w:hAnsi="Calibri"/>
          <w:sz w:val="22"/>
        </w:rPr>
        <w:t>Root cause: Extreme EM/plasma environments demand fail-fast governance and auditable control; near-term practicality varies by mechanism.</w:t>
      </w:r>
    </w:p>
    <w:p>
      <w:r>
        <w:rPr>
          <w:rFonts w:ascii="Calibri" w:hAnsi="Calibri"/>
          <w:sz w:val="22"/>
        </w:rPr>
        <w:t>CVP module: CVP Extreme-Field Governance Overlay (4D topology + EM control + TEVR)</w:t>
      </w:r>
    </w:p>
    <w:p>
      <w:r>
        <w:rPr>
          <w:rFonts w:ascii="Calibri" w:hAnsi="Calibri"/>
          <w:sz w:val="22"/>
        </w:rPr>
        <w:t>Solution:</w:t>
      </w:r>
    </w:p>
    <w:p>
      <w:r>
        <w:rPr>
          <w:rFonts w:ascii="Calibri" w:hAnsi="Calibri"/>
          <w:sz w:val="22"/>
        </w:rPr>
        <w:t>Treat accretion conversion and magnetized spin extraction as controlled routing/topology problems; apply 4D state and Omega stability gating; TEVR governs any operational claim.</w:t>
      </w:r>
    </w:p>
    <w:p>
      <w:r>
        <w:rPr>
          <w:rFonts w:ascii="Calibri" w:hAnsi="Calibri"/>
          <w:sz w:val="22"/>
        </w:rPr>
        <w:t>Algorithms / implementation:</w:t>
      </w:r>
    </w:p>
    <w:p>
      <w:pPr>
        <w:pStyle w:val="ListBullet"/>
      </w:pPr>
      <w:r>
        <w:rPr>
          <w:rFonts w:ascii="Calibri" w:hAnsi="Calibri"/>
          <w:sz w:val="22"/>
        </w:rPr>
        <w:t>Baseline: accretion P ~ eta*mdot*c^2; spin extraction conceptual in magnetized environment</w:t>
      </w:r>
    </w:p>
    <w:p>
      <w:pPr>
        <w:pStyle w:val="ListBullet"/>
      </w:pPr>
      <w:r>
        <w:rPr>
          <w:rFonts w:ascii="Calibri" w:hAnsi="Calibri"/>
          <w:sz w:val="22"/>
        </w:rPr>
        <w:t>4D state to track topology dynamics and stability margins</w:t>
      </w:r>
    </w:p>
    <w:p>
      <w:pPr>
        <w:pStyle w:val="ListBullet"/>
      </w:pPr>
      <w:r>
        <w:rPr>
          <w:rFonts w:ascii="Calibri" w:hAnsi="Calibri"/>
          <w:sz w:val="22"/>
        </w:rPr>
        <w:t>Fail-fast: retreat logic on fragmentation flags; strict constraint envelopes</w:t>
      </w:r>
    </w:p>
    <w:p>
      <w:r>
        <w:rPr>
          <w:rFonts w:ascii="Calibri" w:hAnsi="Calibri"/>
          <w:sz w:val="22"/>
        </w:rPr>
        <w:t>Success metrics:</w:t>
      </w:r>
    </w:p>
    <w:p>
      <w:pPr>
        <w:pStyle w:val="ListBullet"/>
      </w:pPr>
      <w:r>
        <w:rPr>
          <w:rFonts w:ascii="Calibri" w:hAnsi="Calibri"/>
          <w:sz w:val="22"/>
        </w:rPr>
        <w:t>Stability margin maintenance and safe retreat success</w:t>
      </w:r>
    </w:p>
    <w:p>
      <w:pPr>
        <w:pStyle w:val="ListBullet"/>
      </w:pPr>
      <w:r>
        <w:rPr>
          <w:rFonts w:ascii="Calibri" w:hAnsi="Calibri"/>
          <w:sz w:val="22"/>
        </w:rPr>
        <w:t>Auditable power/energy accounting</w:t>
      </w:r>
    </w:p>
    <w:p>
      <w:pPr>
        <w:pStyle w:val="ListBullet"/>
      </w:pPr>
      <w:r>
        <w:rPr>
          <w:rFonts w:ascii="Calibri" w:hAnsi="Calibri"/>
          <w:sz w:val="22"/>
        </w:rPr>
        <w:t>Zero uncontrolled excursions outside constraints</w:t>
      </w:r>
    </w:p>
    <w:p>
      <w:r>
        <w:rPr>
          <w:rFonts w:ascii="Calibri" w:hAnsi="Calibri"/>
          <w:sz w:val="22"/>
        </w:rPr>
        <w:t>TEVR proof-bundle artifacts:</w:t>
      </w:r>
    </w:p>
    <w:p>
      <w:pPr>
        <w:pStyle w:val="ListBullet"/>
      </w:pPr>
      <w:r>
        <w:rPr>
          <w:rFonts w:ascii="Calibri" w:hAnsi="Calibri"/>
          <w:sz w:val="22"/>
        </w:rPr>
        <w:t>High consequence proof bundles: full provenance, replay, and acceptance gates</w:t>
      </w:r>
    </w:p>
    <w:p>
      <w:pPr>
        <w:pStyle w:val="Heading1"/>
      </w:pPr>
      <w:r>
        <w:rPr>
          <w:rFonts w:ascii="Calibri" w:hAnsi="Calibri"/>
          <w:sz w:val="22"/>
        </w:rPr>
        <w:t>Roadmap and Budget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Budget (order-of-magnitude)</w:t>
            </w:r>
          </w:p>
        </w:tc>
        <w:tc>
          <w:tcPr>
            <w:tcW w:type="dxa" w:w="2880"/>
          </w:tcPr>
          <w:p>
            <w:r>
              <w:t>Primary deliverable</w:t>
            </w:r>
          </w:p>
        </w:tc>
      </w:tr>
      <w:tr>
        <w:tc>
          <w:tcPr>
            <w:tcW w:type="dxa" w:w="2880"/>
          </w:tcPr>
          <w:p>
            <w:r>
              <w:t>Phase A - RF magnetized plasma testbed (8-12 weeks)</w:t>
            </w:r>
          </w:p>
        </w:tc>
        <w:tc>
          <w:tcPr>
            <w:tcW w:type="dxa" w:w="2880"/>
          </w:tcPr>
          <w:p>
            <w:r>
              <w:t>95k (lean)</w:t>
              <w:br/>
              <w:t>250k (typical)</w:t>
              <w:br/>
              <w:t>700k+ (instrumentation-heavy)</w:t>
            </w:r>
          </w:p>
        </w:tc>
        <w:tc>
          <w:tcPr>
            <w:tcW w:type="dxa" w:w="2880"/>
          </w:tcPr>
          <w:p>
            <w:r>
              <w:t>Validate Pi reduction and tau improvement with TEVR proof bundle.</w:t>
            </w:r>
          </w:p>
        </w:tc>
      </w:tr>
      <w:tr>
        <w:tc>
          <w:tcPr>
            <w:tcW w:type="dxa" w:w="2880"/>
          </w:tcPr>
          <w:p>
            <w:r>
              <w:t>Phase B - neutron-visible port (3-9 months)</w:t>
            </w:r>
          </w:p>
        </w:tc>
        <w:tc>
          <w:tcPr>
            <w:tcW w:type="dxa" w:w="2880"/>
          </w:tcPr>
          <w:p>
            <w:r>
              <w:t>250k - 1.5M</w:t>
            </w:r>
          </w:p>
        </w:tc>
        <w:tc>
          <w:tcPr>
            <w:tcW w:type="dxa" w:w="2880"/>
          </w:tcPr>
          <w:p>
            <w:r>
              <w:t>Demonstrate neutron yield per joule improvements and robust repeatability.</w:t>
            </w:r>
          </w:p>
        </w:tc>
      </w:tr>
      <w:tr>
        <w:tc>
          <w:tcPr>
            <w:tcW w:type="dxa" w:w="2880"/>
          </w:tcPr>
          <w:p>
            <w:r>
              <w:t>Phase C - integration with established device (6-24 months)</w:t>
            </w:r>
          </w:p>
        </w:tc>
        <w:tc>
          <w:tcPr>
            <w:tcW w:type="dxa" w:w="2880"/>
          </w:tcPr>
          <w:p>
            <w:r>
              <w:t>1M - 10M+ (partner-dependent)</w:t>
            </w:r>
          </w:p>
        </w:tc>
        <w:tc>
          <w:tcPr>
            <w:tcW w:type="dxa" w:w="2880"/>
          </w:tcPr>
          <w:p>
            <w:r>
              <w:t>Demonstrate improved confinement scaling or stability thresholds in partner machine.</w:t>
            </w:r>
          </w:p>
        </w:tc>
      </w:tr>
    </w:tbl>
    <w:p>
      <w:pPr>
        <w:pStyle w:val="Heading1"/>
      </w:pPr>
      <w:r>
        <w:rPr>
          <w:rFonts w:ascii="Calibri" w:hAnsi="Calibri"/>
          <w:sz w:val="22"/>
        </w:rPr>
        <w:t>References (public sources)</w:t>
      </w:r>
    </w:p>
    <w:p>
      <w:r>
        <w:rPr>
          <w:rFonts w:ascii="Calibri" w:hAnsi="Calibri"/>
          <w:sz w:val="22"/>
        </w:rPr>
        <w:t>DeepMind: Bringing AI to the next generation of fusion energy — https://deepmind.google/blog/bringing-ai-to-the-next-generation-of-fusion-energy/</w:t>
      </w:r>
    </w:p>
    <w:p>
      <w:r>
        <w:rPr>
          <w:rFonts w:ascii="Calibri" w:hAnsi="Calibri"/>
          <w:sz w:val="22"/>
        </w:rPr>
        <w:t>DeepMind: Accelerating fusion science through learned plasma control — https://deepmind.google/blog/accelerating-fusion-science-through-learned-plasma-control/</w:t>
      </w:r>
    </w:p>
    <w:p>
      <w:r>
        <w:rPr>
          <w:rFonts w:ascii="Calibri" w:hAnsi="Calibri"/>
          <w:sz w:val="22"/>
        </w:rPr>
        <w:t>CFS: AI alliance with DeepMind — https://blog.cfs.energy/with-ai-alliance-google-deepmind-and-cfs-take-fusion-to-the-next-level/</w:t>
      </w:r>
    </w:p>
    <w:p>
      <w:r>
        <w:rPr>
          <w:rFonts w:ascii="Calibri" w:hAnsi="Calibri"/>
          <w:sz w:val="22"/>
        </w:rPr>
        <w:t>PPPL: Diag2Diag virtual diagnostics — https://www.pppl.gov/news/2025/new-ai-enhances-view-inside-fusion-energy-systems</w:t>
      </w:r>
    </w:p>
    <w:p>
      <w:r>
        <w:rPr>
          <w:rFonts w:ascii="Calibri" w:hAnsi="Calibri"/>
          <w:sz w:val="22"/>
        </w:rPr>
        <w:t>UT Austin: faster method to design magnetic confinement reducing particle leakage — https://news.utexas.edu/2025/05/05/university-of-texas-led-team-solves-a-big-problem-for-fusion-energy/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