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sz w:val="22"/>
        </w:rPr>
        <w:t>CVP Fusion Solutions Compendium — Technical Brief (Master)</w:t>
      </w:r>
    </w:p>
    <w:p>
      <w:pPr>
        <w:jc w:val="center"/>
      </w:pPr>
      <w:r>
        <w:rPr>
          <w:rFonts w:ascii="Calibri" w:hAnsi="Calibri"/>
          <w:sz w:val="22"/>
        </w:rPr>
        <w:t>Equation Panel Locked • TEVR Proof Bundles • P1–P8 (Fusion + Starlifting + Black Hole)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Prepared by: </w:t>
      </w:r>
      <w:r>
        <w:rPr>
          <w:rFonts w:ascii="Calibri" w:hAnsi="Calibri"/>
          <w:sz w:val="22"/>
        </w:rPr>
        <w:t>Timothy J. Dillon</w:t>
      </w:r>
    </w:p>
    <w:p>
      <w:pPr>
        <w:jc w:val="center"/>
      </w:pPr>
      <w:r>
        <w:rPr>
          <w:rFonts w:ascii="Calibri" w:hAnsi="Calibri"/>
          <w:color w:val="464646"/>
          <w:sz w:val="22"/>
        </w:rPr>
        <w:t>206 Innovation Inc. • Bellevue, Washington</w:t>
      </w:r>
    </w:p>
    <w:p>
      <w:pPr>
        <w:jc w:val="center"/>
      </w:pPr>
      <w:r>
        <w:rPr>
          <w:rFonts w:ascii="Calibri" w:hAnsi="Calibri"/>
          <w:color w:val="464646"/>
          <w:sz w:val="22"/>
        </w:rPr>
        <w:t>Date: May 28, 2026</w:t>
      </w:r>
    </w:p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Canonical Equation Panel (Locked)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r>
              <w:t>c = local invariant causal speed</w:t>
              <w:br/>
              <w:t>c_eff = f(K, R, nabla K, partial_t K) (curvature-conditioned effective propagation)</w:t>
              <w:br/>
              <w:t>D(c_eff, h, G_geom) = (delta c_eff / delta G_geom)|_h (formal Dillon Operator)</w:t>
              <w:br/>
              <w:t>Public form: D(c_eff, h, G_geom) = (partial c_eff / partial G_geom)|_h</w:t>
              <w:br/>
              <w:t>Delta_G c_eff = c_eff - c</w:t>
              <w:br/>
              <w:t>Curvature chain: T_mu_nu -&gt; G_geom -&gt; c_eff</w:t>
              <w:br/>
              <w:t>Notation governance: use G_geom (or mathcal G); avoid plain G for the Dillon Operator</w:t>
            </w:r>
          </w:p>
        </w:tc>
      </w:tr>
    </w:tbl>
    <w:p/>
    <w:p>
      <w:pPr>
        <w:pStyle w:val="Heading1"/>
      </w:pPr>
      <w:r>
        <w:rPr>
          <w:rFonts w:ascii="Calibri" w:hAnsi="Calibri"/>
          <w:sz w:val="22"/>
        </w:rPr>
        <w:t>Executive Summary</w:t>
      </w:r>
    </w:p>
    <w:p>
      <w:r>
        <w:rPr>
          <w:rFonts w:ascii="Calibri" w:hAnsi="Calibri"/>
          <w:sz w:val="22"/>
        </w:rPr>
        <w:t>This compendium maps fusion bottlenecks into CVP-native solution modules with concrete algorithms, success metrics, and TEVR proof-bundle artifacts. This revision upgrades the entire set to the locked Dillon Equation notation (c vs c_eff; G_geom governance) and adds two long-horizon expansion modules: starlifting and black hole energy harvesting. The core fusion posture remains conservative and engineering-first: stability, recovery, constraints, and replayable evidence.</w:t>
      </w:r>
    </w:p>
    <w:p>
      <w:pPr>
        <w:pStyle w:val="Heading1"/>
      </w:pPr>
      <w:r>
        <w:rPr>
          <w:rFonts w:ascii="Calibri" w:hAnsi="Calibri"/>
          <w:sz w:val="22"/>
        </w:rPr>
        <w:t>Problem-by-Problem Solutions (P1–P8)</w:t>
      </w:r>
    </w:p>
    <w:p>
      <w:pPr>
        <w:pStyle w:val="Heading2"/>
      </w:pPr>
      <w:r>
        <w:rPr>
          <w:rFonts w:ascii="Calibri" w:hAnsi="Calibri"/>
          <w:sz w:val="22"/>
        </w:rPr>
        <w:t>P1. Real-time stability and disruption avoidance (tearing modes, locked modes, wall contact)</w:t>
      </w:r>
    </w:p>
    <w:p>
      <w:r>
        <w:rPr>
          <w:rFonts w:ascii="Calibri" w:hAnsi="Calibri"/>
          <w:sz w:val="22"/>
        </w:rPr>
        <w:t>Root cause: Plasma is inherently unstable; many actuators must be coordinated at high rate with sparse/noisy sensors; sim-to-real drift breaks policies.</w:t>
      </w:r>
    </w:p>
    <w:p>
      <w:r>
        <w:rPr>
          <w:rFonts w:ascii="Calibri" w:hAnsi="Calibri"/>
          <w:sz w:val="22"/>
        </w:rPr>
        <w:t>CVP module: Invariant-Driven Stability State + CVP Safe-Manifold Controller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Define invariant state I(t); forecast disruption risk; run constrained MPC/RL hybrid restricted to a safe manifold with recovery gates and hard limits.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Predictor: calibrated p_hat(disruption | I(t)) with uncertainty thresholds</w:t>
      </w:r>
    </w:p>
    <w:p>
      <w:pPr>
        <w:pStyle w:val="ListBullet"/>
      </w:pPr>
      <w:r>
        <w:rPr>
          <w:rFonts w:ascii="Calibri" w:hAnsi="Calibri"/>
          <w:sz w:val="22"/>
        </w:rPr>
        <w:t>Mitigator: constrained MPC or constrained policy optimization with g(u,I)=True</w:t>
      </w:r>
    </w:p>
    <w:p>
      <w:pPr>
        <w:pStyle w:val="ListBullet"/>
      </w:pPr>
      <w:r>
        <w:rPr>
          <w:rFonts w:ascii="Calibri" w:hAnsi="Calibri"/>
          <w:sz w:val="22"/>
        </w:rPr>
        <w:t>Drift-gate: if recovery tests fail, downgrade to conservative policy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Avoided disruptions (%), false positives, wall-contact events</w:t>
      </w:r>
    </w:p>
    <w:p>
      <w:pPr>
        <w:pStyle w:val="ListBullet"/>
      </w:pPr>
      <w:r>
        <w:rPr>
          <w:rFonts w:ascii="Calibri" w:hAnsi="Calibri"/>
          <w:sz w:val="22"/>
        </w:rPr>
        <w:t>Mode amplitude proxy reduction at fixed heating power</w:t>
      </w:r>
    </w:p>
    <w:p>
      <w:pPr>
        <w:pStyle w:val="ListBullet"/>
      </w:pPr>
      <w:r>
        <w:rPr>
          <w:rFonts w:ascii="Calibri" w:hAnsi="Calibri"/>
          <w:sz w:val="22"/>
        </w:rPr>
        <w:t>Zero constraint violations in claim runs</w:t>
      </w:r>
    </w:p>
    <w:p>
      <w:pPr>
        <w:pStyle w:val="ListBullet"/>
      </w:pPr>
      <w:r>
        <w:rPr>
          <w:rFonts w:ascii="Calibri" w:hAnsi="Calibri"/>
          <w:sz w:val="22"/>
        </w:rPr>
        <w:t>Recovery tests pass within epsilon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Frozen setpoints + actuator families; deterministic run-order fingerprints</w:t>
      </w:r>
    </w:p>
    <w:p>
      <w:pPr>
        <w:pStyle w:val="ListBullet"/>
      </w:pPr>
      <w:r>
        <w:rPr>
          <w:rFonts w:ascii="Calibri" w:hAnsi="Calibri"/>
          <w:sz w:val="22"/>
        </w:rPr>
        <w:t>Replay script raw traces -&gt; metrics -&gt; figures; declared epsilon</w:t>
      </w:r>
    </w:p>
    <w:p>
      <w:pPr>
        <w:pStyle w:val="ListBullet"/>
      </w:pPr>
      <w:r>
        <w:rPr>
          <w:rFonts w:ascii="Calibri" w:hAnsi="Calibri"/>
          <w:sz w:val="22"/>
        </w:rPr>
        <w:t>Environment/model hashes; calibration chain</w:t>
      </w:r>
    </w:p>
    <w:p>
      <w:pPr>
        <w:pStyle w:val="Heading2"/>
      </w:pPr>
      <w:r>
        <w:rPr>
          <w:rFonts w:ascii="Calibri" w:hAnsi="Calibri"/>
          <w:sz w:val="22"/>
        </w:rPr>
        <w:t>P2. Design speed for leak-proof magnetic confinement (stellarator / advanced coil design)</w:t>
      </w:r>
    </w:p>
    <w:p>
      <w:r>
        <w:rPr>
          <w:rFonts w:ascii="Calibri" w:hAnsi="Calibri"/>
          <w:sz w:val="22"/>
        </w:rPr>
        <w:t>Root cause: Coil optimization is high-dimensional and historically slow; tolerance robustness is often treated late.</w:t>
      </w:r>
    </w:p>
    <w:p>
      <w:r>
        <w:rPr>
          <w:rFonts w:ascii="Calibri" w:hAnsi="Calibri"/>
          <w:sz w:val="22"/>
        </w:rPr>
        <w:t>CVP module: CVP Design-Invariant Optimizer + Robustness-First Objective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Define I_field capturing closure/islands/tolerance; optimize L(I_field)+lambda*R(tolerance); TEVR-proof every candidate.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Objective: minimize L(I_field)+lambda*R(tolerance)</w:t>
      </w:r>
    </w:p>
    <w:p>
      <w:pPr>
        <w:pStyle w:val="ListBullet"/>
      </w:pPr>
      <w:r>
        <w:rPr>
          <w:rFonts w:ascii="Calibri" w:hAnsi="Calibri"/>
          <w:sz w:val="22"/>
        </w:rPr>
        <w:t>Search: gradient-based where available; otherwise CMA-ES/BayesOpt with constraints</w:t>
      </w:r>
    </w:p>
    <w:p>
      <w:pPr>
        <w:pStyle w:val="ListBullet"/>
      </w:pPr>
      <w:r>
        <w:rPr>
          <w:rFonts w:ascii="Calibri" w:hAnsi="Calibri"/>
          <w:sz w:val="22"/>
        </w:rPr>
        <w:t>Robustness: Monte Carlo tolerance sweeps as acceptance tests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Design runtime (speedup), leakage/island constraints satisfied</w:t>
      </w:r>
    </w:p>
    <w:p>
      <w:pPr>
        <w:pStyle w:val="ListBullet"/>
      </w:pPr>
      <w:r>
        <w:rPr>
          <w:rFonts w:ascii="Calibri" w:hAnsi="Calibri"/>
          <w:sz w:val="22"/>
        </w:rPr>
        <w:t>Tolerance robustness yield under perturbation</w:t>
      </w:r>
    </w:p>
    <w:p>
      <w:pPr>
        <w:pStyle w:val="ListBullet"/>
      </w:pPr>
      <w:r>
        <w:rPr>
          <w:rFonts w:ascii="Calibri" w:hAnsi="Calibri"/>
          <w:sz w:val="22"/>
        </w:rPr>
        <w:t>Manufacturing feasibility score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Seed lineage + solver version hashes; geometry files checksummed</w:t>
      </w:r>
    </w:p>
    <w:p>
      <w:pPr>
        <w:pStyle w:val="ListBullet"/>
      </w:pPr>
      <w:r>
        <w:rPr>
          <w:rFonts w:ascii="Calibri" w:hAnsi="Calibri"/>
          <w:sz w:val="22"/>
        </w:rPr>
        <w:t>Tolerance sweep definitions and thresholds embedded</w:t>
      </w:r>
    </w:p>
    <w:p>
      <w:pPr>
        <w:pStyle w:val="Heading2"/>
      </w:pPr>
      <w:r>
        <w:rPr>
          <w:rFonts w:ascii="Calibri" w:hAnsi="Calibri"/>
          <w:sz w:val="22"/>
        </w:rPr>
        <w:t>P3. Edge/divertor heat exhaust and component longevity (SOLPS-ITER class challenges)</w:t>
      </w:r>
    </w:p>
    <w:p>
      <w:r>
        <w:rPr>
          <w:rFonts w:ascii="Calibri" w:hAnsi="Calibri"/>
          <w:sz w:val="22"/>
        </w:rPr>
        <w:t>Root cause: Heat and particle exhaust concentrate on divertor targets; asymmetries and drifts create strike-point patterns; materials face cycling.</w:t>
      </w:r>
    </w:p>
    <w:p>
      <w:r>
        <w:rPr>
          <w:rFonts w:ascii="Calibri" w:hAnsi="Calibri"/>
          <w:sz w:val="22"/>
        </w:rPr>
        <w:t>CVP module: CVP Edge/Exhaust Index + Heat-Flux Shaping Controller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Define edge invariants I_edge and heat-risk H(t)=max_x q(x,t); train surrogates; control to minimize peak heat while preserving confinement.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Surrogate: differentiable q_hat(x,t | I_edge,u) with local recovery constraints</w:t>
      </w:r>
    </w:p>
    <w:p>
      <w:pPr>
        <w:pStyle w:val="ListBullet"/>
      </w:pPr>
      <w:r>
        <w:rPr>
          <w:rFonts w:ascii="Calibri" w:hAnsi="Calibri"/>
          <w:sz w:val="22"/>
        </w:rPr>
        <w:t>Controller: multi-objective constrained optimization to minimize peak heat flux</w:t>
      </w:r>
    </w:p>
    <w:p>
      <w:pPr>
        <w:pStyle w:val="ListBullet"/>
      </w:pPr>
      <w:r>
        <w:rPr>
          <w:rFonts w:ascii="Calibri" w:hAnsi="Calibri"/>
          <w:sz w:val="22"/>
        </w:rPr>
        <w:t>Strike-point sweeping schedules that avoid mode excitation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Peak heat flux reduction (%), distribution uniformity</w:t>
      </w:r>
    </w:p>
    <w:p>
      <w:pPr>
        <w:pStyle w:val="ListBullet"/>
      </w:pPr>
      <w:r>
        <w:rPr>
          <w:rFonts w:ascii="Calibri" w:hAnsi="Calibri"/>
          <w:sz w:val="22"/>
        </w:rPr>
        <w:t>Time-at-risk above threshold</w:t>
      </w:r>
    </w:p>
    <w:p>
      <w:pPr>
        <w:pStyle w:val="ListBullet"/>
      </w:pPr>
      <w:r>
        <w:rPr>
          <w:rFonts w:ascii="Calibri" w:hAnsi="Calibri"/>
          <w:sz w:val="22"/>
        </w:rPr>
        <w:t>Confinement proxy maintained (no regression beyond epsilon)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Model provenance (datasets), training logs, cross-validation</w:t>
      </w:r>
    </w:p>
    <w:p>
      <w:pPr>
        <w:pStyle w:val="ListBullet"/>
      </w:pPr>
      <w:r>
        <w:rPr>
          <w:rFonts w:ascii="Calibri" w:hAnsi="Calibri"/>
          <w:sz w:val="22"/>
        </w:rPr>
        <w:t>Operational replay of heat-risk decisions vs measured q(x)</w:t>
      </w:r>
    </w:p>
    <w:p>
      <w:pPr>
        <w:pStyle w:val="Heading2"/>
      </w:pPr>
      <w:r>
        <w:rPr>
          <w:rFonts w:ascii="Calibri" w:hAnsi="Calibri"/>
          <w:sz w:val="22"/>
        </w:rPr>
        <w:t>P4. Alternative confinement (Z-pinch / pulsed pinch systems)</w:t>
      </w:r>
    </w:p>
    <w:p>
      <w:r>
        <w:rPr>
          <w:rFonts w:ascii="Calibri" w:hAnsi="Calibri"/>
          <w:sz w:val="22"/>
        </w:rPr>
        <w:t>Root cause: Pinch systems face fast instabilities; pulsed timing is unforgiving; diagnostics can be limited.</w:t>
      </w:r>
    </w:p>
    <w:p>
      <w:r>
        <w:rPr>
          <w:rFonts w:ascii="Calibri" w:hAnsi="Calibri"/>
          <w:sz w:val="22"/>
        </w:rPr>
        <w:t>CVP module: CVP Pulse-Shaping and Instability-Suppression Overlay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Treat current drive and timing as waveforms; compute pinch invariants I_pinch; optimize waveform families to avoid instability growth windows.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Waveform optimization under hard limits (dI/dt, voltage, arcing, electrode stress)</w:t>
      </w:r>
    </w:p>
    <w:p>
      <w:pPr>
        <w:pStyle w:val="ListBullet"/>
      </w:pPr>
      <w:r>
        <w:rPr>
          <w:rFonts w:ascii="Calibri" w:hAnsi="Calibri"/>
          <w:sz w:val="22"/>
        </w:rPr>
        <w:t>Band-targeted bounded perturbations to decorrelate unstable modes</w:t>
      </w:r>
    </w:p>
    <w:p>
      <w:pPr>
        <w:pStyle w:val="ListBullet"/>
      </w:pPr>
      <w:r>
        <w:rPr>
          <w:rFonts w:ascii="Calibri" w:hAnsi="Calibri"/>
          <w:sz w:val="22"/>
        </w:rPr>
        <w:t>Virtual diagnostics to reconstruct missing states with confidence scoring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Repeatable stable pinch duration; reduced run-to-run variance</w:t>
      </w:r>
    </w:p>
    <w:p>
      <w:pPr>
        <w:pStyle w:val="ListBullet"/>
      </w:pPr>
      <w:r>
        <w:rPr>
          <w:rFonts w:ascii="Calibri" w:hAnsi="Calibri"/>
          <w:sz w:val="22"/>
        </w:rPr>
        <w:t>Neutron yield per joule (Phase B)</w:t>
      </w:r>
    </w:p>
    <w:p>
      <w:pPr>
        <w:pStyle w:val="ListBullet"/>
      </w:pPr>
      <w:r>
        <w:rPr>
          <w:rFonts w:ascii="Calibri" w:hAnsi="Calibri"/>
          <w:sz w:val="22"/>
        </w:rPr>
        <w:t>Lower arcing/electrode-damage rate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Waveform hashes; synchronized timing logs; calibration chain</w:t>
      </w:r>
    </w:p>
    <w:p>
      <w:pPr>
        <w:pStyle w:val="Heading2"/>
      </w:pPr>
      <w:r>
        <w:rPr>
          <w:rFonts w:ascii="Calibri" w:hAnsi="Calibri"/>
          <w:sz w:val="22"/>
        </w:rPr>
        <w:t>P5. Virtual diagnostics and sensor scarcity (Diag2Diag-type reconstruction)</w:t>
      </w:r>
    </w:p>
    <w:p>
      <w:r>
        <w:rPr>
          <w:rFonts w:ascii="Calibri" w:hAnsi="Calibri"/>
          <w:sz w:val="22"/>
        </w:rPr>
        <w:t>Root cause: Commercial fusion cannot afford unlimited sensors; sensors fail/drift; missing channels destabilize control loops.</w:t>
      </w:r>
    </w:p>
    <w:p>
      <w:r>
        <w:rPr>
          <w:rFonts w:ascii="Calibri" w:hAnsi="Calibri"/>
          <w:sz w:val="22"/>
        </w:rPr>
        <w:t>CVP module: CVP Integrity Plane for Diagnostics (Trust-Weighted Sensing)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Fuse physical sensors and virtual diagnostics into trust-weighted measurement; confidence scoring; failover to conservative control when needed.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Reconstruction with uncertainty estimates</w:t>
      </w:r>
    </w:p>
    <w:p>
      <w:pPr>
        <w:pStyle w:val="ListBullet"/>
      </w:pPr>
      <w:r>
        <w:rPr>
          <w:rFonts w:ascii="Calibri" w:hAnsi="Calibri"/>
          <w:sz w:val="22"/>
        </w:rPr>
        <w:t>Invariant consistency checks to flag drift</w:t>
      </w:r>
    </w:p>
    <w:p>
      <w:pPr>
        <w:pStyle w:val="ListBullet"/>
      </w:pPr>
      <w:r>
        <w:rPr>
          <w:rFonts w:ascii="Calibri" w:hAnsi="Calibri"/>
          <w:sz w:val="22"/>
        </w:rPr>
        <w:t>Failover policy when uncertainty exceeds threshold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Control stability under sensor dropout; downtime reduction</w:t>
      </w:r>
    </w:p>
    <w:p>
      <w:pPr>
        <w:pStyle w:val="ListBullet"/>
      </w:pPr>
      <w:r>
        <w:rPr>
          <w:rFonts w:ascii="Calibri" w:hAnsi="Calibri"/>
          <w:sz w:val="22"/>
        </w:rPr>
        <w:t>Reconstruction error vs ground truth; calibration stability</w:t>
      </w:r>
    </w:p>
    <w:p>
      <w:pPr>
        <w:pStyle w:val="ListBullet"/>
      </w:pPr>
      <w:r>
        <w:rPr>
          <w:rFonts w:ascii="Calibri" w:hAnsi="Calibri"/>
          <w:sz w:val="22"/>
        </w:rPr>
        <w:t>False alarm rate for drift detection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Dataset partitions + dropout scenarios; uncertainty calibration reports</w:t>
      </w:r>
    </w:p>
    <w:p>
      <w:pPr>
        <w:pStyle w:val="ListBullet"/>
      </w:pPr>
      <w:r>
        <w:rPr>
          <w:rFonts w:ascii="Calibri" w:hAnsi="Calibri"/>
          <w:sz w:val="22"/>
        </w:rPr>
        <w:t>Replay of reconstructions on fixed test sets</w:t>
      </w:r>
    </w:p>
    <w:p>
      <w:pPr>
        <w:pStyle w:val="Heading2"/>
      </w:pPr>
      <w:r>
        <w:rPr>
          <w:rFonts w:ascii="Calibri" w:hAnsi="Calibri"/>
          <w:sz w:val="22"/>
        </w:rPr>
        <w:t>P6. Economic viability: iteration speed, reliability, and cost of operation</w:t>
      </w:r>
    </w:p>
    <w:p>
      <w:r>
        <w:rPr>
          <w:rFonts w:ascii="Calibri" w:hAnsi="Calibri"/>
          <w:sz w:val="22"/>
        </w:rPr>
        <w:t>Root cause: Shots are expensive; sim/experiment mismatch wastes cycles; partners demand reproducibility; reliability drives OPEX.</w:t>
      </w:r>
    </w:p>
    <w:p>
      <w:r>
        <w:rPr>
          <w:rFonts w:ascii="Calibri" w:hAnsi="Calibri"/>
          <w:sz w:val="22"/>
        </w:rPr>
        <w:t>CVP module: TEVR Proof Bundles + Micro-Experiment Batching + Robust Optimization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Make every claim replayable; increase information per shot with bounded micro-perturbations; optimize for robust performance under uncertainty.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TEVR pipeline integrated with data acquisition and analysis</w:t>
      </w:r>
    </w:p>
    <w:p>
      <w:pPr>
        <w:pStyle w:val="ListBullet"/>
      </w:pPr>
      <w:r>
        <w:rPr>
          <w:rFonts w:ascii="Calibri" w:hAnsi="Calibri"/>
          <w:sz w:val="22"/>
        </w:rPr>
        <w:t>Robust objective: maximize E[perf] - lambda*Var(perf) with safety constraints</w:t>
      </w:r>
    </w:p>
    <w:p>
      <w:pPr>
        <w:pStyle w:val="ListBullet"/>
      </w:pPr>
      <w:r>
        <w:rPr>
          <w:rFonts w:ascii="Calibri" w:hAnsi="Calibri"/>
          <w:sz w:val="22"/>
        </w:rPr>
        <w:t>Shot-time batching to estimate local sensitivities dPi/dtheta and dH/dtheta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Cost per validated improvement; time-to-decision reduction</w:t>
      </w:r>
    </w:p>
    <w:p>
      <w:pPr>
        <w:pStyle w:val="ListBullet"/>
      </w:pPr>
      <w:r>
        <w:rPr>
          <w:rFonts w:ascii="Calibri" w:hAnsi="Calibri"/>
          <w:sz w:val="22"/>
        </w:rPr>
        <w:t>Replication success across days/operators</w:t>
      </w:r>
    </w:p>
    <w:p>
      <w:pPr>
        <w:pStyle w:val="ListBullet"/>
      </w:pPr>
      <w:r>
        <w:rPr>
          <w:rFonts w:ascii="Calibri" w:hAnsi="Calibri"/>
          <w:sz w:val="22"/>
        </w:rPr>
        <w:t>Reduced variance and fewer aborts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End-to-end provenance: run logs -&gt; raw traces -&gt; analysis -&gt; figures -&gt; signed artifacts</w:t>
      </w:r>
    </w:p>
    <w:p>
      <w:pPr>
        <w:pStyle w:val="Heading2"/>
      </w:pPr>
      <w:r>
        <w:rPr>
          <w:rFonts w:ascii="Calibri" w:hAnsi="Calibri"/>
          <w:sz w:val="22"/>
        </w:rPr>
        <w:t>P7. Starlifting: controlled stellar mass extraction (long-horizon infrastructure)</w:t>
      </w:r>
    </w:p>
    <w:p>
      <w:r>
        <w:rPr>
          <w:rFonts w:ascii="Calibri" w:hAnsi="Calibri"/>
          <w:sz w:val="22"/>
        </w:rPr>
        <w:t>Root cause: Astrophysical-scale extraction must be ultra-low-rate to avoid destabilizing stellar structure; routing and capture require precise field control.</w:t>
      </w:r>
    </w:p>
    <w:p>
      <w:r>
        <w:rPr>
          <w:rFonts w:ascii="Calibri" w:hAnsi="Calibri"/>
          <w:sz w:val="22"/>
        </w:rPr>
        <w:t>CVP module: CVP Stellar Extraction Overlay (Omega gating + 4D state + EM routing)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Model starlifting as controlled thermal outflow plus magnetic routing. Use Omega convergence flags to halt on instability; enforce TEVR proof bundles for energy accounting and extraction stability.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Baseline: v_esc = sqrt(2*G*M_star/r_star); E_spec = G*M_star/r_star</w:t>
      </w:r>
    </w:p>
    <w:p>
      <w:pPr>
        <w:pStyle w:val="ListBullet"/>
      </w:pPr>
      <w:r>
        <w:rPr>
          <w:rFonts w:ascii="Calibri" w:hAnsi="Calibri"/>
          <w:sz w:val="22"/>
        </w:rPr>
        <w:t>Control: localized heating -&gt; plasma fountain; magnetic nozzle routing</w:t>
      </w:r>
    </w:p>
    <w:p>
      <w:pPr>
        <w:pStyle w:val="ListBullet"/>
      </w:pPr>
      <w:r>
        <w:rPr>
          <w:rFonts w:ascii="Calibri" w:hAnsi="Calibri"/>
          <w:sz w:val="22"/>
        </w:rPr>
        <w:t>Governance: extraction fraction f ~ mdot/M_star bounded (e.g., ~0.001%/yr) with recovery gates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Stable extraction without triggering fragmentation flags</w:t>
      </w:r>
    </w:p>
    <w:p>
      <w:pPr>
        <w:pStyle w:val="ListBullet"/>
      </w:pPr>
      <w:r>
        <w:rPr>
          <w:rFonts w:ascii="Calibri" w:hAnsi="Calibri"/>
          <w:sz w:val="22"/>
        </w:rPr>
        <w:t>Energy-per-kg accounting consistent with E_spec within tolerance</w:t>
      </w:r>
    </w:p>
    <w:p>
      <w:pPr>
        <w:pStyle w:val="ListBullet"/>
      </w:pPr>
      <w:r>
        <w:rPr>
          <w:rFonts w:ascii="Calibri" w:hAnsi="Calibri"/>
          <w:sz w:val="22"/>
        </w:rPr>
        <w:t>Routing efficiency and containment success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Frozen setpoints, field maps, extraction logs; deterministic replay; declared epsilon</w:t>
      </w:r>
    </w:p>
    <w:p>
      <w:pPr>
        <w:pStyle w:val="Heading2"/>
      </w:pPr>
      <w:r>
        <w:rPr>
          <w:rFonts w:ascii="Calibri" w:hAnsi="Calibri"/>
          <w:sz w:val="22"/>
        </w:rPr>
        <w:t>P8. Black hole energy harvesting: extreme-environment governance (conceptual)</w:t>
      </w:r>
    </w:p>
    <w:p>
      <w:r>
        <w:rPr>
          <w:rFonts w:ascii="Calibri" w:hAnsi="Calibri"/>
          <w:sz w:val="22"/>
        </w:rPr>
        <w:t>Root cause: Extreme EM/plasma environments demand fail-fast governance and auditable control; near-term practicality varies by mechanism.</w:t>
      </w:r>
    </w:p>
    <w:p>
      <w:r>
        <w:rPr>
          <w:rFonts w:ascii="Calibri" w:hAnsi="Calibri"/>
          <w:sz w:val="22"/>
        </w:rPr>
        <w:t>CVP module: CVP Extreme-Field Governance Overlay (4D topology + EM control + TEVR)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Treat accretion conversion and magnetized spin extraction as controlled routing/topology problems; apply 4D state and Omega stability gating; TEVR governs any operational claim.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Baseline: accretion P ~ eta*mdot*c^2; spin extraction conceptual in magnetized environment</w:t>
      </w:r>
    </w:p>
    <w:p>
      <w:pPr>
        <w:pStyle w:val="ListBullet"/>
      </w:pPr>
      <w:r>
        <w:rPr>
          <w:rFonts w:ascii="Calibri" w:hAnsi="Calibri"/>
          <w:sz w:val="22"/>
        </w:rPr>
        <w:t>4D state to track topology dynamics and stability margins</w:t>
      </w:r>
    </w:p>
    <w:p>
      <w:pPr>
        <w:pStyle w:val="ListBullet"/>
      </w:pPr>
      <w:r>
        <w:rPr>
          <w:rFonts w:ascii="Calibri" w:hAnsi="Calibri"/>
          <w:sz w:val="22"/>
        </w:rPr>
        <w:t>Fail-fast: retreat logic on fragmentation flags; strict constraint envelopes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Stability margin maintenance and safe retreat success</w:t>
      </w:r>
    </w:p>
    <w:p>
      <w:pPr>
        <w:pStyle w:val="ListBullet"/>
      </w:pPr>
      <w:r>
        <w:rPr>
          <w:rFonts w:ascii="Calibri" w:hAnsi="Calibri"/>
          <w:sz w:val="22"/>
        </w:rPr>
        <w:t>Auditable power/energy accounting</w:t>
      </w:r>
    </w:p>
    <w:p>
      <w:pPr>
        <w:pStyle w:val="ListBullet"/>
      </w:pPr>
      <w:r>
        <w:rPr>
          <w:rFonts w:ascii="Calibri" w:hAnsi="Calibri"/>
          <w:sz w:val="22"/>
        </w:rPr>
        <w:t>Zero uncontrolled excursions outside constraints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High consequence proof bundles: full provenance, replay, and acceptance gates</w:t>
      </w:r>
    </w:p>
    <w:p>
      <w:pPr>
        <w:pStyle w:val="Heading1"/>
      </w:pPr>
      <w:r>
        <w:rPr>
          <w:rFonts w:ascii="Calibri" w:hAnsi="Calibri"/>
          <w:sz w:val="22"/>
        </w:rPr>
        <w:t>Roadmap and Budget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Budget (order-of-magnitude)</w:t>
            </w:r>
          </w:p>
        </w:tc>
        <w:tc>
          <w:tcPr>
            <w:tcW w:type="dxa" w:w="2880"/>
          </w:tcPr>
          <w:p>
            <w:r>
              <w:t>Primary deliverable</w:t>
            </w:r>
          </w:p>
        </w:tc>
      </w:tr>
      <w:tr>
        <w:tc>
          <w:tcPr>
            <w:tcW w:type="dxa" w:w="2880"/>
          </w:tcPr>
          <w:p>
            <w:r>
              <w:t>Phase A - RF magnetized plasma testbed (8-12 weeks)</w:t>
            </w:r>
          </w:p>
        </w:tc>
        <w:tc>
          <w:tcPr>
            <w:tcW w:type="dxa" w:w="2880"/>
          </w:tcPr>
          <w:p>
            <w:r>
              <w:t>95k (lean)</w:t>
              <w:br/>
              <w:t>250k (typical)</w:t>
              <w:br/>
              <w:t>700k+ (instrumentation-heavy)</w:t>
            </w:r>
          </w:p>
        </w:tc>
        <w:tc>
          <w:tcPr>
            <w:tcW w:type="dxa" w:w="2880"/>
          </w:tcPr>
          <w:p>
            <w:r>
              <w:t>Validate Pi reduction and tau improvement with TEVR proof bundle.</w:t>
            </w:r>
          </w:p>
        </w:tc>
      </w:tr>
      <w:tr>
        <w:tc>
          <w:tcPr>
            <w:tcW w:type="dxa" w:w="2880"/>
          </w:tcPr>
          <w:p>
            <w:r>
              <w:t>Phase B - neutron-visible port (3-9 months)</w:t>
            </w:r>
          </w:p>
        </w:tc>
        <w:tc>
          <w:tcPr>
            <w:tcW w:type="dxa" w:w="2880"/>
          </w:tcPr>
          <w:p>
            <w:r>
              <w:t>250k - 1.5M</w:t>
            </w:r>
          </w:p>
        </w:tc>
        <w:tc>
          <w:tcPr>
            <w:tcW w:type="dxa" w:w="2880"/>
          </w:tcPr>
          <w:p>
            <w:r>
              <w:t>Demonstrate neutron yield per joule improvements and robust repeatability.</w:t>
            </w:r>
          </w:p>
        </w:tc>
      </w:tr>
      <w:tr>
        <w:tc>
          <w:tcPr>
            <w:tcW w:type="dxa" w:w="2880"/>
          </w:tcPr>
          <w:p>
            <w:r>
              <w:t>Phase C - integration with established device (6-24 months)</w:t>
            </w:r>
          </w:p>
        </w:tc>
        <w:tc>
          <w:tcPr>
            <w:tcW w:type="dxa" w:w="2880"/>
          </w:tcPr>
          <w:p>
            <w:r>
              <w:t>1M - 10M+ (partner-dependent)</w:t>
            </w:r>
          </w:p>
        </w:tc>
        <w:tc>
          <w:tcPr>
            <w:tcW w:type="dxa" w:w="2880"/>
          </w:tcPr>
          <w:p>
            <w:r>
              <w:t>Demonstrate improved confinement scaling or stability thresholds in partner machine.</w:t>
            </w:r>
          </w:p>
        </w:tc>
      </w:tr>
    </w:tbl>
    <w:p>
      <w:pPr>
        <w:pStyle w:val="Heading1"/>
      </w:pPr>
      <w:r>
        <w:rPr>
          <w:rFonts w:ascii="Calibri" w:hAnsi="Calibri"/>
          <w:sz w:val="22"/>
        </w:rPr>
        <w:t>References (public sources)</w:t>
      </w:r>
    </w:p>
    <w:p>
      <w:r>
        <w:rPr>
          <w:rFonts w:ascii="Calibri" w:hAnsi="Calibri"/>
          <w:sz w:val="22"/>
        </w:rPr>
        <w:t>DeepMind: Bringing AI to the next generation of fusion energy — https://deepmind.google/blog/bringing-ai-to-the-next-generation-of-fusion-energy/</w:t>
      </w:r>
    </w:p>
    <w:p>
      <w:r>
        <w:rPr>
          <w:rFonts w:ascii="Calibri" w:hAnsi="Calibri"/>
          <w:sz w:val="22"/>
        </w:rPr>
        <w:t>DeepMind: Accelerating fusion science through learned plasma control — https://deepmind.google/blog/accelerating-fusion-science-through-learned-plasma-control/</w:t>
      </w:r>
    </w:p>
    <w:p>
      <w:r>
        <w:rPr>
          <w:rFonts w:ascii="Calibri" w:hAnsi="Calibri"/>
          <w:sz w:val="22"/>
        </w:rPr>
        <w:t>CFS: AI alliance with DeepMind — https://blog.cfs.energy/with-ai-alliance-google-deepmind-and-cfs-take-fusion-to-the-next-level/</w:t>
      </w:r>
    </w:p>
    <w:p>
      <w:r>
        <w:rPr>
          <w:rFonts w:ascii="Calibri" w:hAnsi="Calibri"/>
          <w:sz w:val="22"/>
        </w:rPr>
        <w:t>PPPL: Diag2Diag virtual diagnostics — https://www.pppl.gov/news/2025/new-ai-enhances-view-inside-fusion-energy-systems</w:t>
      </w:r>
    </w:p>
    <w:p>
      <w:r>
        <w:rPr>
          <w:rFonts w:ascii="Calibri" w:hAnsi="Calibri"/>
          <w:sz w:val="22"/>
        </w:rPr>
        <w:t>UT Austin: faster method to design magnetic confinement reducing particle leakage — https://news.utexas.edu/2025/05/05/university-of-texas-led-team-solves-a-big-problem-for-fusion-energy/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