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— Journal Submission</w:t>
      </w:r>
    </w:p>
    <w:p/>
    <w:p>
      <w:pPr/>
      <w:r>
        <w:t>To the Editors and Referees,</w:t>
      </w:r>
    </w:p>
    <w:p>
      <w:pPr>
        <w:spacing w:after="120"/>
        <w:ind w:firstLine="432"/>
      </w:pPr>
      <w:r>
        <w:t>Please find attached our manuscript, “Omega–Genesis: Structural Reduction for Recursive Systems (Collatz Compressed Odd Map),” submitted for consideration.</w:t>
      </w:r>
    </w:p>
    <w:p>
      <w:pPr>
        <w:spacing w:after="120"/>
        <w:ind w:firstLine="432"/>
      </w:pPr>
      <w:r>
        <w:t>The manuscript presents a structural reduction framework for the compressed odd Collatz dynamics U(n)=(3n+1)/2^{v2(3n+1)} and a proof-complete closure chapter based on a four-family endgame classification and elimination. The paper is written in a referee-oriented format with explicit theorem dependencies and a short proof roadmap to support rapid audit.</w:t>
      </w:r>
    </w:p>
    <w:p>
      <w:pPr>
        <w:spacing w:after="120"/>
        <w:ind w:firstLine="432"/>
      </w:pPr>
      <w:r>
        <w:t>We emphasize a strict separation between (i) formal statements and proofs and (ii) computational material. Any computational results included are provided solely as secondary alignment and reproducibility support, not as a substitute for the formal argument.</w:t>
      </w:r>
    </w:p>
    <w:p>
      <w:pPr>
        <w:spacing w:after="120"/>
        <w:ind w:firstLine="432"/>
      </w:pPr>
      <w:r>
        <w:t>If the editorial board prefers a shorter version without supplemental interpretive commentary, we have included a “strict” variant (DOCX and PDF) prepared for conventional proof review.</w:t>
      </w:r>
    </w:p>
    <w:p>
      <w:pPr>
        <w:spacing w:after="120"/>
        <w:ind w:firstLine="432"/>
      </w:pPr>
      <w:r>
        <w:t>Thank you for your consideration.</w:t>
      </w:r>
    </w:p>
    <w:p/>
    <w:p>
      <w:pPr>
        <w:spacing w:after="360"/>
      </w:pPr>
      <w:r>
        <w:t>Sincerely,</w:t>
      </w:r>
    </w:p>
    <w:p>
      <w:r>
        <w:t>Timothy J. Dillon</w:t>
      </w:r>
    </w:p>
    <w:p>
      <w:r>
        <w:t>206 Innovation Inc.</w:t>
      </w:r>
    </w:p>
    <w:p>
      <w:r>
        <w:t>Bellevue, Washington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