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CVP Fusion Overlay — Full White Paper</w:t>
        <w:br/>
      </w:r>
    </w:p>
    <w:p>
      <w:pPr>
        <w:jc w:val="center"/>
      </w:pPr>
      <w:r>
        <w:rPr>
          <w:color w:val="464646"/>
          <w:sz w:val="25"/>
        </w:rPr>
        <w:t>A Device-Agnostic Control and Governance Stack for Repeatable Fusion Progress</w:t>
        <w:br/>
      </w:r>
    </w:p>
    <w:p>
      <w:pPr>
        <w:jc w:val="center"/>
      </w:pPr>
      <w:r>
        <w:rPr>
          <w:b/>
        </w:rPr>
        <w:t xml:space="preserve">Author: </w:t>
      </w:r>
      <w:r>
        <w:t>Timothy J. Dillon</w:t>
      </w:r>
    </w:p>
    <w:p>
      <w:pPr>
        <w:jc w:val="center"/>
      </w:pPr>
      <w:r>
        <w:rPr>
          <w:color w:val="464646"/>
        </w:rPr>
        <w:t>206 Innovation Inc. • Bellevue, Washington, USA</w:t>
      </w:r>
    </w:p>
    <w:p>
      <w:pPr>
        <w:jc w:val="center"/>
      </w:pPr>
      <w:r>
        <w:rPr>
          <w:color w:val="464646"/>
        </w:rPr>
        <w:t>Date: May 31, 2026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3F6FB" w:val="clear"/>
          </w:tcPr>
          <w:p>
            <w:r>
              <w:rPr>
                <w:sz w:val="21"/>
              </w:rPr>
              <w:t>This v2 white paper expands the CVP Fusion Overlay into a partner-reviewable full package: architecture, algorithms, TEVR pipeline, Phase-A gate criteria, module deep dives (P1–P8), and economics.</w:t>
            </w:r>
          </w:p>
        </w:tc>
      </w:tr>
    </w:tbl>
    <w:p/>
    <w:p>
      <w:r>
        <w:br w:type="page"/>
      </w:r>
    </w:p>
    <w:p>
      <w:pPr>
        <w:pStyle w:val="Heading1"/>
      </w:pPr>
      <w:r>
        <w:t>1. Executive Summary</w:t>
      </w:r>
    </w:p>
    <w:p>
      <w:r>
        <w:t>Fusion progress is gated by repeatable control, not by peak temperature. CVP Fusion Overlay is a device-agnostic control and governance stack: Invariant-driven state I(t), safe-manifold constraints (heat-risk H(t), wall margin, actuator limits), mandatory recovery gates, and TEVR proof bundles for deterministic replay of every claimed improvement. The near-term deliverable is Gate A: demonstrable Π reduction and τ improvement at fixed setpoints with recovery + replay passing. Subsequent phases extend to yield-proxy-visible systems and partner KPIs with multi-day repeatability.</w:t>
      </w:r>
    </w:p>
    <w:p>
      <w:pPr>
        <w:pStyle w:val="Heading1"/>
      </w:pPr>
      <w:r>
        <w:t>2. Fusion Landscape and Shared Bottlenecks</w:t>
      </w:r>
    </w:p>
    <w:p>
      <w:r>
        <w:t>Across tokamaks, stellarators, pinch systems, and other concepts, the shared bottleneck is instability and turbulence-driven transport. The control system must respond within constraints and produce evidence that improvements are real rather than drift artifacts.</w:t>
      </w:r>
    </w:p>
    <w:p>
      <w:pPr>
        <w:pStyle w:val="Heading2"/>
      </w:pPr>
      <w:r>
        <w:t>Shared bottlenecks:</w:t>
      </w:r>
    </w:p>
    <w:p>
      <w:pPr>
        <w:pStyle w:val="ListBullet"/>
      </w:pPr>
      <w:r>
        <w:t>Instability (tearing/locked modes, disruptions)</w:t>
      </w:r>
    </w:p>
    <w:p>
      <w:pPr>
        <w:pStyle w:val="ListBullet"/>
      </w:pPr>
      <w:r>
        <w:t>Transport losses (turbulence)</w:t>
      </w:r>
    </w:p>
    <w:p>
      <w:pPr>
        <w:pStyle w:val="ListBullet"/>
      </w:pPr>
      <w:r>
        <w:t>Edge heat / exhaust constraints</w:t>
      </w:r>
    </w:p>
    <w:p>
      <w:pPr>
        <w:pStyle w:val="ListBullet"/>
      </w:pPr>
      <w:r>
        <w:t>Diagnostics scarcity and drift</w:t>
      </w:r>
    </w:p>
    <w:p>
      <w:pPr>
        <w:pStyle w:val="ListBullet"/>
      </w:pPr>
      <w:r>
        <w:t>Need for reproducible evidence</w:t>
      </w:r>
    </w:p>
    <w:p>
      <w:pPr>
        <w:pStyle w:val="Heading1"/>
      </w:pPr>
      <w:r>
        <w:t>3. CVP Fusion Overlay Architecture</w:t>
      </w:r>
    </w:p>
    <w:p>
      <w:pPr>
        <w:pStyle w:val="Heading2"/>
      </w:pPr>
      <w:r>
        <w:t>Figure A. Architecture</w:t>
      </w:r>
    </w:p>
    <w:p>
      <w:r>
        <w:drawing>
          <wp:inline xmlns:a="http://schemas.openxmlformats.org/drawingml/2006/main" xmlns:pic="http://schemas.openxmlformats.org/drawingml/2006/picture">
            <wp:extent cx="6217920" cy="35530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_Architecture_20260531_12203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53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Figure E. Real-time control loop</w:t>
      </w:r>
    </w:p>
    <w:p>
      <w:r>
        <w:drawing>
          <wp:inline xmlns:a="http://schemas.openxmlformats.org/drawingml/2006/main" xmlns:pic="http://schemas.openxmlformats.org/drawingml/2006/picture">
            <wp:extent cx="6217920" cy="35530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_ControlLoop_20260531_12203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53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Canonical Equation Governance (Locked)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3F6FB" w:val="clear"/>
          </w:tcPr>
          <w:p>
            <w:r>
              <w:rPr>
                <w:sz w:val="21"/>
              </w:rPr>
              <w:t>c = local invariant causal speed</w:t>
              <w:br/>
              <w:t>c_eff = f(K, R, nabla K, partial_t K) (curvature-conditioned effective propagation)</w:t>
              <w:br/>
              <w:t>D(c_eff, h, G_geom) = (delta c_eff / delta G_geom)|_h (formal Dillon Operator)</w:t>
              <w:br/>
              <w:t>Public form: D(c_eff, h, G_geom) = (partial c_eff / partial G_geom)|_h</w:t>
              <w:br/>
              <w:t>Delta_G c_eff = c_eff - c</w:t>
              <w:br/>
              <w:t>Curvature chain: T_mu_nu -&gt; G_geom -&gt; c_eff</w:t>
              <w:br/>
              <w:t>Governance: use G_geom (or mathcal G); avoid plain G for the Dillon Operator</w:t>
            </w:r>
          </w:p>
        </w:tc>
      </w:tr>
    </w:tbl>
    <w:p/>
    <w:p>
      <w:r>
        <w:t>Boundary condition: c remains locally invariant. c_eff is an effective propagation variable for curvature-conditioned control/transport modeling.</w:t>
      </w:r>
    </w:p>
    <w:p>
      <w:pPr>
        <w:pStyle w:val="Heading1"/>
      </w:pPr>
      <w:r>
        <w:t>5. Metrics and Invariants</w:t>
      </w:r>
    </w:p>
    <w:p>
      <w:pPr>
        <w:pStyle w:val="Heading2"/>
      </w:pPr>
      <w:r>
        <w:t>5.1 Π (band-limited turbulence power)</w:t>
      </w:r>
    </w:p>
    <w:p>
      <w:r>
        <w:t>Π(θ,I)=∫_{f1..f2} PSD(f;θ,I) df with pre-registered PSD parameters and band limits.</w:t>
      </w:r>
    </w:p>
    <w:p>
      <w:pPr>
        <w:pStyle w:val="Heading2"/>
      </w:pPr>
      <w:r>
        <w:t>5.2 τ (confinement proxy)</w:t>
      </w:r>
    </w:p>
    <w:p>
      <w:r>
        <w:t>Fit I_em(t) ≈ I0 exp(-t/τ)+b. Compare τ baseline vs CVP-on under matched setpoints.</w:t>
      </w:r>
    </w:p>
    <w:p>
      <w:pPr>
        <w:pStyle w:val="Heading2"/>
      </w:pPr>
      <w:r>
        <w:t>5.3 Heat-risk H(t)</w:t>
      </w:r>
    </w:p>
    <w:p>
      <w:r>
        <w:t>H(t) is a hard constraint, defined as peak heat flux or conservative surrogate in Phase A.</w:t>
      </w:r>
    </w:p>
    <w:p>
      <w:pPr>
        <w:pStyle w:val="Heading2"/>
      </w:pPr>
      <w:r>
        <w:t>5.4 Invariant state I(t)</w:t>
      </w:r>
    </w:p>
    <w:p>
      <w:r>
        <w:t>I(t) is a drift-robust feature vector with uncertainty/trust weighting to survive sensor dropout and day-to-day changes.</w:t>
      </w:r>
    </w:p>
    <w:p>
      <w:pPr>
        <w:pStyle w:val="Heading1"/>
      </w:pPr>
      <w:r>
        <w:t>6. Safety, Constraints, and Recovery Gates</w:t>
      </w:r>
    </w:p>
    <w:p>
      <w:pPr>
        <w:pStyle w:val="ListBullet"/>
      </w:pPr>
      <w:r>
        <w:t>Hard constraints: heat-risk, wall margin, actuator limits, facility interlocks.</w:t>
      </w:r>
    </w:p>
    <w:p>
      <w:pPr>
        <w:pStyle w:val="ListBullet"/>
      </w:pPr>
      <w:r>
        <w:t>Actuator-off recovery within ε (mandatory).</w:t>
      </w:r>
    </w:p>
    <w:p>
      <w:pPr>
        <w:pStyle w:val="ListBullet"/>
      </w:pPr>
      <w:r>
        <w:t>Weak-perturbation recovery within ε (mandatory).</w:t>
      </w:r>
    </w:p>
    <w:p>
      <w:pPr>
        <w:pStyle w:val="ListBullet"/>
      </w:pPr>
      <w:r>
        <w:t>Failure → non-claimable run + drift-gate investigation.</w:t>
      </w:r>
    </w:p>
    <w:p>
      <w:pPr>
        <w:pStyle w:val="Heading1"/>
      </w:pPr>
      <w:r>
        <w:t>7. TEVR Proof Bundles (Deterministic Replay)</w:t>
      </w:r>
    </w:p>
    <w:p>
      <w:pPr>
        <w:pStyle w:val="Heading2"/>
      </w:pPr>
      <w:r>
        <w:t>Figure D. TEVR pipeline</w:t>
      </w:r>
    </w:p>
    <w:p>
      <w:r>
        <w:drawing>
          <wp:inline xmlns:a="http://schemas.openxmlformats.org/drawingml/2006/main" xmlns:pic="http://schemas.openxmlformats.org/drawingml/2006/picture">
            <wp:extent cx="6217920" cy="35530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_TEVR_20260531_12203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53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Minimum TEVR contents:</w:t>
      </w:r>
    </w:p>
    <w:p>
      <w:pPr>
        <w:pStyle w:val="ListBullet"/>
      </w:pPr>
      <w:r>
        <w:t>Manifest (YAML/JSON): run IDs, randomization seed, setpoint hashes, declared ε tolerances.</w:t>
      </w:r>
    </w:p>
    <w:p>
      <w:pPr>
        <w:pStyle w:val="ListBullet"/>
      </w:pPr>
      <w:r>
        <w:t>Raw traces + metadata + calibration chain.</w:t>
      </w:r>
    </w:p>
    <w:p>
      <w:pPr>
        <w:pStyle w:val="ListBullet"/>
      </w:pPr>
      <w:r>
        <w:t>Waveform definitions + hashes; analysis scripts + parameters; environment hashes.</w:t>
      </w:r>
    </w:p>
    <w:p>
      <w:pPr>
        <w:pStyle w:val="ListBullet"/>
      </w:pPr>
      <w:r>
        <w:t>One-command replay script regenerating figures + verdict.</w:t>
      </w:r>
    </w:p>
    <w:p>
      <w:pPr>
        <w:pStyle w:val="Heading1"/>
      </w:pPr>
      <w:r>
        <w:t>8. Phase-A Validation (Gate A)</w:t>
      </w:r>
    </w:p>
    <w:p>
      <w:pPr>
        <w:pStyle w:val="Heading2"/>
      </w:pPr>
      <w:r>
        <w:t>Gate A pass criteria (example):</w:t>
      </w:r>
    </w:p>
    <w:p>
      <w:pPr>
        <w:pStyle w:val="ListBullet"/>
      </w:pPr>
      <w:r>
        <w:t>Π reduction ≥ 20% (CI reported)</w:t>
      </w:r>
    </w:p>
    <w:p>
      <w:pPr>
        <w:pStyle w:val="ListBullet"/>
      </w:pPr>
      <w:r>
        <w:t>τ improvement beyond ε (or substitute proxy)</w:t>
      </w:r>
    </w:p>
    <w:p>
      <w:pPr>
        <w:pStyle w:val="ListBullet"/>
      </w:pPr>
      <w:r>
        <w:t>0 constraint violations</w:t>
      </w:r>
    </w:p>
    <w:p>
      <w:pPr>
        <w:pStyle w:val="ListBullet"/>
      </w:pPr>
      <w:r>
        <w:t>Actuator-off recovery PASS</w:t>
      </w:r>
    </w:p>
    <w:p>
      <w:pPr>
        <w:pStyle w:val="ListBullet"/>
      </w:pPr>
      <w:r>
        <w:t>Weak-perturbation recovery PASS</w:t>
      </w:r>
    </w:p>
    <w:p>
      <w:pPr>
        <w:pStyle w:val="ListBullet"/>
      </w:pPr>
      <w:r>
        <w:t>Replay PASS within ε</w:t>
      </w:r>
    </w:p>
    <w:p>
      <w:pPr>
        <w:pStyle w:val="Heading1"/>
      </w:pPr>
      <w:r>
        <w:t>9. Modules P1–P8 Deep Dive</w:t>
      </w:r>
    </w:p>
    <w:p>
      <w:pPr>
        <w:pStyle w:val="Heading2"/>
      </w:pPr>
      <w:r>
        <w:t>Figure B. P1–P8 map</w:t>
      </w:r>
    </w:p>
    <w:p>
      <w:r>
        <w:drawing>
          <wp:inline xmlns:a="http://schemas.openxmlformats.org/drawingml/2006/main" xmlns:pic="http://schemas.openxmlformats.org/drawingml/2006/picture">
            <wp:extent cx="6217920" cy="355309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B_P1P8_20260531_12203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53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P1 Stability &amp; Disruption Avoidance</w:t>
      </w:r>
    </w:p>
    <w:p>
      <w:pPr>
        <w:pStyle w:val="ListBullet"/>
      </w:pPr>
      <w:r>
        <w:t>Early warning via I(t) + uncertainty</w:t>
      </w:r>
    </w:p>
    <w:p>
      <w:pPr>
        <w:pStyle w:val="ListBullet"/>
      </w:pPr>
      <w:r>
        <w:t>Constrained MPC/RL hybrid</w:t>
      </w:r>
    </w:p>
    <w:p>
      <w:pPr>
        <w:pStyle w:val="ListBullet"/>
      </w:pPr>
      <w:r>
        <w:t>Avoided disruptions + constraint compliance</w:t>
      </w:r>
    </w:p>
    <w:p>
      <w:pPr>
        <w:pStyle w:val="Heading2"/>
      </w:pPr>
      <w:r>
        <w:t>P2 Design Acceleration</w:t>
      </w:r>
    </w:p>
    <w:p>
      <w:pPr>
        <w:pStyle w:val="ListBullet"/>
      </w:pPr>
      <w:r>
        <w:t>Robust optimization for coil/field design</w:t>
      </w:r>
    </w:p>
    <w:p>
      <w:pPr>
        <w:pStyle w:val="ListBullet"/>
      </w:pPr>
      <w:r>
        <w:t>Tolerance sweeps as acceptance tests</w:t>
      </w:r>
    </w:p>
    <w:p>
      <w:pPr>
        <w:pStyle w:val="ListBullet"/>
      </w:pPr>
      <w:r>
        <w:t>TEVR-proof candidate designs</w:t>
      </w:r>
    </w:p>
    <w:p>
      <w:pPr>
        <w:pStyle w:val="Heading2"/>
      </w:pPr>
      <w:r>
        <w:t>P3 Edge/Heat</w:t>
      </w:r>
    </w:p>
    <w:p>
      <w:pPr>
        <w:pStyle w:val="ListBullet"/>
      </w:pPr>
      <w:r>
        <w:t>H(t) minimization under confinement constraints</w:t>
      </w:r>
    </w:p>
    <w:p>
      <w:pPr>
        <w:pStyle w:val="ListBullet"/>
      </w:pPr>
      <w:r>
        <w:t>Strike-point schedules</w:t>
      </w:r>
    </w:p>
    <w:p>
      <w:pPr>
        <w:pStyle w:val="ListBullet"/>
      </w:pPr>
      <w:r>
        <w:t>Peak heat reduction + non-regression</w:t>
      </w:r>
    </w:p>
    <w:p>
      <w:pPr>
        <w:pStyle w:val="Heading2"/>
      </w:pPr>
      <w:r>
        <w:t>P4 Pinch</w:t>
      </w:r>
    </w:p>
    <w:p>
      <w:pPr>
        <w:pStyle w:val="ListBullet"/>
      </w:pPr>
      <w:r>
        <w:t>Waveform control under dI/dt limits</w:t>
      </w:r>
    </w:p>
    <w:p>
      <w:pPr>
        <w:pStyle w:val="ListBullet"/>
      </w:pPr>
      <w:r>
        <w:t>Timing governance</w:t>
      </w:r>
    </w:p>
    <w:p>
      <w:pPr>
        <w:pStyle w:val="ListBullet"/>
      </w:pPr>
      <w:r>
        <w:t>Reduced variance + damage rate</w:t>
      </w:r>
    </w:p>
    <w:p>
      <w:pPr>
        <w:pStyle w:val="Heading2"/>
      </w:pPr>
      <w:r>
        <w:t>P5 Diagnostics</w:t>
      </w:r>
    </w:p>
    <w:p>
      <w:pPr>
        <w:pStyle w:val="ListBullet"/>
      </w:pPr>
      <w:r>
        <w:t>Virtual sensors + uncertainty</w:t>
      </w:r>
    </w:p>
    <w:p>
      <w:pPr>
        <w:pStyle w:val="ListBullet"/>
      </w:pPr>
      <w:r>
        <w:t>Trust-weighted state</w:t>
      </w:r>
    </w:p>
    <w:p>
      <w:pPr>
        <w:pStyle w:val="ListBullet"/>
      </w:pPr>
      <w:r>
        <w:t>Fallback modes</w:t>
      </w:r>
    </w:p>
    <w:p>
      <w:pPr>
        <w:pStyle w:val="Heading2"/>
      </w:pPr>
      <w:r>
        <w:t>P6 Economics</w:t>
      </w:r>
    </w:p>
    <w:p>
      <w:pPr>
        <w:pStyle w:val="ListBullet"/>
      </w:pPr>
      <w:r>
        <w:t>Micro-experiment batching</w:t>
      </w:r>
    </w:p>
    <w:p>
      <w:pPr>
        <w:pStyle w:val="ListBullet"/>
      </w:pPr>
      <w:r>
        <w:t>Robust objective mean-variance</w:t>
      </w:r>
    </w:p>
    <w:p>
      <w:pPr>
        <w:pStyle w:val="ListBullet"/>
      </w:pPr>
      <w:r>
        <w:t>Faster time-to-decision</w:t>
      </w:r>
    </w:p>
    <w:p>
      <w:pPr>
        <w:pStyle w:val="Heading2"/>
      </w:pPr>
      <w:r>
        <w:t>P7 Starlifting</w:t>
      </w:r>
    </w:p>
    <w:p>
      <w:pPr>
        <w:pStyle w:val="ListBullet"/>
      </w:pPr>
      <w:r>
        <w:t>Long-horizon module under TEVR</w:t>
      </w:r>
    </w:p>
    <w:p>
      <w:pPr>
        <w:pStyle w:val="ListBullet"/>
      </w:pPr>
      <w:r>
        <w:t>Bounded extraction + safe retreat</w:t>
      </w:r>
    </w:p>
    <w:p>
      <w:pPr>
        <w:pStyle w:val="ListBullet"/>
      </w:pPr>
      <w:r>
        <w:t>Energy accounting</w:t>
      </w:r>
    </w:p>
    <w:p>
      <w:pPr>
        <w:pStyle w:val="Heading2"/>
      </w:pPr>
      <w:r>
        <w:t>P8 Extreme EM</w:t>
      </w:r>
    </w:p>
    <w:p>
      <w:pPr>
        <w:pStyle w:val="ListBullet"/>
      </w:pPr>
      <w:r>
        <w:t>Fail-fast governance</w:t>
      </w:r>
    </w:p>
    <w:p>
      <w:pPr>
        <w:pStyle w:val="ListBullet"/>
      </w:pPr>
      <w:r>
        <w:t>Topology monitoring</w:t>
      </w:r>
    </w:p>
    <w:p>
      <w:pPr>
        <w:pStyle w:val="ListBullet"/>
      </w:pPr>
      <w:r>
        <w:t>Audit-grade ops</w:t>
      </w:r>
    </w:p>
    <w:p>
      <w:pPr>
        <w:pStyle w:val="Heading1"/>
      </w:pPr>
      <w:r>
        <w:t>10. Roadmap and Partner Integration</w:t>
      </w:r>
    </w:p>
    <w:p>
      <w:pPr>
        <w:pStyle w:val="Heading2"/>
      </w:pPr>
      <w:r>
        <w:t>Figure C. Gates</w:t>
      </w:r>
    </w:p>
    <w:p>
      <w:r>
        <w:drawing>
          <wp:inline xmlns:a="http://schemas.openxmlformats.org/drawingml/2006/main" xmlns:pic="http://schemas.openxmlformats.org/drawingml/2006/picture">
            <wp:extent cx="6217920" cy="355309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_Gates_20260531_12203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53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Phase B extends to yield-proxy-visible systems. Phase C integrates as an overlay safety+optimization layer into partner devices.</w:t>
      </w:r>
    </w:p>
    <w:p>
      <w:pPr>
        <w:pStyle w:val="Heading1"/>
      </w:pPr>
      <w:r>
        <w:t>11. Economics and Business Model</w:t>
      </w:r>
    </w:p>
    <w:p>
      <w:pPr>
        <w:pStyle w:val="Heading2"/>
      </w:pPr>
      <w:r>
        <w:t>Budget model (order-of-magnitude):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Stage</w:t>
            </w:r>
          </w:p>
        </w:tc>
        <w:tc>
          <w:tcPr>
            <w:tcW w:type="dxa" w:w="2880"/>
          </w:tcPr>
          <w:p>
            <w:r>
              <w:t>Budget range</w:t>
            </w:r>
          </w:p>
        </w:tc>
        <w:tc>
          <w:tcPr>
            <w:tcW w:type="dxa" w:w="2880"/>
          </w:tcPr>
          <w:p>
            <w:r>
              <w:t>Deliverables</w:t>
            </w:r>
          </w:p>
        </w:tc>
      </w:tr>
      <w:tr>
        <w:tc>
          <w:tcPr>
            <w:tcW w:type="dxa" w:w="2880"/>
          </w:tcPr>
          <w:p>
            <w:r>
              <w:t>Phase A (8–12 weeks)</w:t>
            </w:r>
          </w:p>
        </w:tc>
        <w:tc>
          <w:tcPr>
            <w:tcW w:type="dxa" w:w="2880"/>
          </w:tcPr>
          <w:p>
            <w:r>
              <w:t>$95K–$700K</w:t>
            </w:r>
          </w:p>
        </w:tc>
        <w:tc>
          <w:tcPr>
            <w:tcW w:type="dxa" w:w="2880"/>
          </w:tcPr>
          <w:p>
            <w:r>
              <w:t>Gate A report + TEVR bundles + replay tooling</w:t>
            </w:r>
          </w:p>
        </w:tc>
      </w:tr>
      <w:tr>
        <w:tc>
          <w:tcPr>
            <w:tcW w:type="dxa" w:w="2880"/>
          </w:tcPr>
          <w:p>
            <w:r>
              <w:t>Phase B (3–9 months)</w:t>
            </w:r>
          </w:p>
        </w:tc>
        <w:tc>
          <w:tcPr>
            <w:tcW w:type="dxa" w:w="2880"/>
          </w:tcPr>
          <w:p>
            <w:r>
              <w:t>$250K–$1.5M</w:t>
            </w:r>
          </w:p>
        </w:tc>
        <w:tc>
          <w:tcPr>
            <w:tcW w:type="dxa" w:w="2880"/>
          </w:tcPr>
          <w:p>
            <w:r>
              <w:t>Yield-proxy replication + safety filter + partner adapter</w:t>
            </w:r>
          </w:p>
        </w:tc>
      </w:tr>
      <w:tr>
        <w:tc>
          <w:tcPr>
            <w:tcW w:type="dxa" w:w="2880"/>
          </w:tcPr>
          <w:p>
            <w:r>
              <w:t>Phase C (6–24 months)</w:t>
            </w:r>
          </w:p>
        </w:tc>
        <w:tc>
          <w:tcPr>
            <w:tcW w:type="dxa" w:w="2880"/>
          </w:tcPr>
          <w:p>
            <w:r>
              <w:t>$1M–$10M+</w:t>
            </w:r>
          </w:p>
        </w:tc>
        <w:tc>
          <w:tcPr>
            <w:tcW w:type="dxa" w:w="2880"/>
          </w:tcPr>
          <w:p>
            <w:r>
              <w:t>Partner KPI improvement + multi-day reproducibility + commercialization</w:t>
            </w:r>
          </w:p>
        </w:tc>
      </w:tr>
    </w:tbl>
    <w:p>
      <w:r>
        <w:t>Commercialization: license the overlay stack + TEVR tooling; partner integration services; validation-as-a-service under TEVR standard.</w:t>
      </w:r>
    </w:p>
    <w:p>
      <w:pPr>
        <w:pStyle w:val="Heading1"/>
      </w:pPr>
      <w:r>
        <w:t>12. Risks and Mitigations</w:t>
      </w:r>
    </w:p>
    <w:p>
      <w:pPr>
        <w:pStyle w:val="ListBullet"/>
      </w:pPr>
      <w:r>
        <w:t>Drift → interleaved baselines + recovery gates</w:t>
      </w:r>
    </w:p>
    <w:p>
      <w:pPr>
        <w:pStyle w:val="ListBullet"/>
      </w:pPr>
      <w:r>
        <w:t>Safety → hard constraints + safety filter + interlocks</w:t>
      </w:r>
    </w:p>
    <w:p>
      <w:pPr>
        <w:pStyle w:val="ListBullet"/>
      </w:pPr>
      <w:r>
        <w:t>Model artifacts → TEVR replay exposes; conservative thresholds</w:t>
      </w:r>
    </w:p>
    <w:p>
      <w:pPr>
        <w:pStyle w:val="ListBullet"/>
      </w:pPr>
      <w:r>
        <w:t>Integration → adapter layer; start monitoring/safety-filter</w:t>
      </w:r>
    </w:p>
    <w:p>
      <w:pPr>
        <w:pStyle w:val="Heading1"/>
      </w:pPr>
      <w:r>
        <w:t>Appendix A. Pseudocode (Control + TEVR)</w:t>
      </w:r>
    </w:p>
    <w:p>
      <w:pPr>
        <w:pStyle w:val="ListBullet"/>
      </w:pPr>
      <w:r>
        <w:t>Sense x(t); estimate I(t) + uncertainty</w:t>
      </w:r>
    </w:p>
    <w:p>
      <w:pPr>
        <w:pStyle w:val="ListBullet"/>
      </w:pPr>
      <w:r>
        <w:t>Propose u_candidate</w:t>
      </w:r>
    </w:p>
    <w:p>
      <w:pPr>
        <w:pStyle w:val="ListBullet"/>
      </w:pPr>
      <w:r>
        <w:t>Project to safe set: u_safe = proj_safe(u_candidate)</w:t>
      </w:r>
    </w:p>
    <w:p>
      <w:pPr>
        <w:pStyle w:val="ListBullet"/>
      </w:pPr>
      <w:r>
        <w:t>Apply u_safe; verify recovery; log TEVR bundle</w:t>
      </w:r>
    </w:p>
    <w:p>
      <w:pPr>
        <w:pStyle w:val="ListBullet"/>
      </w:pPr>
      <w:r>
        <w:t>Replay: raw→metrics→figures→verdict within 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