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Calibri" w:hAnsi="Calibri" w:eastAsia="Microsoft YaHei"/>
          <w:b w:val="0"/>
          <w:sz w:val="22"/>
        </w:rPr>
      </w:r>
    </w:p>
    <w:p>
      <w:pPr>
        <w:spacing w:after="0" w:before="0"/>
      </w:pPr>
      <w:r>
        <w:rPr>
          <w:rFonts w:ascii="Calibri" w:hAnsi="Calibri" w:eastAsia="Microsoft YaHei"/>
          <w:b w:val="0"/>
          <w:sz w:val="22"/>
        </w:rPr>
      </w:r>
    </w:p>
    <w:p>
      <w:pPr>
        <w:spacing w:after="0" w:before="0"/>
      </w:pPr>
      <w:r>
        <w:rPr>
          <w:rFonts w:ascii="Calibri" w:hAnsi="Calibri" w:eastAsia="Microsoft YaHei"/>
          <w:b w:val="0"/>
          <w:sz w:val="22"/>
        </w:rPr>
      </w:r>
    </w:p>
    <w:p>
      <w:pPr>
        <w:spacing w:after="0" w:before="0"/>
      </w:pPr>
      <w:r>
        <w:rPr>
          <w:rFonts w:ascii="Calibri" w:hAnsi="Calibri" w:eastAsia="Microsoft YaHei"/>
          <w:b w:val="0"/>
          <w:sz w:val="22"/>
        </w:rPr>
      </w:r>
    </w:p>
    <w:p>
      <w:pPr>
        <w:spacing w:after="120" w:before="0"/>
        <w:jc w:val="center"/>
      </w:pPr>
      <w:r>
        <w:rPr>
          <w:rFonts w:ascii="Calibri" w:hAnsi="Calibri" w:eastAsia="Microsoft YaHei"/>
          <w:b/>
          <w:color w:val="003D6B"/>
          <w:sz w:val="56"/>
        </w:rPr>
        <w:t>GLOBAL EQUITY OPPORTUNITIES REPORT</w:t>
      </w:r>
    </w:p>
    <w:p>
      <w:pPr>
        <w:spacing w:after="120" w:before="0"/>
        <w:jc w:val="center"/>
      </w:pPr>
      <w:r>
        <w:rPr>
          <w:rFonts w:ascii="Calibri" w:hAnsi="Calibri" w:eastAsia="Microsoft YaHei"/>
          <w:b w:val="0"/>
          <w:color w:val="003D6B"/>
          <w:sz w:val="28"/>
        </w:rPr>
        <w:t>UCITS Portfolio Allocation</w:t>
      </w:r>
    </w:p>
    <w:p>
      <w:pPr>
        <w:spacing w:after="120" w:before="0"/>
        <w:jc w:val="center"/>
      </w:pPr>
      <w:r>
        <w:rPr>
          <w:rFonts w:ascii="Calibri" w:hAnsi="Calibri" w:eastAsia="Microsoft YaHei"/>
          <w:b w:val="0"/>
          <w:color w:val="003D6B"/>
          <w:sz w:val="28"/>
        </w:rPr>
        <w:t>&lt;YYYY-MM-DD&gt; | &lt;YOUR FIRM NAME&gt;</w:t>
      </w:r>
    </w:p>
    <w:p>
      <w:pPr>
        <w:spacing w:after="120" w:before="0"/>
        <w:jc w:val="center"/>
      </w:pPr>
      <w:r>
        <w:rPr>
          <w:rFonts w:ascii="Calibri" w:hAnsi="Calibri" w:eastAsia="Microsoft YaHei"/>
          <w:b w:val="0"/>
          <w:color w:val="003D6B"/>
          <w:sz w:val="22"/>
        </w:rPr>
        <w:t>CONFIDENTIAL — For Internal Use Only</w:t>
      </w:r>
    </w:p>
    <w:p>
      <w:pPr>
        <w:spacing w:after="120" w:before="0"/>
      </w:pPr>
      <w:r>
        <w:rPr>
          <w:rFonts w:ascii="Calibri" w:hAnsi="Calibri" w:eastAsia="Microsoft YaHei"/>
          <w:b w:val="0"/>
          <w:sz w:val="22"/>
        </w:rPr>
      </w:r>
    </w:p>
    <w:p>
      <w:pPr>
        <w:spacing w:after="120" w:before="0"/>
        <w:jc w:val="center"/>
      </w:pPr>
      <w:r>
        <w:rPr>
          <w:rFonts w:ascii="Calibri" w:hAnsi="Calibri" w:eastAsia="Microsoft YaHei"/>
          <w:b w:val="0"/>
          <w:color w:val="003D6B"/>
          <w:sz w:val="18"/>
        </w:rPr>
        <w:t>Email sources: Daiwa Capital Markets / DBS / UOB Kay Hian / Mizuho / AlphaSense / &lt;YOUR RESEARCH DESK&gt;</w:t>
      </w:r>
    </w:p>
    <w:p>
      <w:pPr>
        <w:spacing w:after="120" w:before="0"/>
        <w:jc w:val="center"/>
      </w:pPr>
      <w:r>
        <w:rPr>
          <w:rFonts w:ascii="Calibri" w:hAnsi="Calibri" w:eastAsia="Microsoft YaHei"/>
          <w:b w:val="0"/>
          <w:color w:val="003D6B"/>
          <w:sz w:val="18"/>
        </w:rPr>
        <w:t>Total fetched: 61 | Deduped: 56 | GC-relevant: 34 | Non-GC: 22</w:t>
      </w:r>
    </w:p>
    <w:p>
      <w:pPr>
        <w:spacing w:after="120" w:before="0"/>
        <w:jc w:val="center"/>
      </w:pPr>
      <w:r>
        <w:rPr>
          <w:rFonts w:ascii="Calibri" w:hAnsi="Calibri" w:eastAsia="Microsoft YaHei"/>
          <w:b w:val="0"/>
          <w:color w:val="003D6B"/>
          <w:sz w:val="18"/>
        </w:rPr>
        <w:t>nolinks fetch — report_links_crawled: false</w:t>
      </w:r>
    </w:p>
    <w:p>
      <w:r>
        <w:br w:type="page"/>
      </w:r>
    </w:p>
    <w:p>
      <w:pPr>
        <w:spacing w:after="160" w:before="360"/>
      </w:pPr>
      <w:r>
        <w:rPr>
          <w:rFonts w:ascii="Calibri" w:hAnsi="Calibri" w:eastAsia="Microsoft YaHei"/>
          <w:b/>
          <w:color w:val="003D6B"/>
          <w:sz w:val="36"/>
        </w:rPr>
        <w:t>Part 1   Major Market Events</w:t>
      </w:r>
    </w:p>
    <w:p>
      <w:pPr>
        <w:spacing w:after="160" w:before="0"/>
      </w:pPr>
      <w:r>
        <w:rPr>
          <w:rFonts w:ascii="Calibri" w:hAnsi="Calibri" w:eastAsia="Microsoft YaHei"/>
          <w:b w:val="0"/>
          <w:sz w:val="20"/>
        </w:rPr>
        <w:t>Report date: &lt;YYYY-MM-DD&gt; | Emails covered: &lt;YYYY-MM-DD of emails covered&gt; | GC-relevant emails: ~34</w:t>
      </w:r>
    </w:p>
    <w:p>
      <w:pPr>
        <w:spacing w:after="80" w:before="240"/>
      </w:pPr>
      <w:r>
        <w:rPr>
          <w:rFonts w:ascii="Calibri" w:hAnsi="Calibri" w:eastAsia="Microsoft YaHei"/>
          <w:b/>
          <w:color w:val="005B8E"/>
          <w:sz w:val="26"/>
        </w:rPr>
        <w:t>I. Rating &amp; Target Price Changes (Holdings-Related)</w:t>
      </w:r>
    </w:p>
    <w:p>
      <w:pPr>
        <w:spacing w:after="40" w:before="200"/>
      </w:pPr>
      <w:r>
        <w:rPr>
          <w:rFonts w:ascii="Calibri" w:hAnsi="Calibri" w:eastAsia="Microsoft YaHei"/>
          <w:b/>
          <w:color w:val="003D6B"/>
          <w:sz w:val="22"/>
        </w:rPr>
        <w:t>🔴 EXAMPLE — Example Tech (HK): 1H results in line, ad acceleration offsets AI spend; three brokers maintain Buy</w:t>
      </w:r>
    </w:p>
    <w:p>
      <w:pPr>
        <w:spacing w:after="80" w:before="0"/>
      </w:pPr>
      <w:r>
        <w:rPr>
          <w:rFonts w:ascii="Calibri" w:hAnsi="Calibri" w:eastAsia="Microsoft YaHei"/>
          <w:b w:val="0"/>
          <w:sz w:val="20"/>
        </w:rPr>
        <w:t>⏱ Time / Source: YYYY-MM-DD | Broker A + Broker B + Broker C</w:t>
      </w:r>
    </w:p>
    <w:p>
      <w:pPr>
        <w:spacing w:after="80" w:before="0"/>
      </w:pPr>
      <w:r>
        <w:rPr>
          <w:rFonts w:ascii="Calibri" w:hAnsi="Calibri" w:eastAsia="Microsoft YaHei"/>
          <w:b w:val="0"/>
          <w:sz w:val="20"/>
        </w:rPr>
        <w:t>📊 Key Data: • 1H non-IFRS net profit +X% y/y to ...</w:t>
        <w:br/>
        <w:t>• Revenue +X% y/y; games +X%, ads +X% y/y</w:t>
        <w:br/>
        <w:t>• AI new-product loss widened to ...</w:t>
        <w:br/>
        <w:t>• Broker A Buy TP HKDxxx; Broker B Buy TP HKDxxx; Broker C Buy TP HKDxxx</w:t>
      </w:r>
    </w:p>
    <w:p>
      <w:pPr>
        <w:spacing w:after="80" w:before="0"/>
      </w:pPr>
      <w:r>
        <w:rPr>
          <w:rFonts w:ascii="Calibri" w:hAnsi="Calibri" w:eastAsia="Microsoft YaHei"/>
          <w:b w:val="0"/>
          <w:sz w:val="20"/>
        </w:rPr>
        <w:t>📝 Analysis: ① What happened: ...</w:t>
        <w:br/>
        <w:t>② Key data: ...</w:t>
        <w:br/>
        <w:t>③ Why it matters: ...</w:t>
        <w:br/>
        <w:t>④ Portfolio impact: ✅ Held at X%. All three brokers maintain Buy; fundamentals intact. Monitor FCF pressure from capex.</w:t>
      </w:r>
    </w:p>
    <w:p>
      <w:pPr>
        <w:spacing w:after="80" w:before="240"/>
      </w:pPr>
      <w:r>
        <w:rPr>
          <w:rFonts w:ascii="Calibri" w:hAnsi="Calibri" w:eastAsia="Microsoft YaHei"/>
          <w:b/>
          <w:color w:val="005B8E"/>
          <w:sz w:val="26"/>
        </w:rPr>
        <w:t>II. Sector / Macro</w:t>
      </w:r>
    </w:p>
    <w:p>
      <w:pPr>
        <w:spacing w:after="40" w:before="200"/>
      </w:pPr>
      <w:r>
        <w:rPr>
          <w:rFonts w:ascii="Calibri" w:hAnsi="Calibri" w:eastAsia="Microsoft YaHei"/>
          <w:b/>
          <w:color w:val="003D6B"/>
          <w:sz w:val="22"/>
        </w:rPr>
        <w:t>🟡 EXAMPLE — Macro: US CPI X.X% y/y (in line); rate-hike probability eases</w:t>
      </w:r>
    </w:p>
    <w:p>
      <w:pPr>
        <w:spacing w:after="80" w:before="0"/>
      </w:pPr>
      <w:r>
        <w:rPr>
          <w:rFonts w:ascii="Calibri" w:hAnsi="Calibri" w:eastAsia="Microsoft YaHei"/>
          <w:b w:val="0"/>
          <w:sz w:val="20"/>
        </w:rPr>
        <w:t>⏱ Time / Source: YYYY-MM-DD | Economics Desk</w:t>
      </w:r>
    </w:p>
    <w:p>
      <w:pPr>
        <w:spacing w:after="80" w:before="0"/>
      </w:pPr>
      <w:r>
        <w:rPr>
          <w:rFonts w:ascii="Calibri" w:hAnsi="Calibri" w:eastAsia="Microsoft YaHei"/>
          <w:b w:val="0"/>
          <w:sz w:val="20"/>
        </w:rPr>
        <w:t>📊 Key Data: • US CPI X.X% y/y (in line); core X.X%</w:t>
        <w:br/>
        <w:t>• MoM: headline X.X%, core X.X%</w:t>
        <w:br/>
        <w:t>• Implied hike probability fell from X% to Y%</w:t>
      </w:r>
    </w:p>
    <w:p>
      <w:pPr>
        <w:spacing w:after="80" w:before="0"/>
      </w:pPr>
      <w:r>
        <w:rPr>
          <w:rFonts w:ascii="Calibri" w:hAnsi="Calibri" w:eastAsia="Microsoft YaHei"/>
          <w:b w:val="0"/>
          <w:sz w:val="20"/>
        </w:rPr>
        <w:t>📝 Analysis: ① What happened: ...</w:t>
        <w:br/>
        <w:t>② Key data: ...</w:t>
        <w:br/>
        <w:t>③ Why it matters: ...</w:t>
        <w:br/>
        <w:t>④ Portfolio impact: ✅ Easing hike fears support risk assets and EM flows.</w:t>
      </w:r>
    </w:p>
    <w:p>
      <w:r>
        <w:br w:type="page"/>
      </w:r>
    </w:p>
    <w:p>
      <w:pPr>
        <w:spacing w:after="160" w:before="360"/>
      </w:pPr>
      <w:r>
        <w:rPr>
          <w:rFonts w:ascii="Calibri" w:hAnsi="Calibri" w:eastAsia="Microsoft YaHei"/>
          <w:b/>
          <w:color w:val="003D6B"/>
          <w:sz w:val="36"/>
        </w:rPr>
        <w:t>Part 2   Investment Ideas Summary</w:t>
      </w:r>
    </w:p>
    <w:p>
      <w:pPr>
        <w:spacing w:after="160" w:before="0"/>
      </w:pPr>
      <w:r>
        <w:rPr>
          <w:rFonts w:ascii="Calibri" w:hAnsi="Calibri" w:eastAsia="Microsoft YaHei"/>
          <w:b w:val="0"/>
          <w:sz w:val="20"/>
        </w:rPr>
        <w:t>Example investment summary — replace with your real bullets:</w:t>
        <w:br/>
        <w:br/>
        <w:t>1. ⚠️ Continue monitoring any non-eligible-region holdings; flag and propose replacement.</w:t>
        <w:br/>
        <w:t>2. 🔴 Maintain overweight on the AI hardware chain (multiple confirmations this week).</w:t>
        <w:br/>
        <w:t>3. 🟡 Core internet holding: results in line; watch capex-vs-return debate.</w:t>
        <w:br/>
        <w:t>4. ✅ Defensive staples resilience reaffirmed.</w:t>
        <w:br/>
        <w:t>5. 📌 New watchlist ideas: ...</w:t>
      </w:r>
    </w:p>
    <w:p>
      <w:pPr>
        <w:spacing w:after="160" w:before="360"/>
      </w:pPr>
      <w:r>
        <w:rPr>
          <w:rFonts w:ascii="Calibri" w:hAnsi="Calibri" w:eastAsia="Microsoft YaHei"/>
          <w:b/>
          <w:color w:val="003D6B"/>
          <w:sz w:val="36"/>
        </w:rPr>
        <w:t>Part 3   Long Ideas</w:t>
      </w:r>
    </w:p>
    <w:p>
      <w:pPr>
        <w:spacing w:after="80" w:before="240"/>
      </w:pPr>
      <w:r>
        <w:rPr>
          <w:rFonts w:ascii="Calibri" w:hAnsi="Calibri" w:eastAsia="Microsoft YaHei"/>
          <w:b/>
          <w:color w:val="005B8E"/>
          <w:sz w:val="26"/>
        </w:rPr>
        <w:t>Example Foundry (TICKER TT)</w:t>
      </w:r>
    </w:p>
    <w:p>
      <w:pPr>
        <w:spacing w:after="40" w:before="0"/>
      </w:pPr>
      <w:r>
        <w:rPr>
          <w:rFonts w:ascii="Calibri" w:hAnsi="Calibri" w:eastAsia="Microsoft YaHei"/>
          <w:b w:val="0"/>
          <w:sz w:val="20"/>
        </w:rPr>
        <w:t>Current ~TWD985 | Portfolio weight 3.7%</w:t>
      </w:r>
    </w:p>
    <w:p>
      <w:pPr>
        <w:spacing w:after="120" w:before="0"/>
      </w:pPr>
      <w:r>
        <w:rPr>
          <w:rFonts w:ascii="Calibri" w:hAnsi="Calibri" w:eastAsia="Microsoft YaHei"/>
          <w:b w:val="0"/>
          <w:sz w:val="20"/>
        </w:rPr>
        <w:t>Business Quality (★★★★★): ...</w:t>
        <w:br/>
        <w:br/>
        <w:t>Valuation (★★★★☆): ...</w:t>
        <w:br/>
        <w:br/>
        <w:t>Operating Momentum (★★★★★): ...</w:t>
        <w:br/>
        <w:br/>
        <w:t>Entry zone: TWD850-900 | Target exit: TWD1200+</w:t>
      </w:r>
    </w:p>
    <w:p>
      <w:r>
        <w:br w:type="page"/>
      </w:r>
    </w:p>
    <w:p>
      <w:pPr>
        <w:spacing w:after="160" w:before="360"/>
      </w:pPr>
      <w:r>
        <w:rPr>
          <w:rFonts w:ascii="Calibri" w:hAnsi="Calibri" w:eastAsia="Microsoft YaHei"/>
          <w:b/>
          <w:color w:val="003D6B"/>
          <w:sz w:val="36"/>
        </w:rPr>
        <w:t>Part 4   Portfolio Allocation</w:t>
      </w:r>
    </w:p>
    <w:p>
      <w:pPr>
        <w:spacing w:after="160" w:before="0"/>
      </w:pPr>
      <w:r>
        <w:rPr>
          <w:rFonts w:ascii="Calibri" w:hAnsi="Calibri" w:eastAsia="Microsoft YaHei"/>
          <w:b w:val="0"/>
          <w:sz w:val="20"/>
        </w:rPr>
        <w:t>Based on latest available holdings as of &lt;DATE&gt;. Replace examples/holdings_example.csv with your real file (do NOT commit the real file — see .gitignore).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003D6B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Name / Ticker</w:t>
            </w:r>
          </w:p>
        </w:tc>
        <w:tc>
          <w:tcPr>
            <w:tcW w:type="dxa" w:w="1568"/>
            <w:shd w:fill="003D6B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Latest</w:t>
            </w:r>
          </w:p>
        </w:tc>
        <w:tc>
          <w:tcPr>
            <w:tcW w:type="dxa" w:w="1568"/>
            <w:shd w:fill="003D6B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Entry</w:t>
            </w:r>
          </w:p>
        </w:tc>
        <w:tc>
          <w:tcPr>
            <w:tcW w:type="dxa" w:w="1568"/>
            <w:shd w:fill="003D6B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1568"/>
            <w:shd w:fill="003D6B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Weight %</w:t>
            </w:r>
          </w:p>
        </w:tc>
        <w:tc>
          <w:tcPr>
            <w:tcW w:type="dxa" w:w="1568"/>
            <w:shd w:fill="003D6B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Compliant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Example Semiconductor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~CNY900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CNY800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CNY1100+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8.0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Example Tech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~HKD100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HKD90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HKD120+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7.0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Example Mobile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~HKD78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HKD70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HKD85+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5.3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Example Beverage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~HKD11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HKD9.5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HKD13+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4.7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Example Battery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~CNY240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CNY210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CNY300+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4.4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Example AI Server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~TWD200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TWD170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TWD280+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4.2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Example Optical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~HKD52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HKD45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HKD65+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3.9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Example Foundry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~TWD985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TWD850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TWD1200+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3.7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Example Platform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~HKD95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HKD85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HKD120+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3.4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Example Net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~HKD135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HKD120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HKD165+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3.0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Example Equipment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~CNY350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CNY300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CNY450+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2.9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Example Insurance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~HKD85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HKD75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HKD100+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2.6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Example Property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~HKD25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HKD22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HKD35+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2.5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Example Mining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~HKD18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HKD15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HKD24+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2.4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Example Glass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~HKD52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HKD45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HKD65+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2.3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Example Optical Module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~CNY140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CNY120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CNY180+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2.1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Example Chip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~CNY75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CNY65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CNY100+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2.0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Example MCU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~TWD1450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TWD1300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TWD1700+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1.9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Example Test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~TWD125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TWD110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TWD155+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1.7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Example Networking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~TWD560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TWD500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TWD680+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1.6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Example Property B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~HKD82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HKD75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HKD95+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1.5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✅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Example Material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~TWD550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TWD500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TWD650+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1.4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✅</w:t>
            </w:r>
          </w:p>
        </w:tc>
      </w:tr>
      <w:tr>
        <w:tc>
          <w:tcPr>
            <w:tcW w:type="dxa" w:w="1568"/>
            <w:shd w:fill="FFF2CC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Example Global Bank</w:t>
            </w:r>
          </w:p>
        </w:tc>
        <w:tc>
          <w:tcPr>
            <w:tcW w:type="dxa" w:w="1568"/>
            <w:shd w:fill="FFF2CC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~USD7.80</w:t>
            </w:r>
          </w:p>
        </w:tc>
        <w:tc>
          <w:tcPr>
            <w:tcW w:type="dxa" w:w="1568"/>
            <w:shd w:fill="FFF2CC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--</w:t>
            </w:r>
          </w:p>
        </w:tc>
        <w:tc>
          <w:tcPr>
            <w:tcW w:type="dxa" w:w="1568"/>
            <w:shd w:fill="FFF2CC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--</w:t>
            </w:r>
          </w:p>
        </w:tc>
        <w:tc>
          <w:tcPr>
            <w:tcW w:type="dxa" w:w="1568"/>
            <w:shd w:fill="FFF2CC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4.0</w:t>
            </w:r>
          </w:p>
        </w:tc>
        <w:tc>
          <w:tcPr>
            <w:tcW w:type="dxa" w:w="1568"/>
            <w:shd w:fill="FFF2CC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❌ US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Cash (HKD + USD)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--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--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--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12.0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✅</w:t>
            </w:r>
          </w:p>
        </w:tc>
      </w:tr>
    </w:tbl>
    <w:p>
      <w:pPr>
        <w:spacing w:after="80" w:before="0"/>
      </w:pPr>
      <w:r>
        <w:rPr>
          <w:rFonts w:ascii="Calibri" w:hAnsi="Calibri" w:eastAsia="Microsoft YaHei"/>
          <w:b w:val="0"/>
          <w:sz w:val="12"/>
        </w:rPr>
      </w:r>
    </w:p>
    <w:p>
      <w:pPr>
        <w:spacing w:after="80" w:before="240"/>
      </w:pPr>
      <w:r>
        <w:rPr>
          <w:rFonts w:ascii="Calibri" w:hAnsi="Calibri" w:eastAsia="Microsoft YaHei"/>
          <w:b/>
          <w:color w:val="005B8E"/>
          <w:sz w:val="24"/>
        </w:rPr>
        <w:t>UCITS Compliance Check</w:t>
      </w:r>
    </w:p>
    <w:p>
      <w:pPr>
        <w:spacing w:after="160" w:before="0"/>
      </w:pPr>
      <w:r>
        <w:rPr>
          <w:rFonts w:ascii="Calibri" w:hAnsi="Calibri" w:eastAsia="Microsoft YaHei"/>
          <w:b w:val="0"/>
          <w:sz w:val="20"/>
        </w:rPr>
        <w:t>✅ Stock count: 23 (rule 23-27)</w:t>
        <w:br/>
        <w:t>❌ Eligible-region only: Example Global Bank — VIOLATION (non-eligible exposure)</w:t>
        <w:br/>
        <w:t>✅ Single-name ≤10.0%: max 8.00%</w:t>
        <w:br/>
        <w:t>✅ 5/40 rule: top&gt;5% sum = 20.30% (≤40%)</w:t>
        <w:br/>
        <w:t>✅ A-shares: 19.40% (≤30.0%)</w:t>
        <w:br/>
        <w:t>✅ Taiwan: 14.50% (≤40.0%)</w:t>
        <w:br/>
        <w:t>✅ Cash: 12.00% (≤20.0%)</w:t>
        <w:br/>
        <w:t>❌ Flagged names: Example Global Bank — Names domiciled outside the eligible region must be flagged and replaced.</w:t>
      </w:r>
    </w:p>
    <w:p>
      <w:r>
        <w:br w:type="page"/>
      </w:r>
    </w:p>
    <w:p>
      <w:pPr>
        <w:spacing w:after="160" w:before="360"/>
      </w:pPr>
      <w:r>
        <w:rPr>
          <w:rFonts w:ascii="Calibri" w:hAnsi="Calibri" w:eastAsia="Microsoft YaHei"/>
          <w:b/>
          <w:color w:val="003D6B"/>
          <w:sz w:val="36"/>
        </w:rPr>
        <w:t>Part 5   Link Status</w:t>
      </w:r>
    </w:p>
    <w:p>
      <w:pPr>
        <w:spacing w:after="160" w:before="0"/>
      </w:pPr>
      <w:r>
        <w:rPr>
          <w:rFonts w:ascii="Calibri" w:hAnsi="Calibri" w:eastAsia="Microsoft YaHei"/>
          <w:b w:val="0"/>
          <w:sz w:val="20"/>
        </w:rPr>
        <w:t>nolinks fetch — report_links_crawled: false. Full research summaries are contained in email bodies, so analysis quality is unaffected. For full reports, download via your broker research portal / Bloomberg / LSEG.</w:t>
      </w:r>
    </w:p>
    <w:p>
      <w:pPr>
        <w:spacing w:after="120" w:before="400"/>
        <w:jc w:val="center"/>
      </w:pPr>
      <w:r>
        <w:rPr>
          <w:rFonts w:ascii="Calibri" w:hAnsi="Calibri" w:eastAsia="Microsoft YaHei"/>
          <w:b w:val="0"/>
          <w:color w:val="003D6B"/>
          <w:sz w:val="20"/>
        </w:rPr>
        <w:t>— END OF REPORT —</w:t>
      </w:r>
    </w:p>
    <w:p>
      <w:pPr>
        <w:spacing w:after="120" w:before="0"/>
        <w:jc w:val="center"/>
      </w:pPr>
      <w:r>
        <w:rPr>
          <w:rFonts w:ascii="Calibri" w:hAnsi="Calibri" w:eastAsia="Microsoft YaHei"/>
          <w:b w:val="0"/>
          <w:color w:val="003D6B"/>
          <w:sz w:val="16"/>
        </w:rPr>
        <w:t>Generated by report skill | &lt;YOUR FIRM NAME&gt; | CONFIDENTIAL — For Internal Use Only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