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工艺角TT/FF/SS/SNFP/FNSP与SF/FS的区别及规范使用方法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一、工艺角基本概念与命名规则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工艺角 (Process Corner) 是半导体行业用于模拟制造过程中晶体管性能波动的标准化方法。由于掺杂浓度、栅氧厚度、沟道长度等工艺参数的不可避免波动，同一批次生产的晶体管在速度、阈值电压等特性上会存在差异。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标准命名规则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工艺角通常由两个或四个字母组成，</w:t>
      </w:r>
      <w:r>
        <w:rPr>
          <w:rFonts w:eastAsia="等线" w:ascii="Arial" w:cs="Arial" w:hAnsi="Arial"/>
          <w:b w:val="true"/>
          <w:sz w:val="22"/>
        </w:rPr>
        <w:t>第一个字母 / 部分代表 NMOS 管的特性，第二个字母 / 部分代表 PMOS 管的特性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T(Typical)</w:t>
      </w:r>
      <w:r>
        <w:rPr>
          <w:rFonts w:eastAsia="等线" w:ascii="Arial" w:cs="Arial" w:hAnsi="Arial"/>
          <w:sz w:val="22"/>
        </w:rPr>
        <w:t>：典型值，所有参数处于标称状态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S(Slow)</w:t>
      </w:r>
      <w:r>
        <w:rPr>
          <w:rFonts w:eastAsia="等线" w:ascii="Arial" w:cs="Arial" w:hAnsi="Arial"/>
          <w:sz w:val="22"/>
        </w:rPr>
        <w:t>：慢速，载流子迁移率低、阈值电压高、驱动电流小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F(Fast)</w:t>
      </w:r>
      <w:r>
        <w:rPr>
          <w:rFonts w:eastAsia="等线" w:ascii="Arial" w:cs="Arial" w:hAnsi="Arial"/>
          <w:sz w:val="22"/>
        </w:rPr>
        <w:t>：快速，载流子迁移率高、阈值电压低、驱动电流大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二、各工艺角详细定义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工艺角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NMOS 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PMOS 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主要特性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Typical-Typical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基准性能，用于初步设计和典型值评估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Fast-Fast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开关速度最快，漏电流最大，动态功耗最高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Slow-Slow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开关速度最慢，漏电流最小，动态功耗最低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Slow-Fast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上升沿快，下降沿慢，时序严重不平衡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Fast-Slow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下降沿快，上升沿慢，时序严重不平衡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SNFP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Slow NMOS Fast PMOS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SF 完全相同的物理含义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FNSP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 NMOS Slow PMOS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FS 完全相同的物理含义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三、SNFP/FNSP 与 SF/FS 的核心区别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结论：SNFP/FNSP 与 SF/FS 在物理本质上完全相同，都是描述 NMOS 和 PMOS 速度不对称的工艺偏差情况。它们的区别仅在于命名方式和使用习惯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具体差异点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命名清晰度不同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SF/FS 是两字母缩写，存在潜在歧义：少数代工厂可能采用 "PMOS 在前，NMOS 在后" 的命名规则，导致 SF 被误解为 "Slow PMOS Fast NMOS"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SNFP/FNSP 是四字母缩写，明确标注了 "N" 和 "P"，完全消除了歧义，是更严谨的命名方式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代工厂使用习惯不同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TSMC (台积电)</w:t>
      </w:r>
      <w:r>
        <w:rPr>
          <w:rFonts w:eastAsia="等线" w:ascii="Arial" w:cs="Arial" w:hAnsi="Arial"/>
          <w:sz w:val="22"/>
        </w:rPr>
        <w:t xml:space="preserve"> 等台湾代工厂普遍使用</w:t>
      </w:r>
      <w:r>
        <w:rPr>
          <w:rFonts w:eastAsia="等线" w:ascii="Arial" w:cs="Arial" w:hAnsi="Arial"/>
          <w:b w:val="true"/>
          <w:sz w:val="22"/>
        </w:rPr>
        <w:t>SF/FS</w:t>
      </w:r>
      <w:r>
        <w:rPr>
          <w:rFonts w:eastAsia="等线" w:ascii="Arial" w:cs="Arial" w:hAnsi="Arial"/>
          <w:sz w:val="22"/>
        </w:rPr>
        <w:t>命名方式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SMIC (中芯国际)</w:t>
      </w:r>
      <w:r>
        <w:rPr>
          <w:rFonts w:eastAsia="等线" w:ascii="Arial" w:cs="Arial" w:hAnsi="Arial"/>
          <w:sz w:val="22"/>
        </w:rPr>
        <w:t xml:space="preserve"> 等中国大陆代工厂以及部分国际代工厂更倾向于使用</w:t>
      </w:r>
      <w:r>
        <w:rPr>
          <w:rFonts w:eastAsia="等线" w:ascii="Arial" w:cs="Arial" w:hAnsi="Arial"/>
          <w:b w:val="true"/>
          <w:sz w:val="22"/>
        </w:rPr>
        <w:t>SNFP/FNSP</w:t>
      </w:r>
      <w:r>
        <w:rPr>
          <w:rFonts w:eastAsia="等线" w:ascii="Arial" w:cs="Arial" w:hAnsi="Arial"/>
          <w:sz w:val="22"/>
        </w:rPr>
        <w:t>命名方式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部分工艺库会同时提供两种命名的模型文件，但指向完全相同的参数集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应用领域偏好不同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数字电路设计领域由于历史原因，SF/FS 的使用更为广泛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模拟电路和射频电路设计领域更偏好 SNFP/FNSP，因为其命名更精确，避免了因歧义导致的设计错误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四、工艺角的规范使用方法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工艺角必须与 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 xml:space="preserve"> 电压 (Voltage)</w:t>
      </w:r>
      <w:r>
        <w:rPr>
          <w:rFonts w:eastAsia="等线" w:ascii="Arial" w:cs="Arial" w:hAnsi="Arial"/>
          <w:b w:val="true"/>
          <w:sz w:val="22"/>
        </w:rPr>
        <w:t>和</w:t>
      </w:r>
      <w:r>
        <w:rPr>
          <w:rFonts w:eastAsia="等线" w:ascii="Arial" w:cs="Arial" w:hAnsi="Arial"/>
          <w:sz w:val="22"/>
        </w:rPr>
        <w:t>温度 (Temperature)\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 xml:space="preserve"> 结合使用，形成完整的 PVT (Process-Voltage-Temperature) 验证条件，才能全面覆盖芯片可能遇到的工作环境。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数字电路设计中的使用规范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不同设计阶段的工艺角选择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主要使用工艺角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辅助使用工艺角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验证目标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综合阶段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 TT 角为基础进行逻辑优化和面积 / 功耗权衡；高级流程采用 SS+TT 多角综合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布局布线阶段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SS, FF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SF/SNFP, FS/FNSP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MCMM (多角多模) 技术同时优化 SS 角下的建立时间和 FF 角下的保持时间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静态时序分析 (STA)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SS(Setup), FF(Hold)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SF/SNFP, FS/FNSP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Setup 检查：SS_LV_125℃(低电压、高温)</w:t>
              <w:br/>
            </w:r>
            <w:r>
              <w:rPr>
                <w:rFonts w:eastAsia="等线" w:ascii="Arial" w:cs="Arial" w:hAnsi="Arial"/>
                <w:sz w:val="22"/>
              </w:rPr>
              <w:t>- Hold 检查：FF\</w:t>
            </w:r>
            <w:r>
              <w:rPr>
                <w:rFonts w:eastAsia="等线" w:ascii="Arial" w:cs="Arial" w:hAnsi="Arial"/>
                <w:i w:val="true"/>
                <w:sz w:val="22"/>
              </w:rPr>
              <w:t>HV\</w:t>
            </w:r>
            <w:r>
              <w:rPr>
                <w:rFonts w:eastAsia="等线" w:ascii="Arial" w:cs="Arial" w:hAnsi="Arial"/>
                <w:sz w:val="22"/>
              </w:rPr>
              <w:t>-40℃(高电压、低温)</w:t>
              <w:br/>
            </w:r>
            <w:r>
              <w:rPr>
                <w:rFonts w:eastAsia="等线" w:ascii="Arial" w:cs="Arial" w:hAnsi="Arial"/>
                <w:sz w:val="22"/>
              </w:rPr>
              <w:t>- 时序不平衡检查：SF/SNFP 和 FS/FNSP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功耗分析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 (典型功耗)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FF (最大功耗), SS (最小功耗)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典型功耗：TT_NV_25℃</w:t>
              <w:br/>
              <w:t>- 最大动态功耗：FF_HV_125℃</w:t>
              <w:br/>
            </w:r>
            <w:r>
              <w:rPr>
                <w:rFonts w:eastAsia="等线" w:ascii="Arial" w:cs="Arial" w:hAnsi="Arial"/>
                <w:sz w:val="22"/>
              </w:rPr>
              <w:t>- 最小漏电流：SS\</w:t>
            </w:r>
            <w:r>
              <w:rPr>
                <w:rFonts w:eastAsia="等线" w:ascii="Arial" w:cs="Arial" w:hAnsi="Arial"/>
                <w:i w:val="true"/>
                <w:sz w:val="22"/>
              </w:rPr>
              <w:t>LV\</w:t>
            </w:r>
            <w:r>
              <w:rPr>
                <w:rFonts w:eastAsia="等线" w:ascii="Arial" w:cs="Arial" w:hAnsi="Arial"/>
                <w:sz w:val="22"/>
              </w:rPr>
              <w:t>-40℃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Signoff 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 5 个工艺角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覆盖所有可能的工艺偏差，确保量产良率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关键 PVT 组合推荐 (工业标准)</w:t>
      </w:r>
      <w:bookmarkEnd w:id="8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最坏建立时间条件</w:t>
      </w:r>
      <w:r>
        <w:rPr>
          <w:rFonts w:eastAsia="等线" w:ascii="Arial" w:cs="Arial" w:hAnsi="Arial"/>
          <w:sz w:val="22"/>
        </w:rPr>
        <w:t>：SS_0.9V_125℃(假设标称电压 1.0V)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最坏保持时间条件</w:t>
      </w:r>
      <w:r>
        <w:rPr>
          <w:rFonts w:eastAsia="等线" w:ascii="Arial" w:cs="Arial" w:hAnsi="Arial"/>
          <w:sz w:val="22"/>
        </w:rPr>
        <w:t>：FF\</w:t>
      </w:r>
      <w:r>
        <w:rPr>
          <w:rFonts w:eastAsia="等线" w:ascii="Arial" w:cs="Arial" w:hAnsi="Arial"/>
          <w:i w:val="true"/>
          <w:sz w:val="22"/>
        </w:rPr>
        <w:t>1.1V\</w:t>
      </w:r>
      <w:r>
        <w:rPr>
          <w:rFonts w:eastAsia="等线" w:ascii="Arial" w:cs="Arial" w:hAnsi="Arial"/>
          <w:sz w:val="22"/>
        </w:rPr>
        <w:t>-40℃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典型性能条件</w:t>
      </w:r>
      <w:r>
        <w:rPr>
          <w:rFonts w:eastAsia="等线" w:ascii="Arial" w:cs="Arial" w:hAnsi="Arial"/>
          <w:sz w:val="22"/>
        </w:rPr>
        <w:t>：TT_1.0V_25℃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时序不平衡最坏条件</w:t>
      </w:r>
      <w:r>
        <w:rPr>
          <w:rFonts w:eastAsia="等线" w:ascii="Arial" w:cs="Arial" w:hAnsi="Arial"/>
          <w:sz w:val="22"/>
        </w:rPr>
        <w:t>：SF_1.0V_125℃和 FS\</w:t>
      </w:r>
      <w:r>
        <w:rPr>
          <w:rFonts w:eastAsia="等线" w:ascii="Arial" w:cs="Arial" w:hAnsi="Arial"/>
          <w:i w:val="true"/>
          <w:sz w:val="22"/>
        </w:rPr>
        <w:t>1.0V\</w:t>
      </w:r>
      <w:r>
        <w:rPr>
          <w:rFonts w:eastAsia="等线" w:ascii="Arial" w:cs="Arial" w:hAnsi="Arial"/>
          <w:sz w:val="22"/>
        </w:rPr>
        <w:t>-40℃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模拟电路设计中的使用规范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模拟电路对工艺偏差更为敏感，特别是对 NMOS 和 PMOS 的不匹配尤为敏感，因此必须全面验证所有工艺角。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不同电路类型的重点验证工艺角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电路类型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重点验证工艺角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主要关注指标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运算放大器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 5 个工艺角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增益、相位裕度、单位增益带宽、输入失调电压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LDO 稳压器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 5 个工艺角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线性调整率、负载调整率、电源抑制比 (PSRR)、 dropout 电压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带隙基准源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 5 个工艺角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温度系数、输出电压精度、电源抑制比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比较器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SF/SNFP, FS/FNSP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失调电压、响应时间、迟滞电压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振荡器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 5 个工艺角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振荡频率、频率稳定性、占空比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ADC/DAC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 5 个工艺角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线性度、信噪比 (SNR)、有效位数 (ENOB)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模拟电路特殊注意事项</w:t>
      </w:r>
      <w:bookmarkEnd w:id="11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对于差分电路和匹配要求高的电路，除了全局工艺角外，还需要进行蒙特卡洛 (Monte Carlo) 仿真来模拟局部失配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SNFP/FNSP 角是模拟电路验证的重中之重，因为它们会导致严重的电流失配和失调电压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温度扫描应与工艺角结合进行，特别是在 - 40℃、25℃和 125℃三个温度点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 通用使用原则</w:t>
      </w:r>
      <w:bookmarkEnd w:id="12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永远不要只使用 TT 角进行设计验证</w:t>
      </w:r>
      <w:r>
        <w:rPr>
          <w:rFonts w:eastAsia="等线" w:ascii="Arial" w:cs="Arial" w:hAnsi="Arial"/>
          <w:sz w:val="22"/>
        </w:rPr>
        <w:t>：TT 角只代表理想情况，实际生产中几乎没有芯片会完全处于 TT 角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合理选择 PVT 组合</w:t>
      </w:r>
      <w:r>
        <w:rPr>
          <w:rFonts w:eastAsia="等线" w:ascii="Arial" w:cs="Arial" w:hAnsi="Arial"/>
          <w:sz w:val="22"/>
        </w:rPr>
        <w:t>：不要盲目进行所有可能的组合，应根据电路的实际应用场景选择最恶劣的条件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注意工艺角的覆盖范围</w:t>
      </w:r>
      <w:r>
        <w:rPr>
          <w:rFonts w:eastAsia="等线" w:ascii="Arial" w:cs="Arial" w:hAnsi="Arial"/>
          <w:sz w:val="22"/>
        </w:rPr>
        <w:t>：标准工艺角通常覆盖 ±3σ 的工艺波动，约 99.73% 的芯片会落在这个范围内。对于高可靠性要求的应用 (如汽车电子、航空航天)，可能需要覆盖 ±4σ 或 ±5σ 的范围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仔细阅读代工厂文档</w:t>
      </w:r>
      <w:r>
        <w:rPr>
          <w:rFonts w:eastAsia="等线" w:ascii="Arial" w:cs="Arial" w:hAnsi="Arial"/>
          <w:sz w:val="22"/>
        </w:rPr>
        <w:t>：不同代工厂的工艺角定义可能存在细微差异，使用前务必仔细阅读工艺库提供的说明文档，确认每个工艺角的具体参数变化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后仿真必须包含工艺角</w:t>
      </w:r>
      <w:r>
        <w:rPr>
          <w:rFonts w:eastAsia="等线" w:ascii="Arial" w:cs="Arial" w:hAnsi="Arial"/>
          <w:sz w:val="22"/>
        </w:rPr>
        <w:t>：前仿真没有考虑寄生参数，无法准确反映工艺角的影响。后仿真必须在所有关键工艺角下进行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五、常见误区与注意事项</w:t>
      </w:r>
      <w:bookmarkEnd w:id="13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误区</w:t>
      </w:r>
      <w:r>
        <w:rPr>
          <w:rFonts w:eastAsia="等线" w:ascii="Arial" w:cs="Arial" w:hAnsi="Arial"/>
          <w:sz w:val="22"/>
        </w:rPr>
        <w:t>：认为 SF 和 FS 是对称的，验证了一个就不需要验证另一个</w:t>
        <w:br/>
      </w:r>
      <w:r>
        <w:rPr>
          <w:rFonts w:eastAsia="等线" w:ascii="Arial" w:cs="Arial" w:hAnsi="Arial"/>
          <w:b w:val="true"/>
          <w:sz w:val="22"/>
        </w:rPr>
        <w:t>纠正</w:t>
      </w:r>
      <w:r>
        <w:rPr>
          <w:rFonts w:eastAsia="等线" w:ascii="Arial" w:cs="Arial" w:hAnsi="Arial"/>
          <w:sz w:val="22"/>
        </w:rPr>
        <w:t>：由于 NMOS 和 PMOS 的物理特性不同，SF 和 FS 角对电路的影响并不对称，必须分别验证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误区</w:t>
      </w:r>
      <w:r>
        <w:rPr>
          <w:rFonts w:eastAsia="等线" w:ascii="Arial" w:cs="Arial" w:hAnsi="Arial"/>
          <w:sz w:val="22"/>
        </w:rPr>
        <w:t>：FF 角总是最快的，SS 角总是最慢的</w:t>
        <w:br/>
      </w:r>
      <w:r>
        <w:rPr>
          <w:rFonts w:eastAsia="等线" w:ascii="Arial" w:cs="Arial" w:hAnsi="Arial"/>
          <w:b w:val="true"/>
          <w:sz w:val="22"/>
        </w:rPr>
        <w:t>纠正</w:t>
      </w:r>
      <w:r>
        <w:rPr>
          <w:rFonts w:eastAsia="等线" w:ascii="Arial" w:cs="Arial" w:hAnsi="Arial"/>
          <w:sz w:val="22"/>
        </w:rPr>
        <w:t>：在低温下，由于阈值电压的升高，SS 角的速度可能会进一步降低；而在高温下，由于载流子迁移率的下降，FF 角的速度可能会变慢。因此必须结合温度进行验证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误区</w:t>
      </w:r>
      <w:r>
        <w:rPr>
          <w:rFonts w:eastAsia="等线" w:ascii="Arial" w:cs="Arial" w:hAnsi="Arial"/>
          <w:sz w:val="22"/>
        </w:rPr>
        <w:t>：SNFP/FNSP 和 SF/FS 是不同的工艺角，需要分别验证</w:t>
        <w:br/>
      </w:r>
      <w:r>
        <w:rPr>
          <w:rFonts w:eastAsia="等线" w:ascii="Arial" w:cs="Arial" w:hAnsi="Arial"/>
          <w:b w:val="true"/>
          <w:sz w:val="22"/>
        </w:rPr>
        <w:t>纠正</w:t>
      </w:r>
      <w:r>
        <w:rPr>
          <w:rFonts w:eastAsia="等线" w:ascii="Arial" w:cs="Arial" w:hAnsi="Arial"/>
          <w:sz w:val="22"/>
        </w:rPr>
        <w:t>：它们是完全相同的物理情况，只是命名不同。在同一个工艺库中，只会提供其中一种命名的模型文件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误区</w:t>
      </w:r>
      <w:r>
        <w:rPr>
          <w:rFonts w:eastAsia="等线" w:ascii="Arial" w:cs="Arial" w:hAnsi="Arial"/>
          <w:sz w:val="22"/>
        </w:rPr>
        <w:t>：工艺角验证只需要在晶体管级进行</w:t>
        <w:br/>
      </w:r>
      <w:r>
        <w:rPr>
          <w:rFonts w:eastAsia="等线" w:ascii="Arial" w:cs="Arial" w:hAnsi="Arial"/>
          <w:b w:val="true"/>
          <w:sz w:val="22"/>
        </w:rPr>
        <w:t>纠正</w:t>
      </w:r>
      <w:r>
        <w:rPr>
          <w:rFonts w:eastAsia="等线" w:ascii="Arial" w:cs="Arial" w:hAnsi="Arial"/>
          <w:sz w:val="22"/>
        </w:rPr>
        <w:t>：布局布线后的寄生参数会显著影响电路性能，特别是时序特性。因此必须在提取寄生参数后进行后仿真验证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总结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TT/FF/SS/SF/FS/SNFP/FNSP 是集成电路设计中最常用的工艺角，其中</w:t>
      </w:r>
      <w:r>
        <w:rPr>
          <w:rFonts w:eastAsia="等线" w:ascii="Arial" w:cs="Arial" w:hAnsi="Arial"/>
          <w:b w:val="true"/>
          <w:sz w:val="22"/>
        </w:rPr>
        <w:t>SNFP 与 SF、FNSP 与 FS 在物理本质上完全相同，仅命名方式不同</w:t>
      </w:r>
      <w:r>
        <w:rPr>
          <w:rFonts w:eastAsia="等线" w:ascii="Arial" w:cs="Arial" w:hAnsi="Arial"/>
          <w:sz w:val="22"/>
        </w:rPr>
        <w:t>。SF/FS 是传统的两字母缩写，在数字电路领域使用广泛；SNFP/FNSP 是更严谨的四字母缩写，消除了歧义，在模拟电路领域更受青睐。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在实际设计中，应根据电路类型和设计阶段选择合适的工艺角，并与电压、温度结合形成完整的 PVT 验证条件，确保芯片在各种可能的制造偏差和工作环境下都能正常工作，从而保证量产良率。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需要我整理一份</w:t>
      </w:r>
      <w:r>
        <w:rPr>
          <w:rFonts w:eastAsia="等线" w:ascii="Arial" w:cs="Arial" w:hAnsi="Arial"/>
          <w:b w:val="true"/>
          <w:sz w:val="22"/>
        </w:rPr>
        <w:t>标准 PVT 验证组合清单</w:t>
      </w:r>
      <w:r>
        <w:rPr>
          <w:rFonts w:eastAsia="等线" w:ascii="Arial" w:cs="Arial" w:hAnsi="Arial"/>
          <w:sz w:val="22"/>
        </w:rPr>
        <w:t>，包含数字和模拟电路各阶段必须覆盖的条件吗？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27678">
    <w:lvl>
      <w:numFmt w:val="bullet"/>
      <w:suff w:val="tab"/>
      <w:lvlText w:val="•"/>
      <w:rPr>
        <w:color w:val="3370ff"/>
      </w:rPr>
    </w:lvl>
  </w:abstractNum>
  <w:abstractNum w:abstractNumId="1827679">
    <w:lvl>
      <w:numFmt w:val="bullet"/>
      <w:suff w:val="tab"/>
      <w:lvlText w:val="•"/>
      <w:rPr>
        <w:color w:val="3370ff"/>
      </w:rPr>
    </w:lvl>
  </w:abstractNum>
  <w:abstractNum w:abstractNumId="1827680">
    <w:lvl>
      <w:numFmt w:val="bullet"/>
      <w:suff w:val="tab"/>
      <w:lvlText w:val="•"/>
      <w:rPr>
        <w:color w:val="3370ff"/>
      </w:rPr>
    </w:lvl>
  </w:abstractNum>
  <w:abstractNum w:abstractNumId="1827681">
    <w:lvl>
      <w:start w:val="1"/>
      <w:numFmt w:val="decimal"/>
      <w:suff w:val="tab"/>
      <w:lvlText w:val="%1."/>
      <w:rPr>
        <w:color w:val="3370ff"/>
      </w:rPr>
    </w:lvl>
  </w:abstractNum>
  <w:abstractNum w:abstractNumId="1827682">
    <w:lvl>
      <w:numFmt w:val="bullet"/>
      <w:suff w:val="tab"/>
      <w:lvlText w:val="￮"/>
      <w:rPr>
        <w:color w:val="3370ff"/>
      </w:rPr>
    </w:lvl>
  </w:abstractNum>
  <w:abstractNum w:abstractNumId="1827683">
    <w:lvl>
      <w:numFmt w:val="bullet"/>
      <w:suff w:val="tab"/>
      <w:lvlText w:val="￮"/>
      <w:rPr>
        <w:color w:val="3370ff"/>
      </w:rPr>
    </w:lvl>
  </w:abstractNum>
  <w:abstractNum w:abstractNumId="1827684">
    <w:lvl>
      <w:start w:val="2"/>
      <w:numFmt w:val="decimal"/>
      <w:suff w:val="tab"/>
      <w:lvlText w:val="%1."/>
      <w:rPr>
        <w:color w:val="3370ff"/>
      </w:rPr>
    </w:lvl>
  </w:abstractNum>
  <w:abstractNum w:abstractNumId="1827685">
    <w:lvl>
      <w:numFmt w:val="bullet"/>
      <w:suff w:val="tab"/>
      <w:lvlText w:val="￮"/>
      <w:rPr>
        <w:color w:val="3370ff"/>
      </w:rPr>
    </w:lvl>
  </w:abstractNum>
  <w:abstractNum w:abstractNumId="1827686">
    <w:lvl>
      <w:numFmt w:val="bullet"/>
      <w:suff w:val="tab"/>
      <w:lvlText w:val="￮"/>
      <w:rPr>
        <w:color w:val="3370ff"/>
      </w:rPr>
    </w:lvl>
  </w:abstractNum>
  <w:abstractNum w:abstractNumId="1827687">
    <w:lvl>
      <w:numFmt w:val="bullet"/>
      <w:suff w:val="tab"/>
      <w:lvlText w:val="￮"/>
      <w:rPr>
        <w:color w:val="3370ff"/>
      </w:rPr>
    </w:lvl>
  </w:abstractNum>
  <w:abstractNum w:abstractNumId="1827688">
    <w:lvl>
      <w:start w:val="3"/>
      <w:numFmt w:val="decimal"/>
      <w:suff w:val="tab"/>
      <w:lvlText w:val="%1."/>
      <w:rPr>
        <w:color w:val="3370ff"/>
      </w:rPr>
    </w:lvl>
  </w:abstractNum>
  <w:abstractNum w:abstractNumId="1827689">
    <w:lvl>
      <w:numFmt w:val="bullet"/>
      <w:suff w:val="tab"/>
      <w:lvlText w:val="￮"/>
      <w:rPr>
        <w:color w:val="3370ff"/>
      </w:rPr>
    </w:lvl>
  </w:abstractNum>
  <w:abstractNum w:abstractNumId="1827690">
    <w:lvl>
      <w:numFmt w:val="bullet"/>
      <w:suff w:val="tab"/>
      <w:lvlText w:val="￮"/>
      <w:rPr>
        <w:color w:val="3370ff"/>
      </w:rPr>
    </w:lvl>
  </w:abstractNum>
  <w:abstractNum w:abstractNumId="1827691">
    <w:lvl>
      <w:numFmt w:val="bullet"/>
      <w:suff w:val="tab"/>
      <w:lvlText w:val="•"/>
      <w:rPr>
        <w:color w:val="3370ff"/>
      </w:rPr>
    </w:lvl>
  </w:abstractNum>
  <w:abstractNum w:abstractNumId="1827692">
    <w:lvl>
      <w:numFmt w:val="bullet"/>
      <w:suff w:val="tab"/>
      <w:lvlText w:val="•"/>
      <w:rPr>
        <w:color w:val="3370ff"/>
      </w:rPr>
    </w:lvl>
  </w:abstractNum>
  <w:abstractNum w:abstractNumId="1827693">
    <w:lvl>
      <w:numFmt w:val="bullet"/>
      <w:suff w:val="tab"/>
      <w:lvlText w:val="•"/>
      <w:rPr>
        <w:color w:val="3370ff"/>
      </w:rPr>
    </w:lvl>
  </w:abstractNum>
  <w:abstractNum w:abstractNumId="1827694">
    <w:lvl>
      <w:numFmt w:val="bullet"/>
      <w:suff w:val="tab"/>
      <w:lvlText w:val="•"/>
      <w:rPr>
        <w:color w:val="3370ff"/>
      </w:rPr>
    </w:lvl>
  </w:abstractNum>
  <w:abstractNum w:abstractNumId="1827695">
    <w:lvl>
      <w:numFmt w:val="bullet"/>
      <w:suff w:val="tab"/>
      <w:lvlText w:val="•"/>
      <w:rPr>
        <w:color w:val="3370ff"/>
      </w:rPr>
    </w:lvl>
  </w:abstractNum>
  <w:abstractNum w:abstractNumId="1827696">
    <w:lvl>
      <w:numFmt w:val="bullet"/>
      <w:suff w:val="tab"/>
      <w:lvlText w:val="•"/>
      <w:rPr>
        <w:color w:val="3370ff"/>
      </w:rPr>
    </w:lvl>
  </w:abstractNum>
  <w:abstractNum w:abstractNumId="1827697">
    <w:lvl>
      <w:numFmt w:val="bullet"/>
      <w:suff w:val="tab"/>
      <w:lvlText w:val="•"/>
      <w:rPr>
        <w:color w:val="3370ff"/>
      </w:rPr>
    </w:lvl>
  </w:abstractNum>
  <w:abstractNum w:abstractNumId="1827698">
    <w:lvl>
      <w:start w:val="1"/>
      <w:numFmt w:val="decimal"/>
      <w:suff w:val="tab"/>
      <w:lvlText w:val="%1."/>
      <w:rPr>
        <w:color w:val="3370ff"/>
      </w:rPr>
    </w:lvl>
  </w:abstractNum>
  <w:abstractNum w:abstractNumId="1827699">
    <w:lvl>
      <w:start w:val="2"/>
      <w:numFmt w:val="decimal"/>
      <w:suff w:val="tab"/>
      <w:lvlText w:val="%1."/>
      <w:rPr>
        <w:color w:val="3370ff"/>
      </w:rPr>
    </w:lvl>
  </w:abstractNum>
  <w:abstractNum w:abstractNumId="1827700">
    <w:lvl>
      <w:start w:val="3"/>
      <w:numFmt w:val="decimal"/>
      <w:suff w:val="tab"/>
      <w:lvlText w:val="%1."/>
      <w:rPr>
        <w:color w:val="3370ff"/>
      </w:rPr>
    </w:lvl>
  </w:abstractNum>
  <w:abstractNum w:abstractNumId="1827701">
    <w:lvl>
      <w:start w:val="4"/>
      <w:numFmt w:val="decimal"/>
      <w:suff w:val="tab"/>
      <w:lvlText w:val="%1."/>
      <w:rPr>
        <w:color w:val="3370ff"/>
      </w:rPr>
    </w:lvl>
  </w:abstractNum>
  <w:abstractNum w:abstractNumId="1827702">
    <w:lvl>
      <w:start w:val="5"/>
      <w:numFmt w:val="decimal"/>
      <w:suff w:val="tab"/>
      <w:lvlText w:val="%1."/>
      <w:rPr>
        <w:color w:val="3370ff"/>
      </w:rPr>
    </w:lvl>
  </w:abstractNum>
  <w:abstractNum w:abstractNumId="1827703">
    <w:lvl>
      <w:start w:val="1"/>
      <w:numFmt w:val="decimal"/>
      <w:suff w:val="tab"/>
      <w:lvlText w:val="%1."/>
      <w:rPr>
        <w:color w:val="3370ff"/>
      </w:rPr>
    </w:lvl>
  </w:abstractNum>
  <w:abstractNum w:abstractNumId="1827704">
    <w:lvl>
      <w:start w:val="2"/>
      <w:numFmt w:val="decimal"/>
      <w:suff w:val="tab"/>
      <w:lvlText w:val="%1."/>
      <w:rPr>
        <w:color w:val="3370ff"/>
      </w:rPr>
    </w:lvl>
  </w:abstractNum>
  <w:abstractNum w:abstractNumId="1827705">
    <w:lvl>
      <w:start w:val="3"/>
      <w:numFmt w:val="decimal"/>
      <w:suff w:val="tab"/>
      <w:lvlText w:val="%1."/>
      <w:rPr>
        <w:color w:val="3370ff"/>
      </w:rPr>
    </w:lvl>
  </w:abstractNum>
  <w:abstractNum w:abstractNumId="1827706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827678"/>
  </w:num>
  <w:num w:numId="2">
    <w:abstractNumId w:val="1827679"/>
  </w:num>
  <w:num w:numId="3">
    <w:abstractNumId w:val="1827680"/>
  </w:num>
  <w:num w:numId="4">
    <w:abstractNumId w:val="1827681"/>
  </w:num>
  <w:num w:numId="5">
    <w:abstractNumId w:val="1827682"/>
  </w:num>
  <w:num w:numId="6">
    <w:abstractNumId w:val="1827683"/>
  </w:num>
  <w:num w:numId="7">
    <w:abstractNumId w:val="1827684"/>
  </w:num>
  <w:num w:numId="8">
    <w:abstractNumId w:val="1827685"/>
  </w:num>
  <w:num w:numId="9">
    <w:abstractNumId w:val="1827686"/>
  </w:num>
  <w:num w:numId="10">
    <w:abstractNumId w:val="1827687"/>
  </w:num>
  <w:num w:numId="11">
    <w:abstractNumId w:val="1827688"/>
  </w:num>
  <w:num w:numId="12">
    <w:abstractNumId w:val="1827689"/>
  </w:num>
  <w:num w:numId="13">
    <w:abstractNumId w:val="1827690"/>
  </w:num>
  <w:num w:numId="14">
    <w:abstractNumId w:val="1827691"/>
  </w:num>
  <w:num w:numId="15">
    <w:abstractNumId w:val="1827692"/>
  </w:num>
  <w:num w:numId="16">
    <w:abstractNumId w:val="1827693"/>
  </w:num>
  <w:num w:numId="17">
    <w:abstractNumId w:val="1827694"/>
  </w:num>
  <w:num w:numId="18">
    <w:abstractNumId w:val="1827695"/>
  </w:num>
  <w:num w:numId="19">
    <w:abstractNumId w:val="1827696"/>
  </w:num>
  <w:num w:numId="20">
    <w:abstractNumId w:val="1827697"/>
  </w:num>
  <w:num w:numId="21">
    <w:abstractNumId w:val="1827698"/>
  </w:num>
  <w:num w:numId="22">
    <w:abstractNumId w:val="1827699"/>
  </w:num>
  <w:num w:numId="23">
    <w:abstractNumId w:val="1827700"/>
  </w:num>
  <w:num w:numId="24">
    <w:abstractNumId w:val="1827701"/>
  </w:num>
  <w:num w:numId="25">
    <w:abstractNumId w:val="1827702"/>
  </w:num>
  <w:num w:numId="26">
    <w:abstractNumId w:val="1827703"/>
  </w:num>
  <w:num w:numId="27">
    <w:abstractNumId w:val="1827704"/>
  </w:num>
  <w:num w:numId="28">
    <w:abstractNumId w:val="1827705"/>
  </w:num>
  <w:num w:numId="29">
    <w:abstractNumId w:val="18277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2026-05-23T00:46:53Z</dcterms:created>
  <dc:creator>Apache POI</dc:creator>
</cp:coreProperties>
</file>