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57492">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286D291E">
      <w:pPr>
        <w:keepNext w:val="0"/>
        <w:keepLines w:val="0"/>
        <w:pageBreakBefore w:val="0"/>
        <w:widowControl w:val="0"/>
        <w:kinsoku/>
        <w:wordWrap/>
        <w:overflowPunct/>
        <w:topLinePunct w:val="0"/>
        <w:autoSpaceDE/>
        <w:autoSpaceDN/>
        <w:bidi w:val="0"/>
        <w:adjustRightInd/>
        <w:snapToGrid/>
        <w:ind w:firstLine="420" w:firstLineChars="200"/>
        <w:textAlignment w:val="auto"/>
      </w:pPr>
      <w:r>
        <w:t>共病被定义为一组疾病与特定疾病之间的关联，</w:t>
      </w:r>
      <w:r>
        <w:rPr>
          <w:rFonts w:hint="default"/>
        </w:rPr>
        <w:t>这些疾病可能没有直接的因果关系，而是同时存在</w:t>
      </w:r>
      <w:r>
        <w:rPr>
          <w:rFonts w:hint="eastAsia"/>
          <w:lang w:eastAsia="zh-CN"/>
        </w:rPr>
        <w:t>。即使IBD处于缓解期，这些疾病仍可持续存在或进展，通常需要分别针对每种疾病进行独立治疗。</w:t>
      </w:r>
      <w:r>
        <w:t>共病的存在会使得机体或器官功能下降、疾病结局复杂化。</w:t>
      </w:r>
    </w:p>
    <w:p w14:paraId="27904CAD">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44CA36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CC467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AFABAB" w:themeColor="background2" w:themeShade="BF"/>
          <w:lang w:val="en-US" w:eastAsia="zh-CN"/>
        </w:rPr>
      </w:pPr>
      <w:r>
        <w:rPr>
          <w:rFonts w:hint="eastAsia"/>
          <w:color w:val="AFABAB" w:themeColor="background2" w:themeShade="BF"/>
          <w:lang w:val="en-US" w:eastAsia="zh-CN"/>
        </w:rPr>
        <w:fldChar w:fldCharType="begin"/>
      </w:r>
      <w:r>
        <w:rPr>
          <w:rFonts w:hint="eastAsia"/>
          <w:color w:val="AFABAB" w:themeColor="background2" w:themeShade="BF"/>
          <w:lang w:val="en-US" w:eastAsia="zh-CN"/>
        </w:rPr>
        <w:instrText xml:space="preserve"> HYPERLINK "https://mip.mfk.com/jibing/2367.shtml" \o "炎症性肠病" </w:instrText>
      </w:r>
      <w:r>
        <w:rPr>
          <w:rFonts w:hint="eastAsia"/>
          <w:color w:val="AFABAB" w:themeColor="background2" w:themeShade="BF"/>
          <w:lang w:val="en-US" w:eastAsia="zh-CN"/>
        </w:rPr>
        <w:fldChar w:fldCharType="separate"/>
      </w:r>
      <w:r>
        <w:rPr>
          <w:rFonts w:hint="eastAsia"/>
          <w:color w:val="AFABAB" w:themeColor="background2" w:themeShade="BF"/>
          <w:lang w:val="en-US" w:eastAsia="zh-CN"/>
        </w:rPr>
        <w:t>炎症性肠病</w:t>
      </w:r>
      <w:r>
        <w:rPr>
          <w:rFonts w:hint="eastAsia"/>
          <w:color w:val="AFABAB" w:themeColor="background2" w:themeShade="BF"/>
          <w:lang w:val="en-US" w:eastAsia="zh-CN"/>
        </w:rPr>
        <w:fldChar w:fldCharType="end"/>
      </w:r>
      <w:r>
        <w:rPr>
          <w:rFonts w:hint="eastAsia"/>
          <w:color w:val="AFABAB" w:themeColor="background2" w:themeShade="BF"/>
          <w:lang w:val="en-US" w:eastAsia="zh-CN"/>
        </w:rPr>
        <w:t>可引发多种肠外表现，包括皮肤方面的结节性红斑和坏疽性脓皮病，眼部的葡萄膜炎和巩膜炎，关节的外周关节炎和脊柱炎，肝胆的原发性硬化性胆管炎和脂肪肝，口腔的口腔溃疡和牙龈炎</w:t>
      </w:r>
    </w:p>
    <w:p w14:paraId="45D478EF">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p>
    <w:p w14:paraId="43FD6543">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r>
        <w:rPr>
          <w:color w:val="AFABAB" w:themeColor="background2" w:themeShade="BF"/>
        </w:rPr>
        <w:t>脊柱炎：主要累及脊柱，可出现下背部疼痛、僵硬，晨僵明显，严重时可导致脊柱畸形。与遗传因素和免疫异常有关，HLAB27阳性的炎症性肠病患者更易发生。男性发病率略高于女性</w:t>
      </w:r>
    </w:p>
    <w:p w14:paraId="2B1E055B">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p>
    <w:p w14:paraId="4570E67B">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r>
        <w:rPr>
          <w:color w:val="AFABAB" w:themeColor="background2" w:themeShade="BF"/>
        </w:rPr>
        <w:t>原发性硬化性胆管炎：胆管壁增厚、纤维化，导致胆汁排泄受阻。患者可出现黄疸、右上腹疼痛、乏力等症状。发病机制与自身免疫反应有关，胆管上皮细胞受免疫系统攻击。</w:t>
      </w:r>
    </w:p>
    <w:p w14:paraId="7E48D394">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p>
    <w:p w14:paraId="0689B991">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AFABAB" w:themeColor="background2" w:themeShade="BF"/>
        </w:rPr>
      </w:pPr>
      <w:r>
        <w:rPr>
          <w:color w:val="AFABAB" w:themeColor="background2" w:themeShade="BF"/>
        </w:rPr>
        <w:t>结节性红斑：多发生于下肢伸侧，表现为红色或紫红色疼痛性炎性结节。其发病可能与免疫复合物沉积有关，炎症性肠病患者免疫系统紊乱，易出现这种皮肤表现。不同年龄和性别均可发生，但女性可能相对多见。</w:t>
      </w:r>
    </w:p>
    <w:p w14:paraId="2CEB37EA">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702AE107">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3AA19683">
      <w:pPr>
        <w:keepNext w:val="0"/>
        <w:keepLines w:val="0"/>
        <w:pageBreakBefore w:val="0"/>
        <w:widowControl w:val="0"/>
        <w:kinsoku/>
        <w:wordWrap/>
        <w:overflowPunct/>
        <w:topLinePunct w:val="0"/>
        <w:autoSpaceDE/>
        <w:autoSpaceDN/>
        <w:bidi w:val="0"/>
        <w:adjustRightInd/>
        <w:snapToGrid/>
        <w:ind w:firstLine="482" w:firstLineChars="200"/>
        <w:textAlignment w:val="auto"/>
        <w:rPr>
          <w:b/>
          <w:bCs/>
          <w:color w:val="0000FF"/>
          <w:sz w:val="24"/>
          <w:szCs w:val="32"/>
        </w:rPr>
      </w:pPr>
      <w:r>
        <w:rPr>
          <w:b/>
          <w:bCs/>
          <w:color w:val="0000FF"/>
          <w:sz w:val="24"/>
          <w:szCs w:val="32"/>
          <w:lang w:val="en-US" w:eastAsia="zh-CN"/>
        </w:rPr>
        <w:t>IBD与银屑病</w:t>
      </w:r>
    </w:p>
    <w:p w14:paraId="793F5E38">
      <w:pPr>
        <w:keepNext w:val="0"/>
        <w:keepLines w:val="0"/>
        <w:pageBreakBefore w:val="0"/>
        <w:widowControl w:val="0"/>
        <w:kinsoku/>
        <w:wordWrap/>
        <w:overflowPunct/>
        <w:topLinePunct w:val="0"/>
        <w:autoSpaceDE/>
        <w:autoSpaceDN/>
        <w:bidi w:val="0"/>
        <w:adjustRightInd/>
        <w:snapToGrid/>
        <w:ind w:firstLine="420" w:firstLineChars="200"/>
        <w:textAlignment w:val="auto"/>
        <w:rPr>
          <w:lang w:val="en-US" w:eastAsia="zh-CN"/>
        </w:rPr>
      </w:pPr>
      <w:r>
        <w:rPr>
          <w:lang w:val="en-US" w:eastAsia="zh-CN"/>
        </w:rPr>
        <w:t>银屑病俗称“牛皮癣”，</w:t>
      </w:r>
      <w:r>
        <w:rPr>
          <w:rFonts w:hint="eastAsia"/>
          <w:lang w:val="en-US" w:eastAsia="zh-CN"/>
        </w:rPr>
        <w:t>是一种慢性炎症性皮肤病，</w:t>
      </w:r>
      <w:r>
        <w:rPr>
          <w:lang w:val="en-US" w:eastAsia="zh-CN"/>
        </w:rPr>
        <w:t>常表现为头、四肢、躯干的红斑、银屑，还可以出现其他脏器受累，如葡萄膜炎、关节附着点炎和滑膜炎，严重者影响关节的功能，甚至导致畸形。</w:t>
      </w:r>
    </w:p>
    <w:p w14:paraId="7BF9D16A">
      <w:pPr>
        <w:keepNext w:val="0"/>
        <w:keepLines w:val="0"/>
        <w:pageBreakBefore w:val="0"/>
        <w:widowControl w:val="0"/>
        <w:kinsoku/>
        <w:wordWrap/>
        <w:overflowPunct/>
        <w:topLinePunct w:val="0"/>
        <w:autoSpaceDE/>
        <w:autoSpaceDN/>
        <w:bidi w:val="0"/>
        <w:adjustRightInd/>
        <w:snapToGrid/>
        <w:ind w:firstLine="420" w:firstLineChars="200"/>
        <w:textAlignment w:val="auto"/>
        <w:rPr>
          <w:lang w:val="en-US" w:eastAsia="zh-CN"/>
        </w:rPr>
      </w:pPr>
      <w:bookmarkStart w:id="0" w:name="_GoBack"/>
      <w:bookmarkEnd w:id="0"/>
    </w:p>
    <w:p w14:paraId="356B5B6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lang w:val="en-US" w:eastAsia="zh-CN"/>
        </w:rPr>
      </w:pPr>
      <w:r>
        <w:rPr>
          <w:rFonts w:hint="eastAsia"/>
          <w:b/>
          <w:bCs/>
          <w:lang w:val="en-US" w:eastAsia="zh-CN"/>
        </w:rPr>
        <w:t>流行病学</w:t>
      </w:r>
    </w:p>
    <w:p w14:paraId="4071F5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 基于对 93 项研究的定量分析，克罗恩病（CD）和溃疡性结肠炎（UC）中的银屑病患病率分别为 3.6%和 2.8%。银屑病患者中 CD 和 UC 的患病率分别为 0.7%和 0.5%。</w:t>
      </w:r>
      <w:r>
        <w:rPr>
          <w:rFonts w:hint="eastAsia"/>
          <w:lang w:val="en-US" w:eastAsia="zh-CN"/>
        </w:rPr>
        <w:t>IBD</w:t>
      </w:r>
      <w:r>
        <w:rPr>
          <w:rFonts w:hint="default"/>
          <w:lang w:val="en-US" w:eastAsia="zh-CN"/>
        </w:rPr>
        <w:t xml:space="preserve"> 的存在与</w:t>
      </w:r>
      <w:r>
        <w:rPr>
          <w:rFonts w:hint="eastAsia"/>
          <w:lang w:val="en-US" w:eastAsia="zh-CN"/>
        </w:rPr>
        <w:t>患</w:t>
      </w:r>
      <w:r>
        <w:rPr>
          <w:rFonts w:hint="default"/>
          <w:lang w:val="en-US" w:eastAsia="zh-CN"/>
        </w:rPr>
        <w:t>银屑病</w:t>
      </w:r>
      <w:r>
        <w:rPr>
          <w:rFonts w:hint="eastAsia"/>
          <w:lang w:val="en-US" w:eastAsia="zh-CN"/>
        </w:rPr>
        <w:t>的风险</w:t>
      </w:r>
      <w:r>
        <w:rPr>
          <w:rFonts w:hint="default"/>
          <w:lang w:val="en-US" w:eastAsia="zh-CN"/>
        </w:rPr>
        <w:t>显著相关，其比值比（OR）分别为 2.0[95% CI 1.4-2.9]和 1.5[95% CI 1.2-2.0]。银屑病的存在</w:t>
      </w:r>
      <w:r>
        <w:rPr>
          <w:rFonts w:hint="eastAsia"/>
          <w:lang w:val="en-US" w:eastAsia="zh-CN"/>
        </w:rPr>
        <w:t>也</w:t>
      </w:r>
      <w:r>
        <w:rPr>
          <w:rFonts w:hint="default"/>
          <w:lang w:val="en-US" w:eastAsia="zh-CN"/>
        </w:rPr>
        <w:t xml:space="preserve">与 CD </w:t>
      </w:r>
      <w:r>
        <w:rPr>
          <w:rFonts w:hint="eastAsia"/>
          <w:lang w:val="en-US" w:eastAsia="zh-CN"/>
        </w:rPr>
        <w:t>和UC的风险</w:t>
      </w:r>
      <w:r>
        <w:rPr>
          <w:rFonts w:hint="default"/>
          <w:lang w:val="en-US" w:eastAsia="zh-CN"/>
        </w:rPr>
        <w:t>显著相关：比值比分别 2.2与1.6</w:t>
      </w:r>
      <w:r>
        <w:rPr>
          <w:rFonts w:hint="eastAsia"/>
          <w:lang w:val="en-US" w:eastAsia="zh-CN"/>
        </w:rPr>
        <w:t>。可以看出克罗恩病患者患银屑病的风险会比UC更高一些。</w:t>
      </w:r>
    </w:p>
    <w:p w14:paraId="4D28E7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孟德尔随机化分析发现，银屑病和银屑病关节炎因果性增加患CD的几率。反向分析表明克罗恩病因果性增加了银屑病和银屑病关节炎的几率。这种关联具有剂量反应关系，严重银屑病患者的IBD风险更高。</w:t>
      </w:r>
    </w:p>
    <w:p w14:paraId="0BB46DCE">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机制</w:t>
      </w:r>
    </w:p>
    <w:p w14:paraId="246956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eastAsia"/>
          <w:b w:val="0"/>
          <w:bCs w:val="0"/>
          <w:lang w:val="en-US" w:eastAsia="zh-CN"/>
        </w:rPr>
        <w:t>IBD与银屑病共病的机制包括免疫、遗传、微生物多个方面</w:t>
      </w:r>
    </w:p>
    <w:p w14:paraId="3D2ED25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·免疫炎症通路</w:t>
      </w:r>
    </w:p>
    <w:p w14:paraId="20BCB1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IBD 和银屑病患者都存在着屏障功能受损。IBD中上皮细胞凋亡率增加 以及银屑病中的角化不全 与细胞间连接结构复杂性的降低 相伴随。因此，抗原和病原体的跨膜通透性增加，导致其与模式识别受体（PRRs）结合并激活免疫系统。产生的细胞因子IL-23，促进辅助性 T 细胞-17的形成。</w:t>
      </w:r>
    </w:p>
    <w:p w14:paraId="53EC89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Th17细胞及其效应细胞因子IL-17在两种疾病的发病中起重要作用。在银屑病中，IL-17会刺激角质形成细胞过度增殖和产生炎症因子；在IBD中，IL-17同样参与肠道黏膜的炎症反应和组织损伤。值得注意的是，IL-17在肠道炎症中的作用比在皮肤中更为复杂，不单纯是损害作用。有研究表明，抑制IL-17功能在某些情况下可能反而会加重结肠炎，提示IL-17在肠道炎症中可能也扮演着一定的保护性角色，或在炎症消退后参与黏膜修复。这也可以解释为何临床上使用IL-17抑制剂（如司库奇尤单抗）治疗银屑病时，有时会诱发或加重IBD症状【Psoriasis and inflammatory bowel disease: links and risks】</w:t>
      </w:r>
    </w:p>
    <w:p w14:paraId="48D31A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drawing>
          <wp:inline distT="0" distB="0" distL="114300" distR="114300">
            <wp:extent cx="5252085" cy="2352040"/>
            <wp:effectExtent l="0" t="0" r="635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
                    <a:stretch>
                      <a:fillRect/>
                    </a:stretch>
                  </pic:blipFill>
                  <pic:spPr>
                    <a:xfrm>
                      <a:off x="0" y="0"/>
                      <a:ext cx="5252085" cy="2352040"/>
                    </a:xfrm>
                    <a:prstGeom prst="rect">
                      <a:avLst/>
                    </a:prstGeom>
                    <a:noFill/>
                    <a:ln>
                      <a:noFill/>
                    </a:ln>
                  </pic:spPr>
                </pic:pic>
              </a:graphicData>
            </a:graphic>
          </wp:inline>
        </w:drawing>
      </w:r>
    </w:p>
    <w:p w14:paraId="33B66C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18C9DD4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·基因</w:t>
      </w:r>
    </w:p>
    <w:p w14:paraId="77AC53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IBD和银屑病共享多个遗传风险基因位点，其中最重要的包括染色体6p21区域，该区域包含主要组织相容性复合体（MHC）相关基因，对应于银屑病的PSORS1和IBD的IBD3</w:t>
      </w:r>
      <w:r>
        <w:rPr>
          <w:rFonts w:hint="eastAsia"/>
          <w:b w:val="0"/>
          <w:bCs w:val="0"/>
          <w:lang w:val="en-US" w:eastAsia="zh-CN"/>
        </w:rPr>
        <w:t>。全基因组关联研究发现多个与这两种疾病有明确关联的基因，并确认了四个已经建立的PS和CD风险位点</w:t>
      </w:r>
      <w:r>
        <w:rPr>
          <w:rFonts w:hint="eastAsia"/>
          <w:b w:val="0"/>
          <w:bCs w:val="0"/>
          <w:color w:val="767171" w:themeColor="background2" w:themeShade="80"/>
          <w:lang w:val="en-US" w:eastAsia="zh-CN"/>
        </w:rPr>
        <w:t>（IL23R、IL12B、REL和TYK2）</w:t>
      </w:r>
    </w:p>
    <w:p w14:paraId="189265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2AF0A196">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·微生物</w:t>
      </w:r>
    </w:p>
    <w:p w14:paraId="1049E5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皮肤和肠道是人类原核生物和真核生物共生微生物群落的两个主要生态位。</w:t>
      </w:r>
    </w:p>
    <w:p w14:paraId="093A6C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 IBD 患者的特征是厌氧细菌减少。</w:t>
      </w:r>
      <w:r>
        <w:rPr>
          <w:rFonts w:hint="eastAsia"/>
          <w:lang w:val="en-US" w:eastAsia="zh-CN"/>
        </w:rPr>
        <w:t>其中</w:t>
      </w:r>
      <w:r>
        <w:rPr>
          <w:rFonts w:hint="default"/>
          <w:lang w:val="en-US" w:eastAsia="zh-CN"/>
        </w:rPr>
        <w:t>，CD患者表现为厚壁菌门和 </w:t>
      </w:r>
      <w:r>
        <w:rPr>
          <w:rFonts w:hint="eastAsia"/>
          <w:lang w:val="en-US" w:eastAsia="zh-CN"/>
        </w:rPr>
        <w:t>梭菌</w:t>
      </w:r>
      <w:r>
        <w:rPr>
          <w:rFonts w:hint="default"/>
          <w:lang w:val="en-US" w:eastAsia="zh-CN"/>
        </w:rPr>
        <w:t>种群减少，同时蛋白质原门种群增加</w:t>
      </w:r>
      <w:r>
        <w:rPr>
          <w:rFonts w:hint="eastAsia"/>
          <w:lang w:val="en-US" w:eastAsia="zh-CN"/>
        </w:rPr>
        <w:t>。</w:t>
      </w:r>
    </w:p>
    <w:p w14:paraId="3B7282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厚壁菌门成员能够产生具有抗炎作用的短链脂肪酸代谢产物，短链脂肪酸通常在支持肠干细胞功能、上皮屏障完整性和减轻炎症方面发挥关键作用。IBD患者菌群失调会减少短链脂肪酸的产生，从而加剧皮肤疾病。</w:t>
      </w:r>
    </w:p>
    <w:p w14:paraId="0A1785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61BD9E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治疗</w:t>
      </w:r>
    </w:p>
    <w:p w14:paraId="505FE0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治疗银屑病和</w:t>
      </w:r>
      <w:r>
        <w:rPr>
          <w:rFonts w:hint="eastAsia"/>
          <w:lang w:val="en-US" w:eastAsia="zh-CN"/>
        </w:rPr>
        <w:t>I</w:t>
      </w:r>
      <w:r>
        <w:rPr>
          <w:rFonts w:hint="default"/>
          <w:lang w:val="en-US" w:eastAsia="zh-CN"/>
        </w:rPr>
        <w:t>BD所批准使用疗法</w:t>
      </w:r>
      <w:r>
        <w:rPr>
          <w:rFonts w:hint="eastAsia"/>
          <w:lang w:val="en-US" w:eastAsia="zh-CN"/>
        </w:rPr>
        <w:t>相似</w:t>
      </w:r>
      <w:r>
        <w:rPr>
          <w:rFonts w:hint="default"/>
          <w:lang w:val="en-US" w:eastAsia="zh-CN"/>
        </w:rPr>
        <w:t>，尤其是新型生物制剂，突显了这些疾病发病机制背后的病理生理机制的相似性。</w:t>
      </w:r>
      <w:r>
        <w:rPr>
          <w:rFonts w:hint="eastAsia"/>
          <w:lang w:val="en-US" w:eastAsia="zh-CN"/>
        </w:rPr>
        <w:t>比如英夫利西单抗、阿达木单抗、甲氨蝶呤都同时被批准用于两种疾病。</w:t>
      </w:r>
    </w:p>
    <w:p w14:paraId="60E4F0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但也有特殊情况，对一种病有效的药物可能会引起另一种病恶化。</w:t>
      </w:r>
    </w:p>
    <w:p w14:paraId="3A6C8F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批准用于治疗银屑病的依那西普对 IBD 无效。</w:t>
      </w:r>
    </w:p>
    <w:p w14:paraId="5CBC02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在IBD中使用抗 TNF-α疗法与银屑病的新发病例有关。某些用于治疗IBD的生物制剂（特别是抗TNF-α制剂和乌司奴单抗），在少数情况下可能</w:t>
      </w:r>
      <w:r>
        <w:rPr>
          <w:rFonts w:hint="default"/>
          <w:lang w:val="en-US" w:eastAsia="zh-CN"/>
        </w:rPr>
        <w:t>诱发或加重银屑病皮损，这被称为“反常反应”。其机制尚不完全明确，可能与细胞因子失衡有关。一篇范围综述发现文献中报道了10例由乌司奴单抗诱导的新发或加重银屑病病例，以及1例由Risankizumab诱导的病例。若发生这种情况，并非必须停药，有时可在皮肤科医生指导下局部用药或换用其他生物制剂（如Risankizumab可能对乌司奴单抗诱导的银屑病有积极治疗作用）</w:t>
      </w:r>
    </w:p>
    <w:p w14:paraId="7EA1A6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反之亦然，正如前面提到的，对银屑病有效的IL-17抑制剂会诱导或加重 IBD 。</w:t>
      </w:r>
    </w:p>
    <w:p w14:paraId="21FE09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194962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1489A2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4FF0E25">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color w:val="00B0F0"/>
          <w:sz w:val="28"/>
          <w:szCs w:val="36"/>
          <w:lang w:val="en-US" w:eastAsia="zh-CN"/>
        </w:rPr>
      </w:pPr>
      <w:r>
        <w:rPr>
          <w:rFonts w:hint="eastAsia"/>
          <w:b/>
          <w:bCs/>
          <w:color w:val="00B0F0"/>
          <w:sz w:val="28"/>
          <w:szCs w:val="36"/>
          <w:lang w:val="en-US" w:eastAsia="zh-CN"/>
        </w:rPr>
        <w:t>IBD与脊柱关节病（SpA）</w:t>
      </w:r>
    </w:p>
    <w:p w14:paraId="3BB6CC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t>IBD患者另一常见肠外表现是脊柱关节病，包括有强直性脊柱炎、银屑病性关节炎、肠病性关节炎、反应性关节炎等，</w:t>
      </w:r>
      <w:r>
        <w:rPr>
          <w:rFonts w:hint="eastAsia"/>
          <w:lang w:val="en-US" w:eastAsia="zh-CN"/>
        </w:rPr>
        <w:t>主要表现包括</w:t>
      </w:r>
      <w:r>
        <w:rPr>
          <w:rFonts w:hint="eastAsia"/>
        </w:rPr>
        <w:t>轴性症状</w:t>
      </w:r>
      <w:r>
        <w:rPr>
          <w:rFonts w:hint="eastAsia"/>
          <w:lang w:val="en-US" w:eastAsia="zh-CN"/>
        </w:rPr>
        <w:t>和外周症状，</w:t>
      </w:r>
      <w:r>
        <w:rPr>
          <w:rFonts w:hint="eastAsia"/>
        </w:rPr>
        <w:t>：</w:t>
      </w:r>
    </w:p>
    <w:p w14:paraId="1C1443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轴性症状</w:t>
      </w:r>
    </w:p>
    <w:p w14:paraId="6CCFCD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炎性腰背痛：夜间痛、晨僵超过30分钟</w:t>
      </w:r>
    </w:p>
    <w:p w14:paraId="7CC885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骶髂关节炎：臀部疼痛，可放射至大腿</w:t>
      </w:r>
    </w:p>
    <w:p w14:paraId="2C6540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脊柱活动受限，严重时导致脊柱畸形</w:t>
      </w:r>
    </w:p>
    <w:p w14:paraId="78E5D7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26CD3C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外周症状：</w:t>
      </w:r>
    </w:p>
    <w:p w14:paraId="341551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外周关节炎：非对称性，主要累及下肢大关节</w:t>
      </w:r>
    </w:p>
    <w:p w14:paraId="31E236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肌腱端炎：跟腱、足底筋膜等部位疼痛</w:t>
      </w:r>
    </w:p>
    <w:p w14:paraId="02E8FC64">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177EA758">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241ECEA1">
      <w:pPr>
        <w:keepNext w:val="0"/>
        <w:keepLines w:val="0"/>
        <w:pageBreakBefore w:val="0"/>
        <w:widowControl w:val="0"/>
        <w:kinsoku/>
        <w:wordWrap/>
        <w:overflowPunct/>
        <w:topLinePunct w:val="0"/>
        <w:autoSpaceDE/>
        <w:autoSpaceDN/>
        <w:bidi w:val="0"/>
        <w:adjustRightInd/>
        <w:snapToGrid/>
        <w:ind w:firstLine="422" w:firstLineChars="200"/>
        <w:textAlignment w:val="auto"/>
        <w:rPr>
          <w:b/>
          <w:bCs/>
        </w:rPr>
      </w:pPr>
      <w:r>
        <w:rPr>
          <w:rFonts w:hint="eastAsia"/>
          <w:b/>
          <w:bCs/>
          <w:lang w:val="en-US" w:eastAsia="zh-CN"/>
        </w:rPr>
        <w:t>流行病学</w:t>
      </w:r>
    </w:p>
    <w:p w14:paraId="16A97C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t>大约</w:t>
      </w:r>
      <w:r>
        <w:rPr>
          <w:rFonts w:hint="default"/>
        </w:rPr>
        <w:t>10%-20%</w:t>
      </w:r>
      <w:r>
        <w:t>的IBD患者会出现脊柱关节病，</w:t>
      </w:r>
      <w:r>
        <w:rPr>
          <w:rFonts w:hint="eastAsia"/>
          <w:lang w:val="en-US" w:eastAsia="zh-CN"/>
        </w:rPr>
        <w:t>其中女性发病率略高于男性，</w:t>
      </w:r>
      <w:r>
        <w:rPr>
          <w:rFonts w:hint="default"/>
        </w:rPr>
        <w:t>以周围关节炎最为常见，患病率估计为13%</w:t>
      </w:r>
      <w:r>
        <w:rPr>
          <w:rFonts w:hint="eastAsia"/>
          <w:lang w:eastAsia="zh-CN"/>
        </w:rPr>
        <w:t>。强直性脊柱炎的患病率为3%，而骶髂关节炎的患病率为10%。</w:t>
      </w:r>
      <w:r>
        <w:rPr>
          <w:rFonts w:hint="eastAsia"/>
          <w:lang w:val="en-US" w:eastAsia="zh-CN"/>
        </w:rPr>
        <w:t>其中，CD-SpA共病患者HLA-B27阳性率更高，CD-SpA共病患者中银屑病、结膜炎、全结肠炎则更常见。</w:t>
      </w:r>
    </w:p>
    <w:p w14:paraId="6D6503F7">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eastAsia="zh-CN"/>
        </w:rPr>
        <w:t>关于IBD活动与SpA之间的关联，分为两种亚型：I 型是一种少关节表现，受累关节少于 5 个，主要是大关节如膝关节或踝关节。病程为急性，通常不对称且游走性。通常与IBD活动相关，为自限性。II 型关节炎影响小关节（最常见于近端指间关节），表现为 5 个或更多关节受累，且通常与肠道疾病活动无关，可持续数年。</w:t>
      </w:r>
    </w:p>
    <w:p w14:paraId="00EDAB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瑞典一项全国性注册队列研究（n=39,203）显示，与普通人群相比，IBD患者在诊断时已存在SpA的可能性更高，诊断后发生SpA的风险更是普通人群的7.15倍。研究还发现，SpA的共病风险在克罗恩病（CD）患者中比溃疡性结肠炎（UC）患者更显著。此外，儿童期发病的IBD患者风险尤为突出（HR=15.03）</w:t>
      </w:r>
    </w:p>
    <w:p w14:paraId="7BEC4B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0752B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467639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机制</w:t>
      </w:r>
    </w:p>
    <w:p w14:paraId="3B50F25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p>
    <w:p w14:paraId="1B03B0BC">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p>
    <w:p w14:paraId="35EFE5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eastAsia"/>
          <w:b w:val="0"/>
          <w:bCs w:val="0"/>
          <w:lang w:val="en-US" w:eastAsia="zh-CN"/>
        </w:rPr>
        <w:t>SpA和IBD都与</w:t>
      </w:r>
      <w:r>
        <w:rPr>
          <w:rFonts w:hint="eastAsia"/>
          <w:b w:val="0"/>
          <w:bCs w:val="0"/>
          <w:lang w:val="en-US" w:eastAsia="zh-CN"/>
        </w:rPr>
        <w:fldChar w:fldCharType="begin"/>
      </w:r>
      <w:r>
        <w:rPr>
          <w:rFonts w:hint="eastAsia"/>
          <w:b w:val="0"/>
          <w:bCs w:val="0"/>
          <w:lang w:val="en-US" w:eastAsia="zh-CN"/>
        </w:rPr>
        <w:instrText xml:space="preserve"> HYPERLINK "https://www.sciencedirect.com/topics/medicine-and-dentistry/gut-microbiota" \o "Learn more about gut microbiota from ScienceDirect's AI-generated Topic Pages" </w:instrText>
      </w:r>
      <w:r>
        <w:rPr>
          <w:rFonts w:hint="eastAsia"/>
          <w:b w:val="0"/>
          <w:bCs w:val="0"/>
          <w:lang w:val="en-US" w:eastAsia="zh-CN"/>
        </w:rPr>
        <w:fldChar w:fldCharType="separate"/>
      </w:r>
      <w:r>
        <w:rPr>
          <w:rFonts w:hint="eastAsia"/>
          <w:b w:val="0"/>
          <w:bCs w:val="0"/>
          <w:lang w:val="en-US" w:eastAsia="zh-CN"/>
        </w:rPr>
        <w:t>肠道微生物群</w:t>
      </w:r>
      <w:r>
        <w:rPr>
          <w:rFonts w:hint="eastAsia"/>
          <w:b w:val="0"/>
          <w:bCs w:val="0"/>
          <w:lang w:val="en-US" w:eastAsia="zh-CN"/>
        </w:rPr>
        <w:fldChar w:fldCharType="end"/>
      </w:r>
      <w:r>
        <w:rPr>
          <w:rFonts w:hint="eastAsia"/>
          <w:b w:val="0"/>
          <w:bCs w:val="0"/>
          <w:lang w:val="en-US" w:eastAsia="zh-CN"/>
        </w:rPr>
        <w:t>多样性减少有关。</w:t>
      </w:r>
      <w:r>
        <w:rPr>
          <w:rFonts w:hint="eastAsia"/>
          <w:b w:val="0"/>
          <w:bCs w:val="0"/>
          <w:lang w:val="en-US" w:eastAsia="zh-CN"/>
        </w:rPr>
        <w:fldChar w:fldCharType="begin"/>
      </w:r>
      <w:r>
        <w:rPr>
          <w:rFonts w:hint="eastAsia"/>
          <w:b w:val="0"/>
          <w:bCs w:val="0"/>
          <w:lang w:val="en-US" w:eastAsia="zh-CN"/>
        </w:rPr>
        <w:instrText xml:space="preserve"> HYPERLINK "https://www.sciencedirect.com/topics/medicine-and-dentistry/intestinal-permeability" \o "Learn more about intestinal permeability from ScienceDirect's AI-generated Topic Pages" </w:instrText>
      </w:r>
      <w:r>
        <w:rPr>
          <w:rFonts w:hint="eastAsia"/>
          <w:b w:val="0"/>
          <w:bCs w:val="0"/>
          <w:lang w:val="en-US" w:eastAsia="zh-CN"/>
        </w:rPr>
        <w:fldChar w:fldCharType="separate"/>
      </w:r>
      <w:r>
        <w:rPr>
          <w:rFonts w:hint="eastAsia"/>
          <w:b w:val="0"/>
          <w:bCs w:val="0"/>
          <w:lang w:val="en-US" w:eastAsia="zh-CN"/>
        </w:rPr>
        <w:t>肠道微生物多样性的</w:t>
      </w:r>
      <w:r>
        <w:rPr>
          <w:rFonts w:hint="eastAsia"/>
          <w:b w:val="0"/>
          <w:bCs w:val="0"/>
          <w:lang w:val="en-US" w:eastAsia="zh-CN"/>
        </w:rPr>
        <w:fldChar w:fldCharType="end"/>
      </w:r>
      <w:r>
        <w:rPr>
          <w:rFonts w:hint="eastAsia"/>
          <w:b w:val="0"/>
          <w:bCs w:val="0"/>
          <w:lang w:val="en-US" w:eastAsia="zh-CN"/>
        </w:rPr>
        <w:t>减少，导致肠道通透性增加，使病原微生物抗原能够刺激粘膜</w:t>
      </w:r>
      <w:r>
        <w:rPr>
          <w:rFonts w:hint="eastAsia"/>
          <w:b w:val="0"/>
          <w:bCs w:val="0"/>
          <w:lang w:val="en-US" w:eastAsia="zh-CN"/>
        </w:rPr>
        <w:fldChar w:fldCharType="begin"/>
      </w:r>
      <w:r>
        <w:rPr>
          <w:rFonts w:hint="eastAsia"/>
          <w:b w:val="0"/>
          <w:bCs w:val="0"/>
          <w:lang w:val="en-US" w:eastAsia="zh-CN"/>
        </w:rPr>
        <w:instrText xml:space="preserve"> HYPERLINK "https://www.sciencedirect.com/topics/medicine-and-dentistry/immunocompetent-cell" \o "Learn more about immune cells from ScienceDirect's AI-generated Topic Pages" </w:instrText>
      </w:r>
      <w:r>
        <w:rPr>
          <w:rFonts w:hint="eastAsia"/>
          <w:b w:val="0"/>
          <w:bCs w:val="0"/>
          <w:lang w:val="en-US" w:eastAsia="zh-CN"/>
        </w:rPr>
        <w:fldChar w:fldCharType="separate"/>
      </w:r>
      <w:r>
        <w:rPr>
          <w:rFonts w:hint="eastAsia"/>
          <w:b w:val="0"/>
          <w:bCs w:val="0"/>
          <w:lang w:val="en-US" w:eastAsia="zh-CN"/>
        </w:rPr>
        <w:t>免疫细胞</w:t>
      </w:r>
      <w:r>
        <w:rPr>
          <w:rFonts w:hint="eastAsia"/>
          <w:b w:val="0"/>
          <w:bCs w:val="0"/>
          <w:lang w:val="en-US" w:eastAsia="zh-CN"/>
        </w:rPr>
        <w:fldChar w:fldCharType="end"/>
      </w:r>
      <w:r>
        <w:rPr>
          <w:rFonts w:hint="eastAsia"/>
          <w:b w:val="0"/>
          <w:bCs w:val="0"/>
          <w:lang w:val="en-US" w:eastAsia="zh-CN"/>
        </w:rPr>
        <w:t>，激活肠道单核细胞样细胞分泌IL-23，引起肠道炎症。整合素β1阳性的CD8 T细胞从肠道粘膜组织起源并迁移至外周关节，在关节局部产生IL-17等促炎因子；同时TNF通过血液循环进一步放大全身炎症反应，最终在肌腱端等关节组织中，CD14阳性细胞持续产生IL-23维持局部炎症，整合素β1与胶原结合导致纤维软骨形成和关节结构损伤，形成了从肠道炎症到关节病变的完整病理链条。</w:t>
      </w:r>
    </w:p>
    <w:p w14:paraId="11DB7D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4764002">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治疗</w:t>
      </w:r>
    </w:p>
    <w:p w14:paraId="019D1D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非甾体抗炎药是SpA的一线治疗药物，由于存在胃肠道副作用的风险，IBD患者通常避免使用。传统NSAID可引发缓解期IBD患者的疾病复发，而COX-2选择性NSAIDs被认为可提供更好的胃肠道安全性并改善 IBD患者的耐受性</w:t>
      </w:r>
      <w:r>
        <w:rPr>
          <w:rFonts w:hint="eastAsia"/>
          <w:lang w:val="en-US" w:eastAsia="zh-CN"/>
        </w:rPr>
        <w:t>。</w:t>
      </w:r>
    </w:p>
    <w:p w14:paraId="1B4FB0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甲氨蝶呤、柳氮磺吡啶和硫唑嘌呤等常规合成</w:t>
      </w:r>
      <w:r>
        <w:rPr>
          <w:rFonts w:hint="eastAsia"/>
          <w:lang w:val="en-US" w:eastAsia="zh-CN"/>
        </w:rPr>
        <w:t>抗风湿药（</w:t>
      </w:r>
      <w:r>
        <w:rPr>
          <w:rFonts w:hint="default"/>
          <w:lang w:val="en-US" w:eastAsia="zh-CN"/>
        </w:rPr>
        <w:t xml:space="preserve">DMARD </w:t>
      </w:r>
      <w:r>
        <w:rPr>
          <w:rFonts w:hint="eastAsia"/>
          <w:lang w:val="en-US" w:eastAsia="zh-CN"/>
        </w:rPr>
        <w:t>）</w:t>
      </w:r>
      <w:r>
        <w:rPr>
          <w:rFonts w:hint="default"/>
          <w:lang w:val="en-US" w:eastAsia="zh-CN"/>
        </w:rPr>
        <w:t xml:space="preserve"> 可能对外周关节炎有效，但对中轴病变没有影响。</w:t>
      </w:r>
    </w:p>
    <w:p w14:paraId="2AF5D3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生物制剂</w:t>
      </w:r>
      <w:r>
        <w:rPr>
          <w:rFonts w:hint="eastAsia"/>
          <w:lang w:val="en-US" w:eastAsia="zh-CN"/>
        </w:rPr>
        <w:t>方面</w:t>
      </w:r>
      <w:r>
        <w:rPr>
          <w:rFonts w:hint="default"/>
          <w:lang w:val="en-US" w:eastAsia="zh-CN"/>
        </w:rPr>
        <w:t>，一些 SpA 治疗（例如 IL-17 抑制剂）可能会加重 IBD，</w:t>
      </w:r>
      <w:r>
        <w:rPr>
          <w:rFonts w:hint="eastAsia"/>
          <w:lang w:val="en-US" w:eastAsia="zh-CN"/>
        </w:rPr>
        <w:t>；</w:t>
      </w:r>
      <w:r>
        <w:rPr>
          <w:rFonts w:hint="default"/>
          <w:lang w:val="en-US" w:eastAsia="zh-CN"/>
        </w:rPr>
        <w:t>某些对 IBD 有效的治疗（例如 α4β7 </w:t>
      </w:r>
      <w:r>
        <w:rPr>
          <w:rFonts w:hint="default"/>
          <w:lang w:val="en-US" w:eastAsia="zh-CN"/>
        </w:rPr>
        <w:fldChar w:fldCharType="begin"/>
      </w:r>
      <w:r>
        <w:rPr>
          <w:rFonts w:hint="default"/>
          <w:lang w:val="en-US" w:eastAsia="zh-CN"/>
        </w:rPr>
        <w:instrText xml:space="preserve"> HYPERLINK "https://www.sciencedirect.com/topics/medicine-and-dentistry/integrin" \o "Learn more about integrin from ScienceDirect's AI-generated Topic Pages" </w:instrText>
      </w:r>
      <w:r>
        <w:rPr>
          <w:rFonts w:hint="default"/>
          <w:lang w:val="en-US" w:eastAsia="zh-CN"/>
        </w:rPr>
        <w:fldChar w:fldCharType="separate"/>
      </w:r>
      <w:r>
        <w:rPr>
          <w:rFonts w:hint="default"/>
          <w:lang w:val="en-US" w:eastAsia="zh-CN"/>
        </w:rPr>
        <w:t>整合素</w:t>
      </w:r>
      <w:r>
        <w:rPr>
          <w:rFonts w:hint="default"/>
          <w:lang w:val="en-US" w:eastAsia="zh-CN"/>
        </w:rPr>
        <w:fldChar w:fldCharType="end"/>
      </w:r>
      <w:r>
        <w:rPr>
          <w:rFonts w:hint="default"/>
          <w:lang w:val="en-US" w:eastAsia="zh-CN"/>
        </w:rPr>
        <w:t>抑制剂）可能会诱发或加重 SpA。</w:t>
      </w:r>
    </w:p>
    <w:p w14:paraId="7C8AFF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 xml:space="preserve">IL-12/IL-23抑制剂 </w:t>
      </w:r>
      <w:r>
        <w:rPr>
          <w:rFonts w:hint="eastAsia"/>
          <w:lang w:val="en-US" w:eastAsia="zh-CN"/>
        </w:rPr>
        <w:t>比如优特克单抗 对IBD有效且可能对外周关节炎有益，但对轴性SpA无效。</w:t>
      </w:r>
    </w:p>
    <w:p w14:paraId="52ADAD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英夫利昔单抗、阿达木单抗和戈利木单抗等TNF抑制剂</w:t>
      </w:r>
      <w:r>
        <w:rPr>
          <w:rFonts w:hint="eastAsia"/>
          <w:lang w:val="en-US" w:eastAsia="zh-CN"/>
        </w:rPr>
        <w:t>， </w:t>
      </w:r>
      <w:r>
        <w:rPr>
          <w:rFonts w:hint="eastAsia"/>
          <w:lang w:val="en-US" w:eastAsia="zh-CN"/>
        </w:rPr>
        <w:fldChar w:fldCharType="begin"/>
      </w:r>
      <w:r>
        <w:rPr>
          <w:rFonts w:hint="eastAsia"/>
          <w:lang w:val="en-US" w:eastAsia="zh-CN"/>
        </w:rPr>
        <w:instrText xml:space="preserve"> HYPERLINK "https://www.sciencedirect.com/topics/pharmacology-toxicology-and-pharmaceutical-science/tofacitinib" \o "Learn more about Tofacitinib from ScienceDirect's AI-generated Topic Pages" </w:instrText>
      </w:r>
      <w:r>
        <w:rPr>
          <w:rFonts w:hint="eastAsia"/>
          <w:lang w:val="en-US" w:eastAsia="zh-CN"/>
        </w:rPr>
        <w:fldChar w:fldCharType="separate"/>
      </w:r>
      <w:r>
        <w:rPr>
          <w:rFonts w:hint="eastAsia"/>
          <w:lang w:val="en-US" w:eastAsia="zh-CN"/>
        </w:rPr>
        <w:t>托法替尼</w:t>
      </w:r>
      <w:r>
        <w:rPr>
          <w:rFonts w:hint="eastAsia"/>
          <w:lang w:val="en-US" w:eastAsia="zh-CN"/>
        </w:rPr>
        <w:fldChar w:fldCharType="end"/>
      </w:r>
      <w:r>
        <w:rPr>
          <w:rFonts w:hint="eastAsia"/>
          <w:lang w:val="en-US" w:eastAsia="zh-CN"/>
        </w:rPr>
        <w:t>等JAK抑制剂</w:t>
      </w:r>
      <w:r>
        <w:rPr>
          <w:rFonts w:hint="default"/>
          <w:lang w:val="en-US" w:eastAsia="zh-CN"/>
        </w:rPr>
        <w:t>对轴向和外周 SpA 都有效，并且也被批准用于 IBD</w:t>
      </w:r>
      <w:r>
        <w:rPr>
          <w:rFonts w:hint="eastAsia"/>
          <w:lang w:val="en-US" w:eastAsia="zh-CN"/>
        </w:rPr>
        <w:t>。</w:t>
      </w:r>
    </w:p>
    <w:p w14:paraId="0654E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2B88A2DF">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385B51AF">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color w:val="00B0F0"/>
          <w:sz w:val="28"/>
          <w:szCs w:val="36"/>
          <w:lang w:val="en-US" w:eastAsia="zh-CN"/>
        </w:rPr>
      </w:pPr>
      <w:r>
        <w:rPr>
          <w:rFonts w:hint="eastAsia"/>
          <w:b/>
          <w:bCs/>
          <w:color w:val="00B0F0"/>
          <w:sz w:val="28"/>
          <w:szCs w:val="36"/>
          <w:lang w:val="en-US" w:eastAsia="zh-CN"/>
        </w:rPr>
        <w:t>IBD与PSC</w:t>
      </w:r>
    </w:p>
    <w:p w14:paraId="35C707EC">
      <w:pPr>
        <w:keepNext w:val="0"/>
        <w:keepLines w:val="0"/>
        <w:pageBreakBefore w:val="0"/>
        <w:widowControl w:val="0"/>
        <w:kinsoku/>
        <w:wordWrap/>
        <w:overflowPunct/>
        <w:topLinePunct w:val="0"/>
        <w:autoSpaceDE/>
        <w:autoSpaceDN/>
        <w:bidi w:val="0"/>
        <w:adjustRightInd/>
        <w:snapToGrid/>
        <w:ind w:firstLine="420" w:firstLineChars="200"/>
        <w:textAlignment w:val="auto"/>
      </w:pPr>
      <w:r>
        <w:t>原发性硬化性胆管炎（PSC），这是一种病因不明的慢性进展性胆汁淤积型肝病，以胆管弥漫性炎症和纤维化为特征，最终可能因胆管梗阻和胆道炎症导致肝硬化和肝衰竭。在早期通常无症状;然而，随着疾病的进展，患者主诉非特异性症状，如疲劳、瘙痒、发烧和体重减轻。在晚期病例中，经常会出现腹痛和黄疸。</w:t>
      </w:r>
    </w:p>
    <w:p w14:paraId="4D938AF0">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73CEAF69">
      <w:pPr>
        <w:keepNext w:val="0"/>
        <w:keepLines w:val="0"/>
        <w:pageBreakBefore w:val="0"/>
        <w:widowControl w:val="0"/>
        <w:kinsoku/>
        <w:wordWrap/>
        <w:overflowPunct/>
        <w:topLinePunct w:val="0"/>
        <w:autoSpaceDE/>
        <w:autoSpaceDN/>
        <w:bidi w:val="0"/>
        <w:adjustRightInd/>
        <w:snapToGrid/>
        <w:ind w:firstLine="422" w:firstLineChars="200"/>
        <w:textAlignment w:val="auto"/>
      </w:pPr>
      <w:r>
        <w:rPr>
          <w:rFonts w:hint="eastAsia"/>
          <w:b/>
          <w:bCs/>
          <w:lang w:val="en-US" w:eastAsia="zh-CN"/>
        </w:rPr>
        <w:t>流行病学</w:t>
      </w:r>
    </w:p>
    <w:p w14:paraId="12D378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lang w:eastAsia="zh-CN"/>
        </w:rPr>
        <w:t>PSC患者中IBD的患病率</w:t>
      </w:r>
      <w:r>
        <w:rPr>
          <w:rFonts w:hint="eastAsia"/>
          <w:lang w:val="en-US" w:eastAsia="zh-CN"/>
        </w:rPr>
        <w:t>约</w:t>
      </w:r>
      <w:r>
        <w:rPr>
          <w:rFonts w:hint="eastAsia"/>
          <w:lang w:eastAsia="zh-CN"/>
        </w:rPr>
        <w:t>为71.1%（95% CI 68.2-75.1%），其中溃疡性结肠炎</w:t>
      </w:r>
      <w:r>
        <w:rPr>
          <w:rFonts w:hint="eastAsia"/>
          <w:lang w:val="en-US" w:eastAsia="zh-CN"/>
        </w:rPr>
        <w:t>更</w:t>
      </w:r>
      <w:r>
        <w:rPr>
          <w:rFonts w:hint="eastAsia"/>
          <w:lang w:eastAsia="zh-CN"/>
        </w:rPr>
        <w:t>常见，OR 2.02；</w:t>
      </w:r>
    </w:p>
    <w:p w14:paraId="1B6F67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eastAsia"/>
          <w:lang w:eastAsia="zh-CN"/>
        </w:rPr>
        <w:t>反之，IBD患者中PSC的总体患病率</w:t>
      </w:r>
      <w:r>
        <w:rPr>
          <w:rFonts w:hint="eastAsia"/>
          <w:lang w:val="en-US" w:eastAsia="zh-CN"/>
        </w:rPr>
        <w:t>在亚洲</w:t>
      </w:r>
      <w:r>
        <w:rPr>
          <w:rFonts w:hint="eastAsia"/>
          <w:lang w:eastAsia="zh-CN"/>
        </w:rPr>
        <w:t>为亚洲67.0%。PSC合并IBD更常见于男性，男女比例约2:1。</w:t>
      </w:r>
    </w:p>
    <w:p w14:paraId="7BE399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p>
    <w:p w14:paraId="57CD68F3">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机制</w:t>
      </w:r>
    </w:p>
    <w:p w14:paraId="016FA6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虽然PSC-IBD的发病机制仍然未知，但最近的研究表明，多种因素，包括遗传易感性、免疫介导的途径、BA的改变和肠道菌群失调，可能促成PSC-IBD的发病机制。</w:t>
      </w:r>
    </w:p>
    <w:p w14:paraId="112CB7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遗传方面主要包括HLA基因以及与其他免疫介导的疾病有关易感位点。但遗传对PSC贡献有限，可能&lt;10%，这表明其他环境风险因素可能比遗传学起更关键的作用。</w:t>
      </w:r>
    </w:p>
    <w:p w14:paraId="1718DB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肠道菌群</w:t>
      </w:r>
      <w:r>
        <w:rPr>
          <w:rFonts w:hint="eastAsia"/>
          <w:lang w:val="en-US" w:eastAsia="zh-CN"/>
        </w:rPr>
        <w:t>方面，PSC-IBD共病患者的生态失调与只患有 IBD 不同。</w:t>
      </w:r>
      <w:r>
        <w:rPr>
          <w:rFonts w:hint="default"/>
          <w:lang w:val="en-US" w:eastAsia="zh-CN"/>
        </w:rPr>
        <w:t>与</w:t>
      </w:r>
      <w:r>
        <w:rPr>
          <w:rFonts w:hint="eastAsia"/>
          <w:lang w:val="en-US" w:eastAsia="zh-CN"/>
        </w:rPr>
        <w:t>健康对照组</w:t>
      </w:r>
      <w:r>
        <w:rPr>
          <w:rFonts w:hint="default"/>
          <w:lang w:val="en-US" w:eastAsia="zh-CN"/>
        </w:rPr>
        <w:t>相比，</w:t>
      </w:r>
      <w:r>
        <w:rPr>
          <w:rFonts w:hint="eastAsia"/>
          <w:lang w:val="en-US" w:eastAsia="zh-CN"/>
        </w:rPr>
        <w:t>共病</w:t>
      </w:r>
      <w:r>
        <w:rPr>
          <w:rFonts w:hint="default"/>
          <w:lang w:val="en-US" w:eastAsia="zh-CN"/>
        </w:rPr>
        <w:t>患者的韦荣球菌 Veillonella 高出 4.8 倍，并且与 Mayo 风险评分（PSC 预后指数）呈正相关。</w:t>
      </w:r>
    </w:p>
    <w:p w14:paraId="54DF49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免疫方面，存在淋巴细胞归巢异常，肠道炎症环境中活化的淋巴细胞，可能会异常地归巢至表达相应配体的肝脏胆管系统，从而在肝脏中引发免疫反应和损伤。且在PSC和IBD中，都存在辅助性T细胞17（Th17）的过度活化和调节性T细胞（Treg）功能的抑制。</w:t>
      </w:r>
    </w:p>
    <w:p w14:paraId="08565D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 ·另一个机制是肝肠轴，也就是胆汁酸代谢紊乱</w:t>
      </w:r>
    </w:p>
    <w:p w14:paraId="5A1B9C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eastAsia="zh-CN"/>
        </w:rPr>
      </w:pPr>
      <w:r>
        <w:rPr>
          <w:rFonts w:hint="default"/>
          <w:lang w:val="en-US" w:eastAsia="zh-CN"/>
        </w:rPr>
        <w:t>在肝脏中，遗传易感性和免疫介导的途径</w:t>
      </w:r>
      <w:r>
        <w:rPr>
          <w:rFonts w:hint="eastAsia"/>
          <w:lang w:val="en-US" w:eastAsia="zh-CN"/>
        </w:rPr>
        <w:t xml:space="preserve"> 导致</w:t>
      </w:r>
      <w:r>
        <w:rPr>
          <w:rFonts w:hint="default"/>
          <w:lang w:val="en-US" w:eastAsia="zh-CN"/>
        </w:rPr>
        <w:t>胆汁酸稳态受损</w:t>
      </w:r>
      <w:r>
        <w:rPr>
          <w:rFonts w:hint="eastAsia"/>
          <w:lang w:val="en-US" w:eastAsia="zh-CN"/>
        </w:rPr>
        <w:t>，</w:t>
      </w:r>
      <w:r>
        <w:rPr>
          <w:rFonts w:hint="default"/>
          <w:lang w:val="en-US" w:eastAsia="zh-CN"/>
        </w:rPr>
        <w:t>影响</w:t>
      </w:r>
      <w:r>
        <w:rPr>
          <w:rFonts w:hint="eastAsia"/>
          <w:lang w:val="en-US" w:eastAsia="zh-CN"/>
        </w:rPr>
        <w:t>肠道</w:t>
      </w:r>
      <w:r>
        <w:rPr>
          <w:rFonts w:hint="default"/>
          <w:lang w:val="en-US" w:eastAsia="zh-CN"/>
        </w:rPr>
        <w:t>微生物群，导致生态失调，</w:t>
      </w:r>
      <w:r>
        <w:rPr>
          <w:rFonts w:hint="eastAsia"/>
          <w:lang w:val="en-US" w:eastAsia="zh-CN"/>
        </w:rPr>
        <w:t>加剧</w:t>
      </w:r>
      <w:r>
        <w:rPr>
          <w:rFonts w:hint="default"/>
          <w:lang w:val="en-US" w:eastAsia="zh-CN"/>
        </w:rPr>
        <w:t>肠道屏障功能受损</w:t>
      </w:r>
      <w:r>
        <w:rPr>
          <w:rFonts w:hint="eastAsia"/>
          <w:lang w:val="en-US" w:eastAsia="zh-CN"/>
        </w:rPr>
        <w:t>。</w:t>
      </w:r>
      <w:r>
        <w:rPr>
          <w:rFonts w:hint="default"/>
          <w:lang w:val="en-US" w:eastAsia="zh-CN"/>
        </w:rPr>
        <w:t>并通过肠道屏障</w:t>
      </w:r>
      <w:r>
        <w:rPr>
          <w:rFonts w:hint="eastAsia"/>
          <w:lang w:val="en-US" w:eastAsia="zh-CN"/>
        </w:rPr>
        <w:t>渗透</w:t>
      </w:r>
      <w:r>
        <w:rPr>
          <w:rFonts w:hint="default"/>
          <w:lang w:val="en-US" w:eastAsia="zh-CN"/>
        </w:rPr>
        <w:t>增加微生物和毒素的易位</w:t>
      </w:r>
      <w:r>
        <w:rPr>
          <w:rFonts w:hint="eastAsia"/>
          <w:lang w:val="en-US" w:eastAsia="zh-CN"/>
        </w:rPr>
        <w:t>，同时活化的肠道淋巴细胞通过门静脉迁移到肝脏，进一步加重</w:t>
      </w:r>
      <w:r>
        <w:rPr>
          <w:rFonts w:hint="default"/>
          <w:lang w:val="en-US" w:eastAsia="zh-CN"/>
        </w:rPr>
        <w:t>胆管和肝脏炎症。</w:t>
      </w:r>
    </w:p>
    <w:p w14:paraId="7CB2BC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6C2A651E">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6AD3E0A2">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治疗</w:t>
      </w:r>
    </w:p>
    <w:p w14:paraId="764719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PSC-IBD共病患者的治疗选择与单纯PSC患者没有区别。治疗 PSC 最广泛使用的药物是熊去氧胆酸，它能够刺激肝细胞和胆管细胞分泌、抗细胞凋亡和降低胆汁酸毒性，但对长期预后的影响有限。其他的</w:t>
      </w:r>
      <w:r>
        <w:rPr>
          <w:rFonts w:hint="eastAsia"/>
          <w:lang w:val="en-US" w:eastAsia="zh-CN"/>
        </w:rPr>
        <w:fldChar w:fldCharType="begin"/>
      </w:r>
      <w:r>
        <w:rPr>
          <w:rFonts w:hint="eastAsia"/>
          <w:lang w:val="en-US" w:eastAsia="zh-CN"/>
        </w:rPr>
        <w:instrText xml:space="preserve"> HYPERLINK "https://pmc.ncbi.nlm.nih.gov/articles/PMC10626010/" \l "b32-ir-2023-00039" </w:instrText>
      </w:r>
      <w:r>
        <w:rPr>
          <w:rFonts w:hint="eastAsia"/>
          <w:lang w:val="en-US" w:eastAsia="zh-CN"/>
        </w:rPr>
        <w:fldChar w:fldCharType="separate"/>
      </w:r>
      <w:r>
        <w:rPr>
          <w:rFonts w:hint="eastAsia"/>
          <w:lang w:val="en-US" w:eastAsia="zh-CN"/>
        </w:rPr>
        <w:fldChar w:fldCharType="end"/>
      </w:r>
      <w:r>
        <w:rPr>
          <w:rFonts w:hint="eastAsia"/>
          <w:lang w:val="en-US" w:eastAsia="zh-CN"/>
        </w:rPr>
        <w:t>药物治疗通常为对症治疗，如使用胆汁酸螯合剂、抗组胺药控制瘙痒；营养支持、补充维生素缓解疲劳等症状；以及处理胆管炎、胆道梗阻并发症。晚期 PSC 患者需要进行肝移植，但移植后仍然有概率复发。</w:t>
      </w:r>
    </w:p>
    <w:p w14:paraId="78A7D2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生物制剂可有效治疗与 PSC 相关的结肠炎，但不能改善胆汁淤积，只对肠道症状有效。</w:t>
      </w:r>
    </w:p>
    <w:p w14:paraId="6C1F55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尽管PSC是一种免疫介导的疾病，但皮质类固醇、甲氨蝶呤和他克莫司等几种免疫抑制剂未能证明对PSC的治疗有效性。</w:t>
      </w:r>
    </w:p>
    <w:p w14:paraId="0F030FCB">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79407582">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b/>
          <w:bCs/>
          <w:color w:val="00B0F0"/>
          <w:sz w:val="28"/>
          <w:szCs w:val="36"/>
          <w:lang w:val="en-US" w:eastAsia="zh-CN"/>
        </w:rPr>
      </w:pPr>
      <w:r>
        <w:rPr>
          <w:rFonts w:hint="eastAsia"/>
          <w:b/>
          <w:bCs/>
          <w:color w:val="00B0F0"/>
          <w:sz w:val="28"/>
          <w:szCs w:val="36"/>
          <w:lang w:val="en-US" w:eastAsia="zh-CN"/>
        </w:rPr>
        <w:t>IBD与IgA肾病</w:t>
      </w:r>
    </w:p>
    <w:p w14:paraId="62395C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r>
        <w:rPr>
          <w:rFonts w:hint="default" w:eastAsiaTheme="minorEastAsia"/>
          <w:lang w:val="en-US" w:eastAsia="zh-CN"/>
        </w:rPr>
        <w:t>IBD相关肾小球肾炎中最常见的病理类型为IgAN，由于起病隐匿常被忽视和延误诊治。</w:t>
      </w:r>
    </w:p>
    <w:p w14:paraId="23AC19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p>
    <w:p w14:paraId="46027E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r>
        <w:rPr>
          <w:rFonts w:hint="default" w:eastAsiaTheme="minorEastAsia"/>
          <w:lang w:val="en-US" w:eastAsia="zh-CN"/>
        </w:rPr>
        <w:t>IgAN以肾小球系膜区弥漫性IgA沉积为特征，临床上常以发作性短暂肉眼血尿和镜下血尿为特点。是慢性肾脏病和终末期肾病的首要病因之一，约20%~30%患者在20~25年间缓慢进展至肾衰竭</w:t>
      </w:r>
    </w:p>
    <w:p w14:paraId="0D1812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p>
    <w:p w14:paraId="02356E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p>
    <w:p w14:paraId="5A838A0F">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eastAsiaTheme="minorEastAsia"/>
          <w:b/>
          <w:bCs/>
          <w:lang w:val="en-US" w:eastAsia="zh-CN"/>
        </w:rPr>
      </w:pPr>
      <w:r>
        <w:rPr>
          <w:rFonts w:hint="eastAsia"/>
          <w:b/>
          <w:bCs/>
          <w:lang w:val="en-US" w:eastAsia="zh-CN"/>
        </w:rPr>
        <w:t>流行病学</w:t>
      </w:r>
    </w:p>
    <w:p w14:paraId="3AD20B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eastAsiaTheme="minorEastAsia"/>
          <w:lang w:val="en-US" w:eastAsia="zh-CN"/>
        </w:rPr>
        <w:t>基于日本</w:t>
      </w:r>
      <w:r>
        <w:rPr>
          <w:rFonts w:hint="eastAsia"/>
          <w:lang w:val="en-US" w:eastAsia="zh-CN"/>
        </w:rPr>
        <w:t>的</w:t>
      </w:r>
      <w:r>
        <w:rPr>
          <w:rFonts w:hint="default" w:eastAsiaTheme="minorEastAsia"/>
          <w:lang w:val="en-US" w:eastAsia="zh-CN"/>
        </w:rPr>
        <w:t>回顾性分析</w:t>
      </w:r>
      <w:r>
        <w:rPr>
          <w:rFonts w:hint="eastAsia"/>
          <w:lang w:val="en-US" w:eastAsia="zh-CN"/>
        </w:rPr>
        <w:t>发现，</w:t>
      </w:r>
      <w:r>
        <w:rPr>
          <w:rFonts w:hint="default" w:eastAsiaTheme="minorEastAsia"/>
          <w:lang w:val="en-US" w:eastAsia="zh-CN"/>
        </w:rPr>
        <w:t>与无炎症性肠病者相比，炎症性肠病者的 IgA 累积发生率更高</w:t>
      </w:r>
      <w:r>
        <w:rPr>
          <w:rFonts w:hint="eastAsia"/>
          <w:lang w:val="en-US" w:eastAsia="zh-CN"/>
        </w:rPr>
        <w:t>，与非IBD患者1.74%的IgA发生率相比，IBD患者的IgA发生率为3.43%</w:t>
      </w:r>
      <w:r>
        <w:rPr>
          <w:rFonts w:hint="default" w:eastAsiaTheme="minorEastAsia"/>
          <w:lang w:val="en-US" w:eastAsia="zh-CN"/>
        </w:rPr>
        <w:t>。炎症性肠病者发生 IgA 肾病的风险更高。</w:t>
      </w:r>
      <w:r>
        <w:rPr>
          <w:rFonts w:hint="eastAsia"/>
          <w:lang w:val="en-US" w:eastAsia="zh-CN"/>
        </w:rPr>
        <w:t>共病在男性中更常见，CD患者更容易患有IgA 肾病.</w:t>
      </w:r>
    </w:p>
    <w:p w14:paraId="6B0EB5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86D01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241B5E9">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机制</w:t>
      </w:r>
    </w:p>
    <w:p w14:paraId="2598DE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·基因：全基因组关联研究表明，IBD与IgAN拥有多个共同易感基因 。两种疾病之间通过固有免疫反应、黏膜免疫反应、炎症因子等相互联系和影响。</w:t>
      </w:r>
    </w:p>
    <w:p w14:paraId="4C48B6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6C1DE0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·免疫方面，肠相关淋巴组织免疫反应促进Gd-IgA1的产生</w:t>
      </w:r>
    </w:p>
    <w:p w14:paraId="6BA342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IgA是人体生成最多的免疫球蛋白，主要分布在黏膜区域，少量分布在血清中。IBD是肠道黏膜免疫失调的代表性疾病。IBD患者肠道黏膜中产生IgA的浆细胞显著增加，导致局部大量IgA产生。</w:t>
      </w:r>
    </w:p>
    <w:p w14:paraId="10A076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关于IgAN的发病过程，要经过抗半乳糖缺陷型IgA1（Gd-IgA1）自身抗体产生，IgA1的免疫复合物形成，在肾小球基底膜的沉积，激活肾小球系膜细胞并损害肾小球 。</w:t>
      </w:r>
    </w:p>
    <w:p w14:paraId="3B8C0E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IBD活动期患者循环IgA水平升高</w:t>
      </w:r>
      <w:r>
        <w:rPr>
          <w:rFonts w:hint="eastAsia"/>
          <w:b w:val="0"/>
          <w:bCs w:val="0"/>
          <w:lang w:val="en-US" w:eastAsia="zh-CN"/>
        </w:rPr>
        <w:t>，</w:t>
      </w:r>
      <w:r>
        <w:rPr>
          <w:rFonts w:hint="default"/>
          <w:b w:val="0"/>
          <w:bCs w:val="0"/>
          <w:lang w:val="en-US" w:eastAsia="zh-CN"/>
        </w:rPr>
        <w:t>与IgA</w:t>
      </w:r>
      <w:r>
        <w:rPr>
          <w:rFonts w:hint="eastAsia"/>
          <w:b w:val="0"/>
          <w:bCs w:val="0"/>
          <w:lang w:val="en-US" w:eastAsia="zh-CN"/>
        </w:rPr>
        <w:t>1</w:t>
      </w:r>
      <w:r>
        <w:rPr>
          <w:rFonts w:hint="default"/>
          <w:b w:val="0"/>
          <w:bCs w:val="0"/>
          <w:lang w:val="en-US" w:eastAsia="zh-CN"/>
        </w:rPr>
        <w:t>免疫复合物在肾脏沉积增加具有时间相关性</w:t>
      </w:r>
      <w:r>
        <w:rPr>
          <w:rFonts w:hint="eastAsia"/>
          <w:b w:val="0"/>
          <w:bCs w:val="0"/>
          <w:lang w:val="en-US" w:eastAsia="zh-CN"/>
        </w:rPr>
        <w:t>。这是因为IBD患者肠道黏膜中产生IgA的浆细胞显著增加，导致局部大量IgA产生。</w:t>
      </w:r>
    </w:p>
    <w:p w14:paraId="2CB7E2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373A6B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·肠道通透性增加和上皮屏障破坏</w:t>
      </w:r>
    </w:p>
    <w:p w14:paraId="16391B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IBD活动期，肠道炎症刺激IgA生成的同时也破坏肠道屏障。上皮屏障的破坏更容易导致免疫原性食物抗原的暴露和IgA产生的增加，更高的肠道上皮通透性与血清IgA水平增加显著相关。</w:t>
      </w:r>
    </w:p>
    <w:p w14:paraId="760884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肠源性黏膜IgA入血，进而沉积于肾小球，出现IgAN相关表现。因而人们提出了"肠肾轴"这一概念。</w:t>
      </w:r>
    </w:p>
    <w:p w14:paraId="4AF9A0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1EFB1F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lang w:val="en-US" w:eastAsia="zh-CN"/>
        </w:rPr>
      </w:pPr>
      <w:r>
        <w:rPr>
          <w:rFonts w:hint="eastAsia"/>
          <w:b/>
          <w:bCs/>
          <w:lang w:val="en-US" w:eastAsia="zh-CN"/>
        </w:rPr>
        <w:t>治疗</w:t>
      </w:r>
    </w:p>
    <w:p w14:paraId="7BE47D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eastAsia"/>
          <w:b w:val="0"/>
          <w:bCs w:val="0"/>
          <w:lang w:val="en-US" w:eastAsia="zh-CN"/>
        </w:rPr>
        <w:t>IgAN→IBD</w:t>
      </w:r>
    </w:p>
    <w:p w14:paraId="6EF370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b w:val="0"/>
          <w:bCs w:val="0"/>
          <w:lang w:val="en-US" w:eastAsia="zh-CN"/>
        </w:rPr>
      </w:pPr>
      <w:r>
        <w:rPr>
          <w:rFonts w:hint="eastAsia"/>
          <w:b w:val="0"/>
          <w:bCs w:val="0"/>
          <w:lang w:val="en-US" w:eastAsia="zh-CN"/>
        </w:rPr>
        <w:t>有利：</w:t>
      </w:r>
    </w:p>
    <w:p w14:paraId="67AF00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default" w:eastAsiaTheme="minorEastAsia"/>
          <w:b w:val="0"/>
          <w:bCs w:val="0"/>
          <w:lang w:val="en-US" w:eastAsia="zh-CN"/>
        </w:rPr>
        <w:t>IgAN确诊后患者的IBD年复发率较IgAN确诊前显著下降，并且每年糖皮质激素需求量也有下降趋势。</w:t>
      </w:r>
      <w:r>
        <w:rPr>
          <w:rFonts w:hint="eastAsia"/>
          <w:b w:val="0"/>
          <w:bCs w:val="0"/>
          <w:lang w:val="en-US" w:eastAsia="zh-CN"/>
        </w:rPr>
        <w:t>这可能是因为IgAN的治疗方案以ACEI/ARB为主。这类药物可能改善IBD预后，而激素常应用于IBD的诱导缓解治疗，因此IgAN降低IBD年复发率的结果可能受此研究中IgAN相关药物的影响。</w:t>
      </w:r>
    </w:p>
    <w:p w14:paraId="19BECD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default"/>
          <w:b w:val="0"/>
          <w:bCs w:val="0"/>
          <w:lang w:val="en-US" w:eastAsia="zh-CN"/>
        </w:rPr>
        <w:t>ACEI或ARB的应用或可改善IBD结局，使IBD患者的住院次数更少、手术次数更少和激素应用更少</w:t>
      </w:r>
    </w:p>
    <w:p w14:paraId="00D482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4B701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有害：</w:t>
      </w:r>
    </w:p>
    <w:p w14:paraId="288744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治疗IgA肾病所用的吗替麦考酚酯（mycophenolated mofetil，MMF）不利于IBD病情，MMF用于激素依赖、难治或对常规疗法不耐受的IgAN患者，但MMF同时具有剂量相关性胃肠道毒性，可损伤肠上皮细胞，诱发MMF相关性结肠炎。</w:t>
      </w:r>
    </w:p>
    <w:p w14:paraId="0172E2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55EE96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4B311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eastAsia"/>
          <w:b w:val="0"/>
          <w:bCs w:val="0"/>
          <w:lang w:val="en-US" w:eastAsia="zh-CN"/>
        </w:rPr>
        <w:t>IBD→IgAN</w:t>
      </w:r>
    </w:p>
    <w:p w14:paraId="446275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IBD相关的部分治疗药物具有肾毒性，例如</w:t>
      </w:r>
    </w:p>
    <w:p w14:paraId="0EE5D6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环孢素可引起急性肾功能衰竭和慢性肾功能损害。</w:t>
      </w:r>
    </w:p>
    <w:p w14:paraId="3FC8BDB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生物制剂中，抗TNF-α可能诱发或使IgAN病情加重。</w:t>
      </w:r>
    </w:p>
    <w:p w14:paraId="7F8396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治疗IBD所用的糖皮质激素则可改善IgAN病情</w:t>
      </w:r>
    </w:p>
    <w:p w14:paraId="342FBC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部分免疫抑制剂（他克莫司）及小分子药物可能对IgAN有积极影响，但缺乏相关实验进一步验证。</w:t>
      </w:r>
    </w:p>
    <w:p w14:paraId="154B16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氨基水杨酸对IgAN发病风险的影响目前暂不明</w:t>
      </w:r>
    </w:p>
    <w:p w14:paraId="0F47FE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52B5C3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5CA2F9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免疫介导的炎症性疾病（immune-mediated inflammatory diseases，IMID）</w:t>
      </w:r>
    </w:p>
    <w:p w14:paraId="706CEC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尽管不同疾病背后涉及的自身免疫机制有所不同，但炎症是贯穿风湿、消化、皮科等多个临床学科，引起多种自身免疫性疾病的共性发病机制。</w:t>
      </w:r>
    </w:p>
    <w:p w14:paraId="47FE4F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default"/>
          <w:b w:val="0"/>
          <w:bCs w:val="0"/>
          <w:lang w:val="en-US" w:eastAsia="zh-CN"/>
        </w:rPr>
        <w:t>炎症反应是以Th1和Th17的分化为标志，以不同细胞因子过表达为特征；并且自持性炎症反应贯穿始终</w:t>
      </w:r>
      <w:r>
        <w:rPr>
          <w:rFonts w:hint="eastAsia"/>
          <w:b w:val="0"/>
          <w:bCs w:val="0"/>
          <w:lang w:val="en-US" w:eastAsia="zh-CN"/>
        </w:rPr>
        <w:t>，使疾病同时兼具“炎症”与“自身免疫”特征。</w:t>
      </w:r>
    </w:p>
    <w:p w14:paraId="276F1C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2021年的《新英格兰医学杂志》明确提出：应以驱动炎症的关键细胞因子为出发点，把炎症通路重叠和类似的免疫性疾病归纳为IMID。在这个新的分类概念下，使得原本看似分属于不同临床科室的的疾病，找到了共同的治疗靶点，以实现有效抗炎。</w:t>
      </w:r>
    </w:p>
    <w:p w14:paraId="5CE29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16CD6B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t>作为无法治愈的终身性、慢性、炎症性、复发性疾病，IMID的管理除了要求改善患者自觉症状之外，有多项研究表示，只有早期有效控制炎症水平和调节免疫失衡才能真正改善IMID患者的远期预后。目前IMID的治疗步入了大分子生物制剂时代，后续涌现了靶向IL-6、IL-17等炎症细胞因子的抑制剂。但多年的临床实践发现，大多数生物制剂只对一种或少数几种疾病有效9，这说明单一靶点的生物制剂并不能完全解决IMID患者的临床需求（图4）。并且某些生物制剂不能用于治疗IMID患者常见的合并症，比如IL-17A抑制剂会加重强直性脊柱炎合并炎性肠病症状患者的病情，在临床上需慎用</w:t>
      </w:r>
    </w:p>
    <w:p w14:paraId="693BE4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r>
        <w:rPr>
          <w:rFonts w:hint="default"/>
          <w:b w:val="0"/>
          <w:bCs w:val="0"/>
          <w:lang w:val="en-US" w:eastAsia="zh-CN"/>
        </w:rPr>
        <w:t>“异病同治”</w:t>
      </w:r>
    </w:p>
    <w:p w14:paraId="30932E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6672A3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p>
    <w:p w14:paraId="1097E1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b w:val="0"/>
          <w:bCs w:val="0"/>
          <w:lang w:val="en-US" w:eastAsia="zh-CN"/>
        </w:rPr>
      </w:pPr>
      <w:r>
        <w:rPr>
          <w:rFonts w:hint="eastAsia"/>
          <w:b w:val="0"/>
          <w:bCs w:val="0"/>
          <w:lang w:val="en-US" w:eastAsia="zh-CN"/>
        </w:rPr>
        <w:drawing>
          <wp:inline distT="0" distB="0" distL="114300" distR="114300">
            <wp:extent cx="4913630" cy="2037715"/>
            <wp:effectExtent l="0" t="0" r="6350" b="127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913630" cy="2037715"/>
                    </a:xfrm>
                    <a:prstGeom prst="rect">
                      <a:avLst/>
                    </a:prstGeom>
                    <a:noFill/>
                    <a:ln w="9525">
                      <a:noFill/>
                    </a:ln>
                  </pic:spPr>
                </pic:pic>
              </a:graphicData>
            </a:graphic>
          </wp:inline>
        </w:drawing>
      </w:r>
    </w:p>
    <w:p w14:paraId="3912C7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45F676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val="0"/>
          <w:bCs w:val="0"/>
          <w:lang w:val="en-US" w:eastAsia="zh-CN"/>
        </w:rPr>
      </w:pPr>
    </w:p>
    <w:p w14:paraId="08DD3714">
      <w:pPr>
        <w:keepNext w:val="0"/>
        <w:keepLines w:val="0"/>
        <w:pageBreakBefore w:val="0"/>
        <w:widowControl w:val="0"/>
        <w:kinsoku/>
        <w:wordWrap/>
        <w:overflowPunct/>
        <w:topLinePunct w:val="0"/>
        <w:autoSpaceDE/>
        <w:autoSpaceDN/>
        <w:bidi w:val="0"/>
        <w:adjustRightInd/>
        <w:snapToGrid/>
        <w:ind w:firstLine="420" w:firstLineChars="200"/>
        <w:textAlignment w:val="auto"/>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3E60E7"/>
    <w:rsid w:val="02F73142"/>
    <w:rsid w:val="05275A2C"/>
    <w:rsid w:val="058C3CB9"/>
    <w:rsid w:val="0C9E491B"/>
    <w:rsid w:val="0DC84895"/>
    <w:rsid w:val="0DF43609"/>
    <w:rsid w:val="0E107158"/>
    <w:rsid w:val="0EAA5D7E"/>
    <w:rsid w:val="18925339"/>
    <w:rsid w:val="1E323755"/>
    <w:rsid w:val="234F5B50"/>
    <w:rsid w:val="25255172"/>
    <w:rsid w:val="2532799E"/>
    <w:rsid w:val="25724BEE"/>
    <w:rsid w:val="25D971A5"/>
    <w:rsid w:val="27B74D47"/>
    <w:rsid w:val="2C68121A"/>
    <w:rsid w:val="2EA84BA8"/>
    <w:rsid w:val="2EDB6DBC"/>
    <w:rsid w:val="2F5B38F4"/>
    <w:rsid w:val="30334F51"/>
    <w:rsid w:val="33604ABC"/>
    <w:rsid w:val="34031D2F"/>
    <w:rsid w:val="366A3796"/>
    <w:rsid w:val="3B8A1443"/>
    <w:rsid w:val="411C3143"/>
    <w:rsid w:val="42F9198D"/>
    <w:rsid w:val="45581B12"/>
    <w:rsid w:val="45591E1F"/>
    <w:rsid w:val="45B55B70"/>
    <w:rsid w:val="4B520035"/>
    <w:rsid w:val="4FEF13EE"/>
    <w:rsid w:val="5052743E"/>
    <w:rsid w:val="519C087C"/>
    <w:rsid w:val="53277E51"/>
    <w:rsid w:val="5A073A3E"/>
    <w:rsid w:val="5B152B7B"/>
    <w:rsid w:val="5CB23E22"/>
    <w:rsid w:val="61850FB2"/>
    <w:rsid w:val="67565566"/>
    <w:rsid w:val="6CFC78C1"/>
    <w:rsid w:val="6EEA3F01"/>
    <w:rsid w:val="71DD3286"/>
    <w:rsid w:val="753E60E7"/>
    <w:rsid w:val="75A01499"/>
    <w:rsid w:val="7AEC77E2"/>
    <w:rsid w:val="7B1D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5420</Words>
  <Characters>6223</Characters>
  <Lines>0</Lines>
  <Paragraphs>0</Paragraphs>
  <TotalTime>2</TotalTime>
  <ScaleCrop>false</ScaleCrop>
  <LinksUpToDate>false</LinksUpToDate>
  <CharactersWithSpaces>6323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2025-09-01T08:28:00Z</dcterms:created>
  <dc:creator>Ww</dc:creator>
  <cp:lastModifiedBy>Ww</cp:lastModifiedBy>
  <dcterms:modified xsi:type="dcterms:W3CDTF">2026-04-08T12:37:29Z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5E99593794184DC590027578937E0EDD_13</vt:lpwstr>
  </property>
  <property fmtid="{D5CDD505-2E9C-101B-9397-08002B2CF9AE}" pid="4" name="KSOTemplateDocerSaveRecord">
    <vt:lpwstr>eyJoZGlkIjoiNTUxN2UxODcxNDFkNDVjZWY0NDkwZTk2NDJlZDYwNDMiLCJ1c2VySWQiOiI4MjAxNDQ2MzAifQ==</vt:lpwstr>
  </property>
</Properties>
</file>