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556575"/>
          <w:sz w:val="26"/>
        </w:rPr>
        <w:t>CR465 — Technologies et sécurité des conteneurs</w:t>
      </w:r>
    </w:p>
    <w:p>
      <w:pPr>
        <w:jc w:val="center"/>
      </w:pPr>
      <w:r>
        <w:rPr>
          <w:b/>
          <w:color w:val="1F3A5F"/>
          <w:sz w:val="50"/>
        </w:rPr>
        <w:t>Plateforme pédagogique conteneurisée sécurisée</w:t>
      </w:r>
    </w:p>
    <w:p>
      <w:pPr>
        <w:jc w:val="center"/>
      </w:pPr>
      <w:r>
        <w:rPr>
          <w:b/>
          <w:color w:val="1F3A5F"/>
          <w:sz w:val="38"/>
        </w:rPr>
        <w:t>sur VM as Code</w:t>
      </w:r>
    </w:p>
    <w:p>
      <w:pPr>
        <w:spacing w:before="320"/>
        <w:jc w:val="center"/>
      </w:pPr>
      <w:r>
        <w:rPr>
          <w:i/>
          <w:sz w:val="24"/>
        </w:rPr>
        <w:t>Document de synthèse décisionnelle</w:t>
      </w:r>
    </w:p>
    <w:p>
      <w:pPr>
        <w:spacing w:before="3000"/>
        <w:jc w:val="center"/>
      </w:pPr>
    </w:p>
    <w:p>
      <w:pPr>
        <w:spacing w:after="40"/>
        <w:jc w:val="center"/>
      </w:pPr>
      <w:r>
        <w:rPr>
          <w:sz w:val="22"/>
        </w:rPr>
        <w:t>Polytechnique Montréal — A2026</w:t>
      </w:r>
    </w:p>
    <w:p>
      <w:pPr>
        <w:spacing w:after="40"/>
        <w:jc w:val="center"/>
      </w:pPr>
      <w:r>
        <w:rPr>
          <w:sz w:val="22"/>
        </w:rPr>
        <w:t>Groupe D</w:t>
      </w:r>
    </w:p>
    <w:p>
      <w:pPr>
        <w:spacing w:after="40"/>
        <w:jc w:val="center"/>
      </w:pPr>
      <w:r>
        <w:rPr>
          <w:sz w:val="22"/>
        </w:rPr>
        <w:t>Travail de session — 40 % de la note finale</w:t>
      </w:r>
    </w:p>
    <w:p>
      <w:pPr>
        <w:spacing w:after="40"/>
        <w:jc w:val="center"/>
      </w:pPr>
      <w:r>
        <w:rPr>
          <w:sz w:val="22"/>
        </w:rPr>
        <w:t>19 octobre 2026</w:t>
      </w:r>
    </w:p>
    <w:p>
      <w:pPr>
        <w:spacing w:before="1000"/>
        <w:jc w:val="center"/>
      </w:pPr>
      <w:r>
        <w:rPr>
          <w:i/>
          <w:sz w:val="18"/>
        </w:rPr>
        <w:t>Dépôt GitHub : 20GHhub19/CR465-travail-de-session   ·   Documentation : GitBook</w:t>
      </w:r>
    </w:p>
    <w:p>
      <w:r>
        <w:br w:type="page"/>
      </w:r>
    </w:p>
    <w:p>
      <w:pPr>
        <w:pStyle w:val="Heading1"/>
        <w:spacing w:before="160"/>
      </w:pPr>
      <w:r>
        <w:t>1. Résumé exécutif</w:t>
      </w:r>
    </w:p>
    <w:p>
      <w:r>
        <w:rPr>
          <w:b w:val="0"/>
          <w:i w:val="0"/>
        </w:rPr>
        <w:t>Le projet déploie une plateforme de formation en ligne complète sur une machine virtuelle unique, provisionnée de façon déclarative par cloud-init et orchestrée avec Docker Compose. Le parcours métier est fonctionnel de bout en bout : un visiteur achète une formation sur Drupal Commerce, un workflow n8n reçoit la confirmation et inscrit automatiquement l'apprenant dans Moodle, où il accède au contenu après une authentification unique via Keycloak.</w:t>
      </w:r>
    </w:p>
    <w:p>
      <w:r>
        <w:rPr>
          <w:b w:val="0"/>
          <w:i w:val="0"/>
        </w:rPr>
        <w:t>Neuf services conteneurisés sont déployés et opérationnels. Toutes les images sont épinglées, les conteneurs sont durcis (non-root, capacités supprimées, systèmes de fichiers en lecture seule lorsque possible), le réseau est segmenté en cinq zones et les données ne sont jamais exposées à Internet.</w:t>
      </w:r>
    </w:p>
    <w:p>
      <w:pPr>
        <w:pStyle w:val="Heading2"/>
      </w:pPr>
      <w:r>
        <w:t>Ce qui a été démontré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Exigence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8"/>
              </w:rPr>
              <w:t>Démonstration concrète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VM as Code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cloud-init durcit la VM (SSH, UFW, fail2ban, Docker, sysctl) ; VM détruite et reconstruite à l'identique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Déploiement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9 services, healthchecks, volumes persistants, dépendances conditionnelles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Sécurité des images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versions épinglées et scan Trivy local (traefik : 0 HIGH / 0 CRITICAL)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Sécurité à l'exécution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cap_drop ALL, no-new-privileges, read_only, limites, aucun conteneur privilégié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Segmentation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5 réseaux ; PostgreSQL et les interfaces d'administration non exposés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Intégration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achat, webhook n8n, inscription Moodle vérifiée en base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IAM / SSO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realm déclaratif, SSO Moodle-Keycloak testé jusqu'à l'ouverture de session</w:t>
            </w:r>
          </w:p>
        </w:tc>
      </w:tr>
    </w:tbl>
    <w:p>
      <w:pPr>
        <w:spacing w:after="40"/>
      </w:pPr>
    </w:p>
    <w:p>
      <w:pPr>
        <w:pStyle w:val="Heading1"/>
        <w:spacing w:before="160"/>
      </w:pPr>
      <w:r>
        <w:t>2. Architecture</w:t>
      </w:r>
    </w:p>
    <w:p>
      <w:r>
        <w:rPr>
          <w:b w:val="0"/>
          <w:i w:val="0"/>
        </w:rPr>
        <w:t>Le trafic entre par un point unique — Traefik — qui route vers les services applicatifs selon le nom de domaine. Les services de données ne sont joignables que depuis le réseau interne. Un réseau « egress » séparé n'est rattaché qu'aux services ayant besoin de sortir (Moodle pour ses dépendances, n8n et Drupal pour les webhooks).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163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-genera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636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</w:tcPr>
          <w:p>
            <w:r/>
            <w:r>
              <w:rPr>
                <w:b/>
                <w:sz w:val="18"/>
              </w:rPr>
              <w:t>Domaine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18"/>
              </w:rPr>
              <w:t>Rôle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shop.cr465.test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Drupal Commerce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Catalogue, panier, paiement simulé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lms.cr465.test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Moodle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Consommation des cours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auth.cr465.test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Keycloak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Identité, SSO OIDC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flow.cr465.test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n8n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Orchestration des inscriptions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admin.cr465.test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Portainer CE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Exploitation graphique</w:t>
            </w:r>
          </w:p>
        </w:tc>
      </w:tr>
    </w:tbl>
    <w:p>
      <w:pPr>
        <w:spacing w:after="40"/>
      </w:pPr>
    </w:p>
    <w:p>
      <w:pPr>
        <w:pStyle w:val="Heading1"/>
        <w:spacing w:before="160"/>
      </w:pPr>
      <w:r>
        <w:t>3. VM as Code (cloud-init)</w:t>
      </w:r>
    </w:p>
    <w:p>
      <w:r>
        <w:rPr>
          <w:b w:val="0"/>
          <w:i w:val="0"/>
        </w:rPr>
        <w:t>Le fichier user-data.yaml transforme une Ubuntu Server 24.04 vierge en hôte prêt à exécuter la pile, sans aucune étape manuelle hormis le dépôt de la clé SSH publique.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28"/>
          </w:tcPr>
          <w:p>
            <w:r/>
            <w:r>
              <w:rPr>
                <w:b/>
                <w:sz w:val="18"/>
              </w:rPr>
              <w:t>Domaine</w:t>
            </w:r>
          </w:p>
        </w:tc>
        <w:tc>
          <w:tcPr>
            <w:tcW w:type="dxa" w:w="7427"/>
          </w:tcPr>
          <w:p>
            <w:r/>
            <w:r>
              <w:rPr>
                <w:b/>
                <w:sz w:val="18"/>
              </w:rPr>
              <w:t>Configuration appliquée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Compte</w:t>
            </w:r>
          </w:p>
        </w:tc>
        <w:tc>
          <w:tcPr>
            <w:tcW w:type="dxa" w:w="7427"/>
          </w:tcPr>
          <w:p>
            <w:r/>
            <w:r>
              <w:rPr>
                <w:sz w:val="18"/>
              </w:rPr>
              <w:t>adminops, clé SSH uniquement, mot de passe verrouillé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SSH</w:t>
            </w:r>
          </w:p>
        </w:tc>
        <w:tc>
          <w:tcPr>
            <w:tcW w:type="dxa" w:w="7427"/>
          </w:tcPr>
          <w:p>
            <w:r/>
            <w:r>
              <w:rPr>
                <w:sz w:val="18"/>
              </w:rPr>
              <w:t>root interdit, mots de passe désactivés, 3 essais maximum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Système</w:t>
            </w:r>
          </w:p>
        </w:tc>
        <w:tc>
          <w:tcPr>
            <w:tcW w:type="dxa" w:w="7427"/>
          </w:tcPr>
          <w:p>
            <w:r/>
            <w:r>
              <w:rPr>
                <w:sz w:val="18"/>
              </w:rPr>
              <w:t>mises à jour complètes et correctifs automatiques (unattended-upgrades)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7427"/>
          </w:tcPr>
          <w:p>
            <w:r/>
            <w:r>
              <w:rPr>
                <w:sz w:val="18"/>
              </w:rPr>
              <w:t>Engine et Compose depuis le dépôt officiel, démon durci, journaux bornés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Réseau</w:t>
            </w:r>
          </w:p>
        </w:tc>
        <w:tc>
          <w:tcPr>
            <w:tcW w:type="dxa" w:w="7427"/>
          </w:tcPr>
          <w:p>
            <w:r/>
            <w:r>
              <w:rPr>
                <w:sz w:val="18"/>
              </w:rPr>
              <w:t>UFW 22/80/443 uniquement ; fail2ban 3 essais puis 1 h de bannissement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Noyau</w:t>
            </w:r>
          </w:p>
        </w:tc>
        <w:tc>
          <w:tcPr>
            <w:tcW w:type="dxa" w:w="7427"/>
          </w:tcPr>
          <w:p>
            <w:r/>
            <w:r>
              <w:rPr>
                <w:sz w:val="18"/>
              </w:rPr>
              <w:t>anti-spoofing, SYN cookies, ASLR, pas de redirections ICMP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9"/>
        </w:rPr>
        <w:t>Limite assumée : l'utilisateur d'administration appartient au groupe docker, ce qui équivaut à root sur l'hôte. Compensations : accès par clé uniquement, root SSH désactivé, fail2ban.</w:t>
      </w:r>
    </w:p>
    <w:p>
      <w:pPr>
        <w:pStyle w:val="Heading1"/>
        <w:spacing w:before="160"/>
      </w:pPr>
      <w:r>
        <w:t>4. Sécurité</w:t>
      </w:r>
    </w:p>
    <w:p>
      <w:pPr>
        <w:pStyle w:val="Heading2"/>
      </w:pPr>
      <w:r>
        <w:t>Images</w:t>
      </w:r>
    </w:p>
    <w:p>
      <w:r>
        <w:rPr>
          <w:b w:val="0"/>
          <w:i w:val="0"/>
        </w:rPr>
        <w:t>Toutes les images sont épinglées (aucun latest). Le scan Trivy s'exécute localement, sans service cloud : traefik v3.7.15 ne présente aucune vulnérabilité HIGH ou CRITICAL ; le service de test whoami en concentre 15 (il sera retiré) ; le proxy Docker 6, compensées par des limites mémoire et l'absence d'exposition.</w:t>
      </w:r>
    </w:p>
    <w:p>
      <w:pPr>
        <w:pStyle w:val="Heading2"/>
      </w:pPr>
      <w:r>
        <w:t>Exécution</w:t>
      </w:r>
    </w:p>
    <w:p>
      <w:pPr>
        <w:pStyle w:val="ListBullet"/>
        <w:spacing w:after="40"/>
      </w:pPr>
      <w:r>
        <w:t>security_opt no-new-privileges sur tous les services ; cap_drop ALL par défaut.</w:t>
      </w:r>
    </w:p>
    <w:p>
      <w:pPr>
        <w:pStyle w:val="ListBullet"/>
        <w:spacing w:after="40"/>
      </w:pPr>
      <w:r>
        <w:t>Seules les capacités strictement nécessaires sont réaccordées (NET_BIND_SERVICE pour Traefik, capacités d'initialisation pour PostgreSQL et Drupal).</w:t>
      </w:r>
    </w:p>
    <w:p>
      <w:pPr>
        <w:pStyle w:val="ListBullet"/>
        <w:spacing w:after="40"/>
      </w:pPr>
      <w:r>
        <w:t>Utilisateurs non-root : Traefik 1000:1000, whoami 65534, Moodle et n8n en nobody.</w:t>
      </w:r>
    </w:p>
    <w:p>
      <w:pPr>
        <w:pStyle w:val="ListBullet"/>
        <w:spacing w:after="40"/>
      </w:pPr>
      <w:r>
        <w:t>read_only sur Traefik, whoami, proxys et PostgreSQL ; limites CPU et mémoire ; healthchecks ; journaux bornés.</w:t>
      </w:r>
    </w:p>
    <w:p>
      <w:pPr>
        <w:pStyle w:val="ListBullet"/>
        <w:spacing w:after="40"/>
      </w:pPr>
      <w:r>
        <w:t>Aucun conteneur en mode privileged.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11597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fense-profond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159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7"/>
        </w:rPr>
        <w:t>Chaque couche suppose la précédente franchie : build, hôte, périmètre, applicatif, données, identité, observabilité.</w:t>
      </w:r>
    </w:p>
    <w:p>
      <w:pPr>
        <w:pStyle w:val="Heading2"/>
      </w:pPr>
      <w:r>
        <w:t>Socket Docker et segmentation</w:t>
      </w:r>
    </w:p>
    <w:p>
      <w:r>
        <w:rPr>
          <w:b w:val="0"/>
          <w:i w:val="0"/>
        </w:rPr>
        <w:t>Monter le socket Docker expose une API équivalente à root : le mode lecture seule du montage n'empêche pas les écritures via HTTP. Deux proxys filtrants ont donc été déployés : un en lecture seule pour Traefik, un en écriture réservé à Portainer, isolé sur un réseau dédié.</w:t>
      </w:r>
    </w:p>
    <w:p>
      <w:pPr>
        <w:pStyle w:val="Heading1"/>
        <w:spacing w:before="160"/>
      </w:pPr>
      <w:r>
        <w:t>5. Identité et SSO</w:t>
      </w:r>
    </w:p>
    <w:p>
      <w:r>
        <w:rPr>
          <w:b w:val="0"/>
          <w:i w:val="0"/>
        </w:rPr>
        <w:t>Keycloak porte un realm déclaratif (rôles etudiant et enseignant, politique de mot de passe, anti-bruteforce) et deux clients OIDC. Les secrets ne sont jamais versionnés : le realm est généré au déploiement à partir d'un modèle.</w:t>
      </w:r>
    </w:p>
    <w:p>
      <w:r>
        <w:rPr>
          <w:b w:val="0"/>
          <w:i w:val="0"/>
        </w:rPr>
        <w:t>Le SSO Moodle a été testé de bout en bout : bouton sur la page de connexion, redirection vers Keycloak, authentification, puis ouverture de session Moodle, sans aucun mot de passe stocké dans Moodle. Les appels HTTPS internes sont vérifiés grâce à une autorité de certification locale distribuée aux conteneurs.</w:t>
      </w:r>
    </w:p>
    <w:p>
      <w:pPr>
        <w:pStyle w:val="Heading1"/>
        <w:spacing w:before="160"/>
      </w:pPr>
      <w:r>
        <w:t>6. Intégration : de l'achat à l'accès</w:t>
      </w:r>
    </w:p>
    <w:p>
      <w:r>
        <w:rPr>
          <w:b w:val="0"/>
          <w:i w:val="0"/>
        </w:rPr>
        <w:t>Le parcours attendu est opérationnel. Drupal Commerce déclenche un webhook signé lorsqu'une commande passe à l'état « completed » ; n8n crée le compte Moodle s'il n'existe pas, puis inscrit l'apprenant au cours via l'API REST, avec un compte de service à privilèges limités (aucun accès administrateur).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495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quence-integ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9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9"/>
        </w:rPr>
        <w:t>Preuve d'exécution : commande créée pour acheteur2@cr465.test, notification n8n en HTTP 200, puis ligne d'inscription créée dans Moodle sur le cours CR465-DEMO.</w:t>
      </w:r>
    </w:p>
    <w:p>
      <w:pPr>
        <w:pStyle w:val="Heading2"/>
      </w:pPr>
      <w:r>
        <w:t>Décisions structurantes et alternatives écartées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21"/>
          </w:tcPr>
          <w:p>
            <w:r/>
            <w:r>
              <w:rPr>
                <w:b/>
                <w:sz w:val="18"/>
              </w:rPr>
              <w:t>Décision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Alternative écartée</w:t>
            </w:r>
          </w:p>
        </w:tc>
        <w:tc>
          <w:tcPr>
            <w:tcW w:type="dxa" w:w="4139"/>
          </w:tcPr>
          <w:p>
            <w:r/>
            <w:r>
              <w:rPr>
                <w:b/>
                <w:sz w:val="18"/>
              </w:rPr>
              <w:t>Raison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Docker Compose sur une VM unique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Kubernetes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Complexité hors périmètre ; Compose rend explicites réseaux et volumes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Proxy Docker filtrant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Montage direct du socket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Le socket donne un accès équivalent root ; le proxy limite à la lecture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Une base PostgreSQL, 4 bases logiques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Une base par service (4 serveurs)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Contrainte de VM unique ; le cloisonnement se fait par rôle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Répertoires dédiés par service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Serveur de fichiers partagé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Moins de surface, moins de dépendances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Certificat signé par une AC locale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Let's Encrypt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Aucun nom de domaine public ; l'AC est distribuée aux conteneurs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Module Drupal dédié pour le webhook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Module Rules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Une dépendance de moins, comportement explicite et testable</w:t>
            </w:r>
          </w:p>
        </w:tc>
      </w:tr>
    </w:tbl>
    <w:p>
      <w:pPr>
        <w:spacing w:after="40"/>
      </w:pPr>
    </w:p>
    <w:p>
      <w:pPr>
        <w:pStyle w:val="Heading1"/>
        <w:spacing w:before="160"/>
      </w:pPr>
      <w:r>
        <w:t>7. Observabilité et exploitation</w:t>
      </w:r>
    </w:p>
    <w:p>
      <w:r>
        <w:rPr>
          <w:b w:val="0"/>
          <w:i w:val="0"/>
        </w:rPr>
        <w:t>Portainer CE donne une vue graphique des conteneurs, réseaux, volumes et journaux ; il est accessible uniquement via Traefik, avec restriction par liste d'adresses IP. Traefik journalise les accès en JSON, sans les en-têtes sensibles, ce qui prépare une agrégation Loki ou Grafana.</w:t>
      </w:r>
    </w:p>
    <w:p>
      <w:r>
        <w:rPr>
          <w:b w:val="0"/>
          <w:i w:val="0"/>
        </w:rPr>
        <w:t>Un scénario de diagnostic est démontrable : l'arrêt de n8n provoque une erreur journalisée côté Drupal et l'absence d'inscription, les deux visibles dans Portainer.</w:t>
      </w:r>
    </w:p>
    <w:p>
      <w:pPr>
        <w:pStyle w:val="Heading1"/>
        <w:spacing w:before="160"/>
      </w:pPr>
      <w:r>
        <w:t>8. Limites et risques résiduels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Limite ou risque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8"/>
              </w:rPr>
              <w:t>Traitement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8"/>
              </w:rPr>
              <w:t>Paiement simulé (passerelle d'exemple)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Autorisé par l'énoncé ; aucun encaissement réel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8"/>
              </w:rPr>
              <w:t>Devise USD au lieu de CAD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Référentiel de devises non importé dans cette installation ; documenté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8"/>
              </w:rPr>
              <w:t>Aucun serveur SMTP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Échec d'envoi journalisé, sans impact sur le parcours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8"/>
              </w:rPr>
              <w:t>Certificat auto-signé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AC locale générée et distribuée ; Let's Encrypt en production</w:t>
            </w:r>
          </w:p>
        </w:tc>
      </w:tr>
    </w:tbl>
    <w:p>
      <w:pPr>
        <w:spacing w:after="40"/>
      </w:pPr>
    </w:p>
    <w:p>
      <w:pPr>
        <w:pStyle w:val="Heading1"/>
        <w:spacing w:before="160"/>
      </w:pPr>
      <w:r>
        <w:t>9. Répartition du travail et conclusion</w:t>
      </w:r>
    </w:p>
    <w:p>
      <w:r>
        <w:rPr>
          <w:b w:val="0"/>
          <w:i w:val="0"/>
        </w:rPr>
        <w:t>Le travail a été organisé par verticales, chacune rattachée à des critères de la grille : socle VM et reverse proxy, applications cœur, identité et intégrations, sécurité transversale, architecture et documentation. Les contributions sont traçables dans l'historique Git et détaillées dans le GitBook.</w:t>
      </w:r>
    </w:p>
    <w:p>
      <w:r>
        <w:rPr>
          <w:b w:val="0"/>
          <w:i w:val="0"/>
        </w:rPr>
        <w:t>Le projet atteint son objectif : une plateforme simple, reproductible et démontrable, dont chaque choix technique est justifié et dont les limites sont explicitement documentées.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