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HW2 Skiplist</w:t>
      </w:r>
      <w:bookmarkStart w:id="0" w:name="_GoBack"/>
      <w:bookmarkEnd w:id="0"/>
    </w:p>
    <w:p>
      <w:pPr>
        <w:numPr>
          <w:ilvl w:val="0"/>
          <w:numId w:val="1"/>
        </w:numPr>
        <w:rPr>
          <w:rFonts w:hint="eastAsia"/>
          <w:sz w:val="28"/>
          <w:szCs w:val="28"/>
          <w:lang w:val="en-US" w:eastAsia="zh-CN"/>
        </w:rPr>
      </w:pPr>
      <w:r>
        <w:rPr>
          <w:rFonts w:hint="eastAsia"/>
          <w:sz w:val="28"/>
          <w:szCs w:val="28"/>
          <w:lang w:val="en-US" w:eastAsia="zh-CN"/>
        </w:rPr>
        <w:t>概率p相同时，不同长度跳表的搜索路径长度均值</w:t>
      </w:r>
    </w:p>
    <w:p>
      <w:pPr>
        <w:numPr>
          <w:ilvl w:val="0"/>
          <w:numId w:val="2"/>
        </w:numPr>
        <w:rPr>
          <w:rFonts w:hint="default"/>
          <w:sz w:val="28"/>
          <w:szCs w:val="28"/>
          <w:lang w:val="en-US" w:eastAsia="zh-CN"/>
        </w:rPr>
      </w:pPr>
      <w:r>
        <w:rPr>
          <w:rFonts w:hint="eastAsia"/>
          <w:sz w:val="28"/>
          <w:szCs w:val="28"/>
          <w:lang w:val="en-US" w:eastAsia="zh-CN"/>
        </w:rPr>
        <w:t>p = 1/2</w:t>
      </w:r>
    </w:p>
    <w:tbl>
      <w:tblPr>
        <w:tblStyle w:val="7"/>
        <w:tblW w:w="0" w:type="auto"/>
        <w:tblInd w:w="-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8"/>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跳表长度</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10</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50</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100</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200</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500</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路径长度</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7.3</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11.3</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13.5</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15.9</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18.0</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20.0</w:t>
            </w:r>
          </w:p>
        </w:tc>
      </w:tr>
    </w:tbl>
    <w:p>
      <w:pPr>
        <w:numPr>
          <w:ilvl w:val="0"/>
          <w:numId w:val="0"/>
        </w:numPr>
        <w:rPr>
          <w:rFonts w:hint="default"/>
          <w:lang w:val="en-US" w:eastAsia="zh-CN"/>
        </w:rPr>
      </w:pPr>
    </w:p>
    <w:p>
      <w:pPr>
        <w:numPr>
          <w:ilvl w:val="0"/>
          <w:numId w:val="2"/>
        </w:numPr>
        <w:rPr>
          <w:rFonts w:hint="default"/>
          <w:sz w:val="28"/>
          <w:szCs w:val="28"/>
          <w:lang w:val="en-US" w:eastAsia="zh-CN"/>
        </w:rPr>
      </w:pPr>
      <w:r>
        <w:rPr>
          <w:rFonts w:hint="eastAsia"/>
          <w:sz w:val="28"/>
          <w:szCs w:val="28"/>
          <w:lang w:val="en-US" w:eastAsia="zh-CN"/>
        </w:rPr>
        <w:t>p = 1/e</w:t>
      </w:r>
    </w:p>
    <w:tbl>
      <w:tblPr>
        <w:tblStyle w:val="7"/>
        <w:tblW w:w="0" w:type="auto"/>
        <w:tblInd w:w="-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76"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跳表长度</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10</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50</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100</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200</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500</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76"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路径长度</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7.7</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10.3</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12.2</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15.9</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19.4</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17.4</w:t>
            </w:r>
          </w:p>
        </w:tc>
      </w:tr>
    </w:tbl>
    <w:p>
      <w:pPr>
        <w:numPr>
          <w:ilvl w:val="0"/>
          <w:numId w:val="0"/>
        </w:numPr>
        <w:rPr>
          <w:rFonts w:hint="default" w:asciiTheme="minorAscii" w:hAnsiTheme="minorAscii"/>
          <w:sz w:val="28"/>
          <w:szCs w:val="28"/>
          <w:lang w:val="en-US" w:eastAsia="zh-CN"/>
        </w:rPr>
      </w:pPr>
    </w:p>
    <w:p>
      <w:pPr>
        <w:numPr>
          <w:ilvl w:val="0"/>
          <w:numId w:val="2"/>
        </w:numPr>
        <w:ind w:left="0" w:leftChars="0" w:firstLine="0" w:firstLineChars="0"/>
        <w:rPr>
          <w:rFonts w:hint="default" w:ascii="Calibri" w:hAnsi="Calibri" w:cs="Calibri"/>
          <w:sz w:val="28"/>
          <w:szCs w:val="28"/>
          <w:lang w:val="en-US" w:eastAsia="zh-CN"/>
        </w:rPr>
      </w:pPr>
      <w:r>
        <w:rPr>
          <w:rFonts w:hint="eastAsia" w:ascii="Calibri" w:hAnsi="Calibri" w:cs="Calibri"/>
          <w:sz w:val="28"/>
          <w:szCs w:val="28"/>
          <w:lang w:val="en-US" w:eastAsia="zh-CN"/>
        </w:rPr>
        <w:t>p = 1/4</w:t>
      </w:r>
    </w:p>
    <w:tbl>
      <w:tblPr>
        <w:tblStyle w:val="7"/>
        <w:tblW w:w="0" w:type="auto"/>
        <w:tblInd w:w="-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跳表长度</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10</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50</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100</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200</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500</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76"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路径长度</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5.8</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10.4</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12.3</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17.5</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17.1</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19.0</w:t>
            </w:r>
          </w:p>
        </w:tc>
      </w:tr>
    </w:tbl>
    <w:p>
      <w:pPr>
        <w:numPr>
          <w:ilvl w:val="0"/>
          <w:numId w:val="0"/>
        </w:numPr>
        <w:ind w:leftChars="0"/>
        <w:rPr>
          <w:rFonts w:hint="default" w:ascii="Calibri" w:hAnsi="Calibri" w:cs="Calibri"/>
          <w:sz w:val="28"/>
          <w:szCs w:val="28"/>
          <w:lang w:val="en-US" w:eastAsia="zh-CN"/>
        </w:rPr>
      </w:pPr>
    </w:p>
    <w:p>
      <w:pPr>
        <w:numPr>
          <w:ilvl w:val="0"/>
          <w:numId w:val="2"/>
        </w:numPr>
        <w:ind w:left="0" w:leftChars="0" w:firstLine="0" w:firstLineChars="0"/>
        <w:rPr>
          <w:rFonts w:hint="default" w:ascii="Calibri" w:hAnsi="Calibri" w:cs="Calibri"/>
          <w:sz w:val="28"/>
          <w:szCs w:val="28"/>
          <w:lang w:val="en-US" w:eastAsia="zh-CN"/>
        </w:rPr>
      </w:pPr>
      <w:r>
        <w:rPr>
          <w:rFonts w:hint="eastAsia" w:ascii="Calibri" w:hAnsi="Calibri" w:cs="Calibri"/>
          <w:sz w:val="28"/>
          <w:szCs w:val="28"/>
          <w:lang w:val="en-US" w:eastAsia="zh-CN"/>
        </w:rPr>
        <w:t>p = 1/8</w:t>
      </w:r>
    </w:p>
    <w:tbl>
      <w:tblPr>
        <w:tblStyle w:val="7"/>
        <w:tblW w:w="0" w:type="auto"/>
        <w:tblInd w:w="-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76"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跳表长度</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10</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50</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100</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200</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500</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76"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路径长度</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6.7</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11.6</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14.1</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17.7</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18.8</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24.2</w:t>
            </w:r>
          </w:p>
        </w:tc>
      </w:tr>
    </w:tbl>
    <w:p>
      <w:pPr>
        <w:numPr>
          <w:ilvl w:val="0"/>
          <w:numId w:val="0"/>
        </w:numPr>
        <w:ind w:leftChars="0"/>
        <w:rPr>
          <w:rFonts w:hint="default" w:ascii="Calibri" w:hAnsi="Calibri" w:cs="Calibri"/>
          <w:sz w:val="28"/>
          <w:szCs w:val="28"/>
          <w:lang w:val="en-US" w:eastAsia="zh-CN"/>
        </w:rPr>
      </w:pPr>
    </w:p>
    <w:p>
      <w:pPr>
        <w:numPr>
          <w:ilvl w:val="0"/>
          <w:numId w:val="2"/>
        </w:numPr>
        <w:ind w:left="0" w:leftChars="0" w:firstLine="0" w:firstLineChars="0"/>
        <w:rPr>
          <w:rFonts w:hint="default"/>
          <w:sz w:val="28"/>
          <w:szCs w:val="28"/>
          <w:lang w:val="en-US" w:eastAsia="zh-CN"/>
        </w:rPr>
      </w:pPr>
      <w:r>
        <w:rPr>
          <w:rFonts w:hint="eastAsia"/>
          <w:sz w:val="28"/>
          <w:szCs w:val="28"/>
          <w:lang w:val="en-US" w:eastAsia="zh-CN"/>
        </w:rPr>
        <w:t>p = 1/16</w:t>
      </w:r>
    </w:p>
    <w:tbl>
      <w:tblPr>
        <w:tblStyle w:val="7"/>
        <w:tblW w:w="0" w:type="auto"/>
        <w:tblInd w:w="-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跳表长度</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10</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50</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100</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200</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500</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76"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路径长度</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6.5</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11.4</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14.9</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18.1</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23.4</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26.5</w:t>
            </w:r>
          </w:p>
        </w:tc>
      </w:tr>
    </w:tbl>
    <w:p>
      <w:pPr>
        <w:numPr>
          <w:ilvl w:val="0"/>
          <w:numId w:val="0"/>
        </w:numPr>
        <w:ind w:leftChars="0"/>
        <w:rPr>
          <w:rFonts w:hint="default"/>
          <w:sz w:val="28"/>
          <w:szCs w:val="28"/>
          <w:lang w:val="en-US" w:eastAsia="zh-CN"/>
        </w:rPr>
      </w:pP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跳表长度相同时，不同概率p跳表的搜索路径长度均值</w:t>
      </w:r>
    </w:p>
    <w:p>
      <w:pPr>
        <w:numPr>
          <w:ilvl w:val="0"/>
          <w:numId w:val="3"/>
        </w:numPr>
        <w:ind w:leftChars="0"/>
        <w:rPr>
          <w:rFonts w:hint="default" w:ascii="Calibri" w:hAnsi="Calibri" w:cs="Calibri"/>
          <w:sz w:val="28"/>
          <w:szCs w:val="28"/>
          <w:lang w:val="en-US" w:eastAsia="zh-CN"/>
        </w:rPr>
      </w:pPr>
      <w:r>
        <w:rPr>
          <w:rFonts w:hint="eastAsia" w:ascii="Calibri" w:hAnsi="Calibri" w:cs="Calibri"/>
          <w:sz w:val="28"/>
          <w:szCs w:val="28"/>
          <w:lang w:val="en-US" w:eastAsia="zh-CN"/>
        </w:rPr>
        <w:t>n = 10</w:t>
      </w:r>
    </w:p>
    <w:tbl>
      <w:tblPr>
        <w:tblStyle w:val="7"/>
        <w:tblpPr w:leftFromText="180" w:rightFromText="180" w:vertAnchor="text" w:horzAnchor="page" w:tblpX="1999" w:tblpY="5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1217"/>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概率p</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1/2</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1/e</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1/4</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1/8</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76"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路径长度</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7.8</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7.7</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5.9</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6.7</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6.5</w:t>
            </w:r>
          </w:p>
        </w:tc>
      </w:tr>
    </w:tbl>
    <w:p>
      <w:pPr>
        <w:numPr>
          <w:ilvl w:val="0"/>
          <w:numId w:val="0"/>
        </w:numPr>
        <w:rPr>
          <w:rFonts w:hint="default" w:ascii="Calibri" w:hAnsi="Calibri" w:cs="Calibri"/>
          <w:sz w:val="28"/>
          <w:szCs w:val="28"/>
          <w:lang w:val="en-US" w:eastAsia="zh-CN"/>
        </w:rPr>
      </w:pPr>
    </w:p>
    <w:p>
      <w:pPr>
        <w:numPr>
          <w:ilvl w:val="0"/>
          <w:numId w:val="3"/>
        </w:numPr>
        <w:ind w:left="0" w:leftChars="0" w:firstLine="0" w:firstLineChars="0"/>
        <w:rPr>
          <w:rFonts w:hint="default" w:ascii="Calibri" w:hAnsi="Calibri" w:cs="Calibri"/>
          <w:sz w:val="28"/>
          <w:szCs w:val="28"/>
          <w:lang w:val="en-US" w:eastAsia="zh-CN"/>
        </w:rPr>
      </w:pPr>
      <w:r>
        <w:rPr>
          <w:rFonts w:hint="eastAsia" w:ascii="Calibri" w:hAnsi="Calibri" w:cs="Calibri"/>
          <w:sz w:val="28"/>
          <w:szCs w:val="28"/>
          <w:lang w:val="en-US" w:eastAsia="zh-CN"/>
        </w:rPr>
        <w:t>n = 50</w:t>
      </w:r>
    </w:p>
    <w:tbl>
      <w:tblPr>
        <w:tblStyle w:val="7"/>
        <w:tblpPr w:leftFromText="180" w:rightFromText="180" w:vertAnchor="text" w:horzAnchor="page" w:tblpX="1999" w:tblpY="5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1217"/>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概率p</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1/2</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1/e</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1/4</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1/8</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76"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路径长度</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11.3</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10.3</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10.5</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11.6</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11.4</w:t>
            </w:r>
          </w:p>
        </w:tc>
      </w:tr>
    </w:tbl>
    <w:p>
      <w:pPr>
        <w:numPr>
          <w:ilvl w:val="0"/>
          <w:numId w:val="0"/>
        </w:numPr>
        <w:ind w:leftChars="0"/>
        <w:rPr>
          <w:rFonts w:hint="default" w:ascii="Calibri" w:hAnsi="Calibri" w:cs="Calibri"/>
          <w:sz w:val="28"/>
          <w:szCs w:val="28"/>
          <w:lang w:val="en-US" w:eastAsia="zh-CN"/>
        </w:rPr>
      </w:pPr>
    </w:p>
    <w:p>
      <w:pPr>
        <w:numPr>
          <w:ilvl w:val="0"/>
          <w:numId w:val="3"/>
        </w:numPr>
        <w:ind w:left="0" w:leftChars="0" w:firstLine="0" w:firstLineChars="0"/>
        <w:rPr>
          <w:rFonts w:hint="default" w:ascii="Calibri" w:hAnsi="Calibri" w:cs="Calibri"/>
          <w:sz w:val="28"/>
          <w:szCs w:val="28"/>
          <w:lang w:val="en-US" w:eastAsia="zh-CN"/>
        </w:rPr>
      </w:pPr>
      <w:r>
        <w:rPr>
          <w:rFonts w:hint="eastAsia" w:ascii="Calibri" w:hAnsi="Calibri" w:cs="Calibri"/>
          <w:sz w:val="28"/>
          <w:szCs w:val="28"/>
          <w:lang w:val="en-US" w:eastAsia="zh-CN"/>
        </w:rPr>
        <w:t>n = 100</w:t>
      </w:r>
    </w:p>
    <w:tbl>
      <w:tblPr>
        <w:tblStyle w:val="7"/>
        <w:tblpPr w:leftFromText="180" w:rightFromText="180" w:vertAnchor="text" w:horzAnchor="page" w:tblpX="1999" w:tblpY="5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1217"/>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概率p</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1/2</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1/e</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1/4</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1/8</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76"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路径长度</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13.5</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12.3</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12.3</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14.1</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14.9</w:t>
            </w:r>
          </w:p>
        </w:tc>
      </w:tr>
    </w:tbl>
    <w:p>
      <w:pPr>
        <w:numPr>
          <w:ilvl w:val="0"/>
          <w:numId w:val="0"/>
        </w:numPr>
        <w:ind w:leftChars="0"/>
        <w:rPr>
          <w:rFonts w:hint="default" w:ascii="Calibri" w:hAnsi="Calibri" w:cs="Calibri"/>
          <w:sz w:val="28"/>
          <w:szCs w:val="28"/>
          <w:lang w:val="en-US" w:eastAsia="zh-CN"/>
        </w:rPr>
      </w:pPr>
    </w:p>
    <w:p>
      <w:pPr>
        <w:numPr>
          <w:ilvl w:val="0"/>
          <w:numId w:val="3"/>
        </w:numPr>
        <w:ind w:left="0" w:leftChars="0" w:firstLine="0" w:firstLineChars="0"/>
        <w:rPr>
          <w:rFonts w:hint="default" w:ascii="Calibri" w:hAnsi="Calibri" w:cs="Calibri"/>
          <w:sz w:val="28"/>
          <w:szCs w:val="28"/>
          <w:lang w:val="en-US" w:eastAsia="zh-CN"/>
        </w:rPr>
      </w:pPr>
      <w:r>
        <w:rPr>
          <w:rFonts w:hint="eastAsia" w:ascii="Calibri" w:hAnsi="Calibri" w:cs="Calibri"/>
          <w:sz w:val="28"/>
          <w:szCs w:val="28"/>
          <w:lang w:val="en-US" w:eastAsia="zh-CN"/>
        </w:rPr>
        <w:t>n = 200</w:t>
      </w:r>
    </w:p>
    <w:tbl>
      <w:tblPr>
        <w:tblStyle w:val="7"/>
        <w:tblpPr w:leftFromText="180" w:rightFromText="180" w:vertAnchor="text" w:horzAnchor="page" w:tblpX="1999" w:tblpY="5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1217"/>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概率p</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1/2</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1/e</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1/4</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1/8</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76"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路径长度</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15.9</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15.9</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17.4</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17.8</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18.1</w:t>
            </w:r>
          </w:p>
        </w:tc>
      </w:tr>
    </w:tbl>
    <w:p>
      <w:pPr>
        <w:numPr>
          <w:ilvl w:val="0"/>
          <w:numId w:val="0"/>
        </w:numPr>
        <w:ind w:leftChars="0"/>
        <w:rPr>
          <w:rFonts w:hint="default" w:ascii="Calibri" w:hAnsi="Calibri" w:cs="Calibri"/>
          <w:sz w:val="28"/>
          <w:szCs w:val="28"/>
          <w:lang w:val="en-US" w:eastAsia="zh-CN"/>
        </w:rPr>
      </w:pPr>
    </w:p>
    <w:p>
      <w:pPr>
        <w:numPr>
          <w:ilvl w:val="0"/>
          <w:numId w:val="3"/>
        </w:numPr>
        <w:ind w:left="0" w:leftChars="0" w:firstLine="0" w:firstLineChars="0"/>
        <w:rPr>
          <w:rFonts w:hint="default" w:ascii="Calibri" w:hAnsi="Calibri" w:cs="Calibri"/>
          <w:sz w:val="28"/>
          <w:szCs w:val="28"/>
          <w:lang w:val="en-US" w:eastAsia="zh-CN"/>
        </w:rPr>
      </w:pPr>
      <w:r>
        <w:rPr>
          <w:rFonts w:hint="eastAsia" w:ascii="Calibri" w:hAnsi="Calibri" w:cs="Calibri"/>
          <w:sz w:val="28"/>
          <w:szCs w:val="28"/>
          <w:lang w:val="en-US" w:eastAsia="zh-CN"/>
        </w:rPr>
        <w:t>n = 500</w:t>
      </w:r>
    </w:p>
    <w:tbl>
      <w:tblPr>
        <w:tblStyle w:val="7"/>
        <w:tblpPr w:leftFromText="180" w:rightFromText="180" w:vertAnchor="text" w:horzAnchor="page" w:tblpX="1999" w:tblpY="5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1217"/>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概率p</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1/2</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1/e</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1/4</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1/8</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76"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路径长度</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17.9</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 xml:space="preserve">18.9 </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17.2</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18.8</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23.3</w:t>
            </w:r>
          </w:p>
        </w:tc>
      </w:tr>
    </w:tbl>
    <w:p>
      <w:pPr>
        <w:numPr>
          <w:ilvl w:val="0"/>
          <w:numId w:val="0"/>
        </w:numPr>
        <w:ind w:leftChars="0"/>
        <w:rPr>
          <w:rFonts w:hint="default" w:ascii="Calibri" w:hAnsi="Calibri" w:cs="Calibri"/>
          <w:sz w:val="28"/>
          <w:szCs w:val="28"/>
          <w:lang w:val="en-US" w:eastAsia="zh-CN"/>
        </w:rPr>
      </w:pPr>
    </w:p>
    <w:p>
      <w:pPr>
        <w:numPr>
          <w:ilvl w:val="0"/>
          <w:numId w:val="3"/>
        </w:numPr>
        <w:ind w:left="0" w:leftChars="0" w:firstLine="0" w:firstLineChars="0"/>
        <w:rPr>
          <w:rFonts w:hint="default" w:ascii="Calibri" w:hAnsi="Calibri" w:cs="Calibri"/>
          <w:sz w:val="28"/>
          <w:szCs w:val="28"/>
          <w:lang w:val="en-US" w:eastAsia="zh-CN"/>
        </w:rPr>
      </w:pPr>
      <w:r>
        <w:rPr>
          <w:rFonts w:hint="eastAsia" w:ascii="Calibri" w:hAnsi="Calibri" w:cs="Calibri"/>
          <w:sz w:val="28"/>
          <w:szCs w:val="28"/>
          <w:lang w:val="en-US" w:eastAsia="zh-CN"/>
        </w:rPr>
        <w:t>n = 1000</w:t>
      </w:r>
    </w:p>
    <w:tbl>
      <w:tblPr>
        <w:tblStyle w:val="7"/>
        <w:tblpPr w:leftFromText="180" w:rightFromText="180" w:vertAnchor="text" w:horzAnchor="page" w:tblpX="1999" w:tblpY="5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1217"/>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概率p</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1/2</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1/e</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1/4</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1/8</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76"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路径长度</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19.9</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17.4</w:t>
            </w:r>
          </w:p>
        </w:tc>
        <w:tc>
          <w:tcPr>
            <w:tcW w:w="121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19.0</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24.2</w:t>
            </w:r>
          </w:p>
        </w:tc>
        <w:tc>
          <w:tcPr>
            <w:tcW w:w="1218"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26.4</w:t>
            </w:r>
          </w:p>
        </w:tc>
      </w:tr>
    </w:tbl>
    <w:p>
      <w:pPr>
        <w:numPr>
          <w:ilvl w:val="0"/>
          <w:numId w:val="0"/>
        </w:numPr>
        <w:ind w:leftChars="0"/>
        <w:rPr>
          <w:rFonts w:hint="default" w:ascii="Calibri" w:hAnsi="Calibri" w:cs="Calibri"/>
          <w:sz w:val="28"/>
          <w:szCs w:val="28"/>
          <w:lang w:val="en-US" w:eastAsia="zh-CN"/>
        </w:rPr>
      </w:pPr>
    </w:p>
    <w:p>
      <w:pPr>
        <w:pStyle w:val="5"/>
        <w:keepNext w:val="0"/>
        <w:keepLines w:val="0"/>
        <w:widowControl/>
        <w:suppressLineNumbers w:val="0"/>
        <w:spacing w:before="0" w:beforeAutospacing="0" w:after="0" w:afterAutospacing="0"/>
        <w:ind w:left="0" w:right="0" w:firstLine="0"/>
        <w:rPr>
          <w:rFonts w:hint="eastAsia" w:ascii="Calibri" w:hAnsi="Calibri" w:cs="Calibri"/>
          <w:sz w:val="28"/>
          <w:szCs w:val="28"/>
          <w:lang w:val="en-US" w:eastAsia="zh-CN"/>
        </w:rPr>
      </w:pPr>
      <w:r>
        <w:rPr>
          <w:rFonts w:hint="eastAsia" w:ascii="Calibri" w:hAnsi="Calibri" w:cs="Calibri"/>
          <w:sz w:val="28"/>
          <w:szCs w:val="28"/>
          <w:lang w:val="en-US" w:eastAsia="zh-CN"/>
        </w:rPr>
        <w:t>计算得理论值</w:t>
      </w:r>
    </w:p>
    <w:tbl>
      <w:tblPr>
        <w:tblStyle w:val="7"/>
        <w:tblpPr w:leftFromText="180" w:rightFromText="180" w:vertAnchor="text" w:horzAnchor="page" w:tblpX="1423" w:tblpY="4"/>
        <w:tblOverlap w:val="never"/>
        <w:tblW w:w="96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4"/>
        <w:gridCol w:w="1217"/>
        <w:gridCol w:w="1217"/>
        <w:gridCol w:w="1217"/>
        <w:gridCol w:w="1218"/>
        <w:gridCol w:w="1218"/>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4"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跳表长度/概率p</w:t>
            </w:r>
          </w:p>
        </w:tc>
        <w:tc>
          <w:tcPr>
            <w:tcW w:w="1217"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10</w:t>
            </w:r>
          </w:p>
        </w:tc>
        <w:tc>
          <w:tcPr>
            <w:tcW w:w="1217"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50</w:t>
            </w:r>
          </w:p>
        </w:tc>
        <w:tc>
          <w:tcPr>
            <w:tcW w:w="1217"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100</w:t>
            </w:r>
          </w:p>
        </w:tc>
        <w:tc>
          <w:tcPr>
            <w:tcW w:w="1218"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200</w:t>
            </w:r>
          </w:p>
        </w:tc>
        <w:tc>
          <w:tcPr>
            <w:tcW w:w="1218"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500</w:t>
            </w:r>
          </w:p>
        </w:tc>
        <w:tc>
          <w:tcPr>
            <w:tcW w:w="1193"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4"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1/2</w:t>
            </w:r>
          </w:p>
        </w:tc>
        <w:tc>
          <w:tcPr>
            <w:tcW w:w="1217"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6.6</w:t>
            </w:r>
          </w:p>
        </w:tc>
        <w:tc>
          <w:tcPr>
            <w:tcW w:w="1217"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11.2</w:t>
            </w:r>
          </w:p>
        </w:tc>
        <w:tc>
          <w:tcPr>
            <w:tcW w:w="1217"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13.2</w:t>
            </w:r>
          </w:p>
        </w:tc>
        <w:tc>
          <w:tcPr>
            <w:tcW w:w="1218"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15.2</w:t>
            </w:r>
          </w:p>
        </w:tc>
        <w:tc>
          <w:tcPr>
            <w:tcW w:w="1218"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17.9</w:t>
            </w:r>
          </w:p>
        </w:tc>
        <w:tc>
          <w:tcPr>
            <w:tcW w:w="1193"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4"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1/e</w:t>
            </w:r>
          </w:p>
        </w:tc>
        <w:tc>
          <w:tcPr>
            <w:tcW w:w="1217"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6.3</w:t>
            </w:r>
          </w:p>
        </w:tc>
        <w:tc>
          <w:tcPr>
            <w:tcW w:w="1217"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10.6</w:t>
            </w:r>
          </w:p>
        </w:tc>
        <w:tc>
          <w:tcPr>
            <w:tcW w:w="1217"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12.5</w:t>
            </w:r>
          </w:p>
        </w:tc>
        <w:tc>
          <w:tcPr>
            <w:tcW w:w="1218"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14.4</w:t>
            </w:r>
          </w:p>
        </w:tc>
        <w:tc>
          <w:tcPr>
            <w:tcW w:w="1218"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16.9</w:t>
            </w:r>
          </w:p>
        </w:tc>
        <w:tc>
          <w:tcPr>
            <w:tcW w:w="1193"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4"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1/4</w:t>
            </w:r>
          </w:p>
        </w:tc>
        <w:tc>
          <w:tcPr>
            <w:tcW w:w="1217"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6.6</w:t>
            </w:r>
          </w:p>
        </w:tc>
        <w:tc>
          <w:tcPr>
            <w:tcW w:w="1217"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11.2</w:t>
            </w:r>
          </w:p>
        </w:tc>
        <w:tc>
          <w:tcPr>
            <w:tcW w:w="1217"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13.2</w:t>
            </w:r>
          </w:p>
        </w:tc>
        <w:tc>
          <w:tcPr>
            <w:tcW w:w="1218"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15.2</w:t>
            </w:r>
          </w:p>
        </w:tc>
        <w:tc>
          <w:tcPr>
            <w:tcW w:w="1218"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17.9</w:t>
            </w:r>
          </w:p>
        </w:tc>
        <w:tc>
          <w:tcPr>
            <w:tcW w:w="1193"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4"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1/8</w:t>
            </w:r>
          </w:p>
        </w:tc>
        <w:tc>
          <w:tcPr>
            <w:tcW w:w="1217"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8.8</w:t>
            </w:r>
          </w:p>
        </w:tc>
        <w:tc>
          <w:tcPr>
            <w:tcW w:w="1217"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15.0</w:t>
            </w:r>
          </w:p>
        </w:tc>
        <w:tc>
          <w:tcPr>
            <w:tcW w:w="1217"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17.7</w:t>
            </w:r>
          </w:p>
        </w:tc>
        <w:tc>
          <w:tcPr>
            <w:tcW w:w="1218"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20.3</w:t>
            </w:r>
          </w:p>
        </w:tc>
        <w:tc>
          <w:tcPr>
            <w:tcW w:w="1218"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23.9</w:t>
            </w:r>
          </w:p>
        </w:tc>
        <w:tc>
          <w:tcPr>
            <w:tcW w:w="1193"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26.5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4"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1/16</w:t>
            </w:r>
          </w:p>
        </w:tc>
        <w:tc>
          <w:tcPr>
            <w:tcW w:w="1217"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13.8</w:t>
            </w:r>
          </w:p>
        </w:tc>
        <w:tc>
          <w:tcPr>
            <w:tcW w:w="1217"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22.5</w:t>
            </w:r>
          </w:p>
        </w:tc>
        <w:tc>
          <w:tcPr>
            <w:tcW w:w="1217"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26.5</w:t>
            </w:r>
          </w:p>
        </w:tc>
        <w:tc>
          <w:tcPr>
            <w:tcW w:w="1218"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30.5</w:t>
            </w:r>
          </w:p>
        </w:tc>
        <w:tc>
          <w:tcPr>
            <w:tcW w:w="1218"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35.8</w:t>
            </w:r>
          </w:p>
        </w:tc>
        <w:tc>
          <w:tcPr>
            <w:tcW w:w="1193" w:type="dxa"/>
          </w:tcPr>
          <w:p>
            <w:pPr>
              <w:pStyle w:val="5"/>
              <w:keepNext w:val="0"/>
              <w:keepLines w:val="0"/>
              <w:widowControl/>
              <w:suppressLineNumbers w:val="0"/>
              <w:spacing w:before="0" w:beforeAutospacing="0" w:after="0" w:afterAutospacing="0"/>
              <w:ind w:right="0"/>
              <w:rPr>
                <w:rFonts w:hint="default" w:ascii="Calibri" w:hAnsi="Calibri" w:cs="Calibri"/>
                <w:sz w:val="28"/>
                <w:szCs w:val="28"/>
                <w:vertAlign w:val="baseline"/>
                <w:lang w:val="en-US" w:eastAsia="zh-CN"/>
              </w:rPr>
            </w:pPr>
            <w:r>
              <w:rPr>
                <w:rFonts w:hint="eastAsia" w:ascii="Calibri" w:hAnsi="Calibri" w:cs="Calibri"/>
                <w:sz w:val="28"/>
                <w:szCs w:val="28"/>
                <w:vertAlign w:val="baseline"/>
                <w:lang w:val="en-US" w:eastAsia="zh-CN"/>
              </w:rPr>
              <w:t>39.8</w:t>
            </w:r>
          </w:p>
        </w:tc>
      </w:tr>
    </w:tbl>
    <w:p>
      <w:pPr>
        <w:pStyle w:val="5"/>
        <w:keepNext w:val="0"/>
        <w:keepLines w:val="0"/>
        <w:widowControl/>
        <w:suppressLineNumbers w:val="0"/>
        <w:spacing w:before="0" w:beforeAutospacing="0" w:after="0" w:afterAutospacing="0"/>
        <w:ind w:left="0" w:right="0" w:firstLine="0"/>
        <w:rPr>
          <w:rFonts w:hint="default" w:ascii="Calibri" w:hAnsi="Calibri" w:cs="Calibri"/>
          <w:lang w:val="en-US" w:eastAsia="zh-CN"/>
        </w:rPr>
      </w:pP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r>
        <w:rPr>
          <w:rFonts w:hint="eastAsia" w:ascii="Calibri" w:hAnsi="Calibri" w:cs="Calibri"/>
          <w:sz w:val="28"/>
          <w:szCs w:val="28"/>
          <w:lang w:val="en-US" w:eastAsia="zh-CN"/>
        </w:rPr>
        <w:t>作图见下页</w:t>
      </w: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r>
        <w:rPr>
          <w:rFonts w:hint="eastAsia" w:ascii="Calibri" w:hAnsi="Calibri" w:cs="Calibri"/>
          <w:sz w:val="28"/>
          <w:szCs w:val="28"/>
          <w:lang w:val="en-US" w:eastAsia="zh-CN"/>
        </w:rPr>
        <w:t>图1 概率p相同，不同跳表长度的平均搜索路径长度折线图</w:t>
      </w: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r>
        <w:rPr>
          <w:rFonts w:hint="default" w:ascii="Calibri" w:hAnsi="Calibri" w:cs="Calibri"/>
          <w:sz w:val="28"/>
          <w:szCs w:val="28"/>
          <w:lang w:val="en-US" w:eastAsia="zh-CN"/>
        </w:rPr>
        <w:drawing>
          <wp:inline distT="0" distB="0" distL="114300" distR="114300">
            <wp:extent cx="6046470" cy="4275455"/>
            <wp:effectExtent l="0" t="0" r="3810" b="6985"/>
            <wp:docPr id="1" name="图片 1" descr="hw2 1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w2 1_00"/>
                    <pic:cNvPicPr>
                      <a:picLocks noChangeAspect="1"/>
                    </pic:cNvPicPr>
                  </pic:nvPicPr>
                  <pic:blipFill>
                    <a:blip r:embed="rId4"/>
                    <a:stretch>
                      <a:fillRect/>
                    </a:stretch>
                  </pic:blipFill>
                  <pic:spPr>
                    <a:xfrm>
                      <a:off x="0" y="0"/>
                      <a:ext cx="6046470" cy="4275455"/>
                    </a:xfrm>
                    <a:prstGeom prst="rect">
                      <a:avLst/>
                    </a:prstGeom>
                  </pic:spPr>
                </pic:pic>
              </a:graphicData>
            </a:graphic>
          </wp:inline>
        </w:drawing>
      </w: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r>
        <w:rPr>
          <w:rFonts w:hint="eastAsia" w:ascii="Calibri" w:hAnsi="Calibri" w:cs="Calibri"/>
          <w:sz w:val="28"/>
          <w:szCs w:val="28"/>
          <w:lang w:val="en-US" w:eastAsia="zh-CN"/>
        </w:rPr>
        <w:tab/>
      </w:r>
      <w:r>
        <w:rPr>
          <w:rFonts w:hint="eastAsia" w:ascii="Calibri" w:hAnsi="Calibri" w:cs="Calibri"/>
          <w:sz w:val="28"/>
          <w:szCs w:val="28"/>
          <w:lang w:val="en-US" w:eastAsia="zh-CN"/>
        </w:rPr>
        <w:t>由折线图和实验数据与理论数据的比较可知，实验所得的平均搜索路径长度普遍小于理论计算出的平均搜索路径长度，而增长趋势和不同跳表长度下平均搜索路径长度的相对关系基本相同，可认为其符合理论情况。在n=500，p=1/e处的数据较为反常，推测可能是跳表MaxLevel的设置有所不当引起的。</w:t>
      </w: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r>
        <w:rPr>
          <w:rFonts w:hint="eastAsia" w:ascii="Calibri" w:hAnsi="Calibri" w:cs="Calibri"/>
          <w:sz w:val="28"/>
          <w:szCs w:val="28"/>
          <w:lang w:val="en-US" w:eastAsia="zh-CN"/>
        </w:rPr>
        <w:t>图2 跳表长度相同，不同概率p的平均搜索路径长度折线图</w:t>
      </w: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r>
        <w:rPr>
          <w:rFonts w:hint="default" w:ascii="Calibri" w:hAnsi="Calibri" w:cs="Calibri"/>
          <w:sz w:val="28"/>
          <w:szCs w:val="28"/>
          <w:lang w:val="en-US" w:eastAsia="zh-CN"/>
        </w:rPr>
        <w:drawing>
          <wp:inline distT="0" distB="0" distL="114300" distR="114300">
            <wp:extent cx="6115685" cy="4324985"/>
            <wp:effectExtent l="0" t="0" r="10795" b="3175"/>
            <wp:docPr id="2" name="图片 2" descr="hw2 2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w2 2_00"/>
                    <pic:cNvPicPr>
                      <a:picLocks noChangeAspect="1"/>
                    </pic:cNvPicPr>
                  </pic:nvPicPr>
                  <pic:blipFill>
                    <a:blip r:embed="rId5"/>
                    <a:stretch>
                      <a:fillRect/>
                    </a:stretch>
                  </pic:blipFill>
                  <pic:spPr>
                    <a:xfrm>
                      <a:off x="0" y="0"/>
                      <a:ext cx="6115685" cy="4324985"/>
                    </a:xfrm>
                    <a:prstGeom prst="rect">
                      <a:avLst/>
                    </a:prstGeom>
                  </pic:spPr>
                </pic:pic>
              </a:graphicData>
            </a:graphic>
          </wp:inline>
        </w:drawing>
      </w: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p>
    <w:p>
      <w:pPr>
        <w:pStyle w:val="5"/>
        <w:keepNext w:val="0"/>
        <w:keepLines w:val="0"/>
        <w:widowControl/>
        <w:suppressLineNumbers w:val="0"/>
        <w:spacing w:before="0" w:beforeAutospacing="0" w:after="0" w:afterAutospacing="0"/>
        <w:ind w:left="0" w:right="0" w:firstLine="0"/>
        <w:rPr>
          <w:rFonts w:hint="eastAsia" w:ascii="Calibri" w:hAnsi="Calibri" w:cs="Calibri"/>
          <w:sz w:val="28"/>
          <w:szCs w:val="28"/>
          <w:lang w:val="en-US" w:eastAsia="zh-CN"/>
        </w:rPr>
      </w:pPr>
    </w:p>
    <w:p>
      <w:pPr>
        <w:pStyle w:val="5"/>
        <w:keepNext w:val="0"/>
        <w:keepLines w:val="0"/>
        <w:widowControl/>
        <w:suppressLineNumbers w:val="0"/>
        <w:spacing w:before="0" w:beforeAutospacing="0" w:after="0" w:afterAutospacing="0"/>
        <w:ind w:left="0" w:right="0" w:firstLine="0"/>
        <w:rPr>
          <w:rFonts w:hint="default" w:ascii="Calibri" w:hAnsi="Calibri" w:cs="Calibri"/>
          <w:sz w:val="28"/>
          <w:szCs w:val="28"/>
          <w:lang w:val="en-US" w:eastAsia="zh-CN"/>
        </w:rPr>
      </w:pPr>
    </w:p>
    <w:p>
      <w:pPr>
        <w:numPr>
          <w:ilvl w:val="0"/>
          <w:numId w:val="0"/>
        </w:numPr>
        <w:rPr>
          <w:rFonts w:hint="default" w:ascii="Calibri" w:hAnsi="Calibri" w:cs="Calibr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1755CE"/>
    <w:multiLevelType w:val="singleLevel"/>
    <w:tmpl w:val="3A1755CE"/>
    <w:lvl w:ilvl="0" w:tentative="0">
      <w:start w:val="1"/>
      <w:numFmt w:val="decimal"/>
      <w:lvlText w:val="%1."/>
      <w:lvlJc w:val="left"/>
      <w:pPr>
        <w:tabs>
          <w:tab w:val="left" w:pos="312"/>
        </w:tabs>
      </w:pPr>
    </w:lvl>
  </w:abstractNum>
  <w:abstractNum w:abstractNumId="1">
    <w:nsid w:val="6083F54D"/>
    <w:multiLevelType w:val="singleLevel"/>
    <w:tmpl w:val="6083F54D"/>
    <w:lvl w:ilvl="0" w:tentative="0">
      <w:start w:val="1"/>
      <w:numFmt w:val="decimal"/>
      <w:suff w:val="space"/>
      <w:lvlText w:val="(%1)"/>
      <w:lvlJc w:val="left"/>
    </w:lvl>
  </w:abstractNum>
  <w:abstractNum w:abstractNumId="2">
    <w:nsid w:val="7AC783BF"/>
    <w:multiLevelType w:val="singleLevel"/>
    <w:tmpl w:val="7AC783BF"/>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CF77DF"/>
    <w:rsid w:val="30CF77DF"/>
    <w:rsid w:val="4D29186B"/>
    <w:rsid w:val="7AF90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2022-03-10T08:38:00Z</dcterms:created>
  <dc:creator>Be the best of myself</dc:creator>
  <cp:lastModifiedBy>Be the best of myself</cp:lastModifiedBy>
  <dcterms:modified xsi:type="dcterms:W3CDTF">2022-03-14T11:41:29Z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F28DADF1E24241A69715A319DD63B9B2</vt:lpwstr>
  </property>
</Properties>
</file>