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19C4" w14:textId="77777777" w:rsidR="00072B5C" w:rsidRDefault="00000000">
      <w:pPr>
        <w:pStyle w:val="a8"/>
      </w:pPr>
      <w:r>
        <w:t>DAPRE Validation Workflow</w:t>
      </w:r>
    </w:p>
    <w:p w14:paraId="4C781E16" w14:textId="77777777" w:rsidR="00072B5C" w:rsidRDefault="00000000">
      <w:pPr>
        <w:pStyle w:val="1"/>
      </w:pPr>
      <w:r>
        <w:t>DAPRE: Substance Validation Workflow</w:t>
      </w:r>
    </w:p>
    <w:p w14:paraId="37272070" w14:textId="77777777" w:rsidR="00072B5C" w:rsidRDefault="00000000">
      <w:pPr>
        <w:pStyle w:val="21"/>
      </w:pPr>
      <w:r>
        <w:t>1. Overview</w:t>
      </w:r>
    </w:p>
    <w:p w14:paraId="7314387C" w14:textId="77777777" w:rsidR="00072B5C" w:rsidRDefault="00000000">
      <w:r>
        <w:t>DAPRE (Deep Affinity Prediction &amp; Rigorous Evaluation) is the validation engine for SmartDTI's generative outputs. It ensures that every proposed lead compound undergoes a "Gold Standard" verification before wet-lab synthesis.</w:t>
      </w:r>
    </w:p>
    <w:p w14:paraId="69C7D80B" w14:textId="77777777" w:rsidR="00072B5C" w:rsidRDefault="00000000">
      <w:pPr>
        <w:pStyle w:val="21"/>
      </w:pPr>
      <w:r>
        <w:t>2. Integrated Validation Pipeline</w:t>
      </w:r>
    </w:p>
    <w:p w14:paraId="32B80686" w14:textId="77777777" w:rsidR="00072B5C" w:rsidRDefault="00000000">
      <w:pPr>
        <w:pStyle w:val="31"/>
      </w:pPr>
      <w:r>
        <w:t>Step 1: High-Precision Docking (Schrödinger Suite)</w:t>
      </w:r>
    </w:p>
    <w:p w14:paraId="58DF0511" w14:textId="1DDAA4D1" w:rsidR="00072B5C" w:rsidRDefault="00AC6E2A">
      <w:pPr>
        <w:pStyle w:val="a0"/>
      </w:pPr>
      <w:r w:rsidRPr="00AC6E2A">
        <w:rPr>
          <w:b/>
        </w:rPr>
        <w:t>Tool</w:t>
      </w:r>
      <w:r w:rsidR="00000000">
        <w:t>: Glide (XP - Extra Precision).</w:t>
      </w:r>
    </w:p>
    <w:p w14:paraId="7ED23477" w14:textId="6C9CDA5F" w:rsidR="00072B5C" w:rsidRDefault="00AC6E2A">
      <w:pPr>
        <w:pStyle w:val="a0"/>
      </w:pPr>
      <w:r w:rsidRPr="00AC6E2A">
        <w:rPr>
          <w:b/>
        </w:rPr>
        <w:t>Process</w:t>
      </w:r>
      <w:r w:rsidR="00000000">
        <w:t>: Generate multiple binding poses for the target protein pocket. Use induced-fit docking (IFD) if the pocket is known to be flexible.</w:t>
      </w:r>
    </w:p>
    <w:p w14:paraId="6133AA85" w14:textId="1FFC217E" w:rsidR="00072B5C" w:rsidRDefault="00AC6E2A">
      <w:pPr>
        <w:pStyle w:val="a0"/>
      </w:pPr>
      <w:r w:rsidRPr="00AC6E2A">
        <w:rPr>
          <w:b/>
        </w:rPr>
        <w:t>Output</w:t>
      </w:r>
      <w:r w:rsidR="00000000">
        <w:t>: Optimized binding poses with initial docking scores.</w:t>
      </w:r>
    </w:p>
    <w:p w14:paraId="1621A2BC" w14:textId="77777777" w:rsidR="00072B5C" w:rsidRDefault="00000000">
      <w:pPr>
        <w:pStyle w:val="31"/>
      </w:pPr>
      <w:r>
        <w:t>Step 2: Dynamic Stability Assessment (Molecular Dynamics)</w:t>
      </w:r>
    </w:p>
    <w:p w14:paraId="236CC7C9" w14:textId="45FCCECC" w:rsidR="00072B5C" w:rsidRDefault="00AC6E2A">
      <w:pPr>
        <w:pStyle w:val="a0"/>
      </w:pPr>
      <w:r w:rsidRPr="00AC6E2A">
        <w:rPr>
          <w:b/>
        </w:rPr>
        <w:t>Tool</w:t>
      </w:r>
      <w:r w:rsidR="00000000">
        <w:t xml:space="preserve">: Desmond / </w:t>
      </w:r>
      <w:proofErr w:type="spellStart"/>
      <w:r w:rsidR="00000000">
        <w:t>Gromacs</w:t>
      </w:r>
      <w:proofErr w:type="spellEnd"/>
      <w:r w:rsidR="00000000">
        <w:t>.</w:t>
      </w:r>
    </w:p>
    <w:p w14:paraId="1F393A6B" w14:textId="480EFE82" w:rsidR="00072B5C" w:rsidRDefault="00AC6E2A">
      <w:pPr>
        <w:pStyle w:val="a0"/>
      </w:pPr>
      <w:r w:rsidRPr="00AC6E2A">
        <w:rPr>
          <w:b/>
        </w:rPr>
        <w:t>Process</w:t>
      </w:r>
      <w:r w:rsidR="00000000">
        <w:t>: Run a 100ns-1µs MD simulation of the protein-ligand complex in an explicit water box.</w:t>
      </w:r>
    </w:p>
    <w:p w14:paraId="7182F0E3" w14:textId="13F8A11C" w:rsidR="00072B5C" w:rsidRDefault="00AC6E2A">
      <w:pPr>
        <w:pStyle w:val="a0"/>
      </w:pPr>
      <w:r w:rsidRPr="00AC6E2A">
        <w:rPr>
          <w:b/>
        </w:rPr>
        <w:t>Metrics</w:t>
      </w:r>
      <w:r w:rsidR="00000000">
        <w:t>: Root Mean Square Deviation (RMSD) and Root Mean Square Fluctuation (RMSF) to ensure the ligand stays in the pocket.</w:t>
      </w:r>
    </w:p>
    <w:p w14:paraId="47602262" w14:textId="31E25A77" w:rsidR="00072B5C" w:rsidRDefault="00AC6E2A">
      <w:pPr>
        <w:pStyle w:val="a0"/>
      </w:pPr>
      <w:r w:rsidRPr="00AC6E2A">
        <w:rPr>
          <w:b/>
        </w:rPr>
        <w:t>Analysis</w:t>
      </w:r>
      <w:r w:rsidR="00000000">
        <w:t>: Check for stable hydrogen bonds and π-π stacking interactions over time.</w:t>
      </w:r>
    </w:p>
    <w:p w14:paraId="4E13F56C" w14:textId="77777777" w:rsidR="00072B5C" w:rsidRDefault="00000000">
      <w:pPr>
        <w:pStyle w:val="31"/>
      </w:pPr>
      <w:r>
        <w:t>Step 3: Neural Affinity Scoring (Boltz-2)</w:t>
      </w:r>
    </w:p>
    <w:p w14:paraId="6EBB18AF" w14:textId="5AE3E67B" w:rsidR="00072B5C" w:rsidRDefault="00AC6E2A">
      <w:pPr>
        <w:pStyle w:val="a0"/>
      </w:pPr>
      <w:r w:rsidRPr="00AC6E2A">
        <w:rPr>
          <w:b/>
        </w:rPr>
        <w:t>Tool</w:t>
      </w:r>
      <w:r w:rsidR="00000000">
        <w:t>: Boltz-2 neural engine.</w:t>
      </w:r>
    </w:p>
    <w:p w14:paraId="1AAED35C" w14:textId="633A491E" w:rsidR="00072B5C" w:rsidRDefault="00AC6E2A">
      <w:pPr>
        <w:pStyle w:val="a0"/>
      </w:pPr>
      <w:r w:rsidRPr="00AC6E2A">
        <w:rPr>
          <w:b/>
        </w:rPr>
        <w:t>Process</w:t>
      </w:r>
      <w:r w:rsidR="00000000">
        <w:t>: Feed the MD-stable frame into Boltz-2 for a final affinity prediction.</w:t>
      </w:r>
    </w:p>
    <w:p w14:paraId="3FEF258C" w14:textId="4F2FFE6E" w:rsidR="00072B5C" w:rsidRDefault="00AC6E2A">
      <w:pPr>
        <w:pStyle w:val="a0"/>
      </w:pPr>
      <w:r w:rsidRPr="00AC6E2A">
        <w:rPr>
          <w:b/>
        </w:rPr>
        <w:t>Validation</w:t>
      </w:r>
      <w:r w:rsidR="00000000">
        <w:t>: Compare Boltz-2 scores with Schrödinger's MM-GBSA (Molecular Mechanics Generalized Born Surface Area) scores.</w:t>
      </w:r>
    </w:p>
    <w:p w14:paraId="54803D61" w14:textId="5FF3C744" w:rsidR="00072B5C" w:rsidRDefault="00AC6E2A">
      <w:pPr>
        <w:pStyle w:val="a0"/>
      </w:pPr>
      <w:r w:rsidRPr="00AC6E2A">
        <w:rPr>
          <w:b/>
        </w:rPr>
        <w:t>Criteria</w:t>
      </w:r>
      <w:r w:rsidR="00000000">
        <w:t>: Leads must show high confidence in both physics-based (MD/GBSA) and neural-based (Boltz-2) scoring.</w:t>
      </w:r>
    </w:p>
    <w:p w14:paraId="56BFA40E" w14:textId="77777777" w:rsidR="00072B5C" w:rsidRDefault="00000000">
      <w:pPr>
        <w:pStyle w:val="21"/>
      </w:pPr>
      <w:r>
        <w:t>3. Decision Logic</w:t>
      </w:r>
    </w:p>
    <w:p w14:paraId="1105838E" w14:textId="607A5E31" w:rsidR="00072B5C" w:rsidRDefault="00AC6E2A">
      <w:pPr>
        <w:pStyle w:val="a0"/>
      </w:pPr>
      <w:r w:rsidRPr="00AC6E2A">
        <w:rPr>
          <w:b/>
        </w:rPr>
        <w:t>Green Light</w:t>
      </w:r>
      <w:r w:rsidR="00000000">
        <w:t>: Stable MD trajectory + High Boltz-2 Affinity + Low GBSA score.</w:t>
      </w:r>
    </w:p>
    <w:p w14:paraId="1B94A997" w14:textId="7D9ED9E4" w:rsidR="00072B5C" w:rsidRDefault="00AC6E2A">
      <w:pPr>
        <w:pStyle w:val="a0"/>
      </w:pPr>
      <w:r w:rsidRPr="00AC6E2A">
        <w:rPr>
          <w:b/>
        </w:rPr>
        <w:t>Yellow Light</w:t>
      </w:r>
      <w:r w:rsidR="00000000">
        <w:t>: Minor instability or lower affinity; requires human review by Ph.D. teammate.</w:t>
      </w:r>
    </w:p>
    <w:p w14:paraId="313AD8E1" w14:textId="0ECBA1DC" w:rsidR="00072B5C" w:rsidRDefault="00AC6E2A">
      <w:pPr>
        <w:pStyle w:val="a0"/>
      </w:pPr>
      <w:r w:rsidRPr="00AC6E2A">
        <w:rPr>
          <w:b/>
        </w:rPr>
        <w:t>Red Light</w:t>
      </w:r>
      <w:r w:rsidR="00000000">
        <w:t>: Ligand exits pocket during MD or low neural affinity; discard.</w:t>
      </w:r>
    </w:p>
    <w:sectPr w:rsidR="00072B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1551305">
    <w:abstractNumId w:val="8"/>
  </w:num>
  <w:num w:numId="2" w16cid:durableId="896355828">
    <w:abstractNumId w:val="6"/>
  </w:num>
  <w:num w:numId="3" w16cid:durableId="1410080700">
    <w:abstractNumId w:val="5"/>
  </w:num>
  <w:num w:numId="4" w16cid:durableId="607203083">
    <w:abstractNumId w:val="4"/>
  </w:num>
  <w:num w:numId="5" w16cid:durableId="1152989365">
    <w:abstractNumId w:val="7"/>
  </w:num>
  <w:num w:numId="6" w16cid:durableId="878249724">
    <w:abstractNumId w:val="3"/>
  </w:num>
  <w:num w:numId="7" w16cid:durableId="699009260">
    <w:abstractNumId w:val="2"/>
  </w:num>
  <w:num w:numId="8" w16cid:durableId="1771850328">
    <w:abstractNumId w:val="1"/>
  </w:num>
  <w:num w:numId="9" w16cid:durableId="112566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B5C"/>
    <w:rsid w:val="0015074B"/>
    <w:rsid w:val="0029639D"/>
    <w:rsid w:val="00326F90"/>
    <w:rsid w:val="009A0FDF"/>
    <w:rsid w:val="00AA1D8D"/>
    <w:rsid w:val="00AC6E2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8FE71"/>
  <w14:defaultImageDpi w14:val="300"/>
  <w15:docId w15:val="{CC410863-C68C-47AB-8A9D-7190F208E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태우 윤</cp:lastModifiedBy>
  <cp:revision>2</cp:revision>
  <dcterms:created xsi:type="dcterms:W3CDTF">2013-12-23T23:15:00Z</dcterms:created>
  <dcterms:modified xsi:type="dcterms:W3CDTF">2026-03-25T01:56:00Z</dcterms:modified>
  <cp:category/>
</cp:coreProperties>
</file>