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2324A" w14:textId="77777777" w:rsidR="00DC6EA1" w:rsidRDefault="00000000">
      <w:pPr>
        <w:pStyle w:val="a8"/>
      </w:pPr>
      <w:r>
        <w:t>SmartDTI Methodology</w:t>
      </w:r>
    </w:p>
    <w:p w14:paraId="5BE022F6" w14:textId="77777777" w:rsidR="00DC6EA1" w:rsidRDefault="00000000">
      <w:pPr>
        <w:pStyle w:val="1"/>
      </w:pPr>
      <w:r>
        <w:t>[Methodology] SmartDTI: Gigascale Chemical Space Screening</w:t>
      </w:r>
    </w:p>
    <w:p w14:paraId="40AA2EA7" w14:textId="77777777" w:rsidR="00DC6EA1" w:rsidRDefault="00000000">
      <w:pPr>
        <w:pStyle w:val="21"/>
      </w:pPr>
      <w:r>
        <w:t>1. Overview</w:t>
      </w:r>
    </w:p>
    <w:p w14:paraId="5BCC9D19" w14:textId="1D858BA4" w:rsidR="00DC6EA1" w:rsidRDefault="00000000">
      <w:r>
        <w:t xml:space="preserve">SmartDTI is designed to perform large-scale virtual screening against massive external libraries (e.g., </w:t>
      </w:r>
      <w:r w:rsidR="00A037A4" w:rsidRPr="00A037A4">
        <w:rPr>
          <w:b/>
        </w:rPr>
        <w:t>Enamine REAL</w:t>
      </w:r>
      <w:r>
        <w:t>, ZINC-22). It employs a hierarchical fusion of 2D and 3D deep learning models to identify high-affinity hits among billions of compounds.</w:t>
      </w:r>
    </w:p>
    <w:p w14:paraId="53B3BF84" w14:textId="77777777" w:rsidR="00DC6EA1" w:rsidRDefault="00000000">
      <w:pPr>
        <w:pStyle w:val="21"/>
      </w:pPr>
      <w:r>
        <w:t>2. Algorithmic Fusion Architecture</w:t>
      </w:r>
    </w:p>
    <w:p w14:paraId="31C71953" w14:textId="77777777" w:rsidR="00DC6EA1" w:rsidRDefault="00000000">
      <w:pPr>
        <w:pStyle w:val="31"/>
      </w:pPr>
      <w:r>
        <w:t>Phase 1: Rapid 2D Screening (Lightweight GNNs)</w:t>
      </w:r>
    </w:p>
    <w:p w14:paraId="3E234DFC" w14:textId="16970F4A" w:rsidR="00DC6EA1" w:rsidRDefault="00A037A4">
      <w:pPr>
        <w:pStyle w:val="a0"/>
      </w:pPr>
      <w:r w:rsidRPr="00A037A4">
        <w:rPr>
          <w:b/>
        </w:rPr>
        <w:t>Model</w:t>
      </w:r>
      <w:r w:rsidR="00000000">
        <w:t xml:space="preserve">: </w:t>
      </w:r>
      <w:r w:rsidRPr="00A037A4">
        <w:rPr>
          <w:b/>
        </w:rPr>
        <w:t>GIN</w:t>
      </w:r>
      <w:r w:rsidR="00000000">
        <w:t xml:space="preserve"> (Graph Isomorphism Network) or </w:t>
      </w:r>
      <w:proofErr w:type="spellStart"/>
      <w:r w:rsidRPr="00A037A4">
        <w:rPr>
          <w:b/>
        </w:rPr>
        <w:t>GraphDTA</w:t>
      </w:r>
      <w:proofErr w:type="spellEnd"/>
      <w:r w:rsidR="00000000">
        <w:t>.</w:t>
      </w:r>
    </w:p>
    <w:p w14:paraId="6B73854D" w14:textId="140314E8" w:rsidR="00DC6EA1" w:rsidRDefault="00A037A4">
      <w:pPr>
        <w:pStyle w:val="a0"/>
      </w:pPr>
      <w:r w:rsidRPr="00A037A4">
        <w:rPr>
          <w:b/>
        </w:rPr>
        <w:t>Goal</w:t>
      </w:r>
      <w:r w:rsidR="00000000">
        <w:t>: High-speed filtering of the $10^9$ chemical space down to $10^6$.</w:t>
      </w:r>
    </w:p>
    <w:p w14:paraId="49CDC31F" w14:textId="40CA946B" w:rsidR="00DC6EA1" w:rsidRDefault="00A037A4">
      <w:pPr>
        <w:pStyle w:val="a0"/>
      </w:pPr>
      <w:r w:rsidRPr="00A037A4">
        <w:rPr>
          <w:b/>
        </w:rPr>
        <w:t>Feature Extraction</w:t>
      </w:r>
      <w:r w:rsidR="00000000">
        <w:t>: Capturing local chemical environments and topological features.</w:t>
      </w:r>
    </w:p>
    <w:p w14:paraId="75C368AE" w14:textId="77777777" w:rsidR="00DC6EA1" w:rsidRDefault="00000000">
      <w:pPr>
        <w:pStyle w:val="31"/>
      </w:pPr>
      <w:r>
        <w:t>Phase 2: Hierarchical Heterogeneous Modeling</w:t>
      </w:r>
    </w:p>
    <w:p w14:paraId="6493D50B" w14:textId="202DC456" w:rsidR="00DC6EA1" w:rsidRDefault="00A037A4">
      <w:pPr>
        <w:pStyle w:val="a0"/>
      </w:pPr>
      <w:r w:rsidRPr="00A037A4">
        <w:rPr>
          <w:b/>
        </w:rPr>
        <w:t>Model</w:t>
      </w:r>
      <w:r w:rsidR="00000000">
        <w:t xml:space="preserve">: </w:t>
      </w:r>
      <w:r w:rsidRPr="00A037A4">
        <w:rPr>
          <w:b/>
        </w:rPr>
        <w:t>H2GnnDTI</w:t>
      </w:r>
      <w:r w:rsidR="00000000">
        <w:t xml:space="preserve"> (Jing et al., 2025).</w:t>
      </w:r>
    </w:p>
    <w:p w14:paraId="1660EE53" w14:textId="20EC04A9" w:rsidR="00DC6EA1" w:rsidRDefault="00A037A4">
      <w:pPr>
        <w:pStyle w:val="a0"/>
      </w:pPr>
      <w:r w:rsidRPr="00A037A4">
        <w:rPr>
          <w:b/>
        </w:rPr>
        <w:t>Logic</w:t>
      </w:r>
      <w:r w:rsidR="00000000">
        <w:t>: Utilizing a two-level hierarchical heterogeneous graph learning approach to capture both local component interactions and global network relationships.</w:t>
      </w:r>
    </w:p>
    <w:p w14:paraId="1FA3AC23" w14:textId="77777777" w:rsidR="00DC6EA1" w:rsidRDefault="00000000">
      <w:pPr>
        <w:pStyle w:val="31"/>
      </w:pPr>
      <w:r>
        <w:t>Phase 3: Multi-View Interaction Mapping</w:t>
      </w:r>
    </w:p>
    <w:p w14:paraId="650F8737" w14:textId="43B5AC31" w:rsidR="00DC6EA1" w:rsidRDefault="00A037A4">
      <w:pPr>
        <w:pStyle w:val="a0"/>
      </w:pPr>
      <w:r w:rsidRPr="00A037A4">
        <w:rPr>
          <w:b/>
        </w:rPr>
        <w:t>Model</w:t>
      </w:r>
      <w:r w:rsidR="00000000">
        <w:t xml:space="preserve">: </w:t>
      </w:r>
      <w:r w:rsidRPr="00A037A4">
        <w:rPr>
          <w:b/>
        </w:rPr>
        <w:t>MVGCN</w:t>
      </w:r>
      <w:r w:rsidR="00000000">
        <w:t xml:space="preserve"> (Fu et al., 2022) / </w:t>
      </w:r>
      <w:proofErr w:type="spellStart"/>
      <w:r w:rsidRPr="00A037A4">
        <w:rPr>
          <w:b/>
        </w:rPr>
        <w:t>MolTrans</w:t>
      </w:r>
      <w:proofErr w:type="spellEnd"/>
      <w:r w:rsidR="00000000">
        <w:t xml:space="preserve"> (Huang et al., 2021).</w:t>
      </w:r>
    </w:p>
    <w:p w14:paraId="1FC33448" w14:textId="1386974A" w:rsidR="00DC6EA1" w:rsidRDefault="00A037A4">
      <w:pPr>
        <w:pStyle w:val="a0"/>
      </w:pPr>
      <w:r w:rsidRPr="00A037A4">
        <w:rPr>
          <w:b/>
        </w:rPr>
        <w:t>Logic</w:t>
      </w:r>
      <w:r w:rsidR="00000000">
        <w:t>: Fusing topological structure with biomedical bipartite networks (e.g., previous target similarity) and transformer-based interaction mapping.</w:t>
      </w:r>
    </w:p>
    <w:p w14:paraId="1EB965D5" w14:textId="77777777" w:rsidR="00DC6EA1" w:rsidRDefault="00000000">
      <w:pPr>
        <w:pStyle w:val="31"/>
      </w:pPr>
      <w:r>
        <w:t>Phase 4: 3D Structural Refinement</w:t>
      </w:r>
    </w:p>
    <w:p w14:paraId="49844E48" w14:textId="0A77D858" w:rsidR="00DC6EA1" w:rsidRDefault="00A037A4">
      <w:pPr>
        <w:pStyle w:val="a0"/>
      </w:pPr>
      <w:r w:rsidRPr="00A037A4">
        <w:rPr>
          <w:b/>
        </w:rPr>
        <w:t>Model</w:t>
      </w:r>
      <w:r w:rsidR="00000000">
        <w:t xml:space="preserve">: </w:t>
      </w:r>
      <w:r w:rsidRPr="00A037A4">
        <w:rPr>
          <w:b/>
        </w:rPr>
        <w:t>Uni-Mol</w:t>
      </w:r>
      <w:r w:rsidR="00000000">
        <w:t xml:space="preserve"> (Zhou et al., 2023) / </w:t>
      </w:r>
      <w:r w:rsidRPr="00A037A4">
        <w:rPr>
          <w:b/>
        </w:rPr>
        <w:t>Uni-Mol+</w:t>
      </w:r>
      <w:r w:rsidR="00000000">
        <w:t xml:space="preserve"> (Lu et al., 2024).</w:t>
      </w:r>
    </w:p>
    <w:p w14:paraId="73BBF8F2" w14:textId="031CD304" w:rsidR="00DC6EA1" w:rsidRDefault="00A037A4">
      <w:pPr>
        <w:pStyle w:val="a0"/>
      </w:pPr>
      <w:r w:rsidRPr="00A037A4">
        <w:rPr>
          <w:b/>
        </w:rPr>
        <w:t>Logic</w:t>
      </w:r>
      <w:r w:rsidR="00000000">
        <w:t xml:space="preserve">: Using </w:t>
      </w:r>
      <w:proofErr w:type="gramStart"/>
      <w:r w:rsidR="00000000">
        <w:t>SE(</w:t>
      </w:r>
      <w:proofErr w:type="gramEnd"/>
      <w:r w:rsidR="00000000">
        <w:t>3)-equivariant representations to assess the spatial fit of the top $10^5$ candidates in the protein pocket.</w:t>
      </w:r>
    </w:p>
    <w:p w14:paraId="0D4A3F1F" w14:textId="77777777" w:rsidR="00DC6EA1" w:rsidRDefault="00000000">
      <w:pPr>
        <w:pStyle w:val="21"/>
      </w:pPr>
      <w:r>
        <w:t>3. Deployment Strategy: Deep Docking Style</w:t>
      </w:r>
    </w:p>
    <w:p w14:paraId="74644E9E" w14:textId="250E7825" w:rsidR="00DC6EA1" w:rsidRDefault="00000000">
      <w:r>
        <w:t xml:space="preserve">Following </w:t>
      </w:r>
      <w:r w:rsidR="00A037A4" w:rsidRPr="00A037A4">
        <w:rPr>
          <w:b/>
        </w:rPr>
        <w:t>Deep Docking</w:t>
      </w:r>
      <w:r>
        <w:t xml:space="preserve"> (Gentile et al., 2020):</w:t>
      </w:r>
    </w:p>
    <w:p w14:paraId="4728F2BE" w14:textId="1C21A210" w:rsidR="00DC6EA1" w:rsidRDefault="00A037A4">
      <w:pPr>
        <w:pStyle w:val="a0"/>
      </w:pPr>
      <w:r w:rsidRPr="00A037A4">
        <w:rPr>
          <w:b/>
        </w:rPr>
        <w:t>Iterative Loop</w:t>
      </w:r>
      <w:r w:rsidR="00000000">
        <w:t>: Use a QSAR-style deep learning surrogate to predict docking scores for the entire library.</w:t>
      </w:r>
    </w:p>
    <w:p w14:paraId="08F539DE" w14:textId="0DA54816" w:rsidR="00DC6EA1" w:rsidRDefault="00A037A4">
      <w:pPr>
        <w:pStyle w:val="a0"/>
      </w:pPr>
      <w:r w:rsidRPr="00A037A4">
        <w:rPr>
          <w:b/>
        </w:rPr>
        <w:t>Active Learning</w:t>
      </w:r>
      <w:r w:rsidR="00000000">
        <w:t>: Dock a small high-confidence subset, retrain the surrogate, and repeat to efficiently navigate the billion-scale space without docking every compound.</w:t>
      </w:r>
    </w:p>
    <w:p w14:paraId="42B9C121" w14:textId="77777777" w:rsidR="00DC6EA1" w:rsidRDefault="00000000">
      <w:pPr>
        <w:pStyle w:val="21"/>
      </w:pPr>
      <w:r>
        <w:t>4. External Data Sources</w:t>
      </w:r>
    </w:p>
    <w:p w14:paraId="6B32F3C4" w14:textId="151496D8" w:rsidR="00DC6EA1" w:rsidRDefault="00A037A4">
      <w:pPr>
        <w:pStyle w:val="a0"/>
      </w:pPr>
      <w:r w:rsidRPr="00A037A4">
        <w:rPr>
          <w:b/>
        </w:rPr>
        <w:t>Standard Benchmarks</w:t>
      </w:r>
      <w:r w:rsidR="00000000">
        <w:t>: DAVIS, KIBA, PDBbind, BindingDB, ChEMBL, BioSNAP, Luo et al. (2017).</w:t>
      </w:r>
    </w:p>
    <w:p w14:paraId="1CBE8BCF" w14:textId="326565F2" w:rsidR="00DC6EA1" w:rsidRDefault="00A037A4">
      <w:pPr>
        <w:pStyle w:val="a0"/>
      </w:pPr>
      <w:r w:rsidRPr="00A037A4">
        <w:rPr>
          <w:b/>
        </w:rPr>
        <w:lastRenderedPageBreak/>
        <w:t>Massive Screening Library</w:t>
      </w:r>
      <w:r w:rsidR="00000000">
        <w:t>: Enamine REAL, ZINC-20/22.</w:t>
      </w:r>
    </w:p>
    <w:p w14:paraId="5506435D" w14:textId="77777777" w:rsidR="00DC6EA1" w:rsidRDefault="00000000">
      <w:pPr>
        <w:pStyle w:val="21"/>
      </w:pPr>
      <w:r>
        <w:t>5. Outcome</w:t>
      </w:r>
    </w:p>
    <w:p w14:paraId="6C532558" w14:textId="653CFDB3" w:rsidR="00DC6EA1" w:rsidRDefault="00000000">
      <w:r>
        <w:t xml:space="preserve">SmartDTI generates a curated list of top-tier candidates for </w:t>
      </w:r>
      <w:r w:rsidR="00A037A4" w:rsidRPr="00A037A4">
        <w:rPr>
          <w:b/>
        </w:rPr>
        <w:t>Wet-Lab</w:t>
      </w:r>
      <w:r>
        <w:t xml:space="preserve"> synthesis and testing.</w:t>
      </w:r>
    </w:p>
    <w:sectPr w:rsidR="00DC6E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2733553">
    <w:abstractNumId w:val="8"/>
  </w:num>
  <w:num w:numId="2" w16cid:durableId="1312438844">
    <w:abstractNumId w:val="6"/>
  </w:num>
  <w:num w:numId="3" w16cid:durableId="553660701">
    <w:abstractNumId w:val="5"/>
  </w:num>
  <w:num w:numId="4" w16cid:durableId="836502854">
    <w:abstractNumId w:val="4"/>
  </w:num>
  <w:num w:numId="5" w16cid:durableId="107747050">
    <w:abstractNumId w:val="7"/>
  </w:num>
  <w:num w:numId="6" w16cid:durableId="2067409007">
    <w:abstractNumId w:val="3"/>
  </w:num>
  <w:num w:numId="7" w16cid:durableId="1186091008">
    <w:abstractNumId w:val="2"/>
  </w:num>
  <w:num w:numId="8" w16cid:durableId="1284650030">
    <w:abstractNumId w:val="1"/>
  </w:num>
  <w:num w:numId="9" w16cid:durableId="1169104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5E83"/>
    <w:rsid w:val="00A037A4"/>
    <w:rsid w:val="00AA1D8D"/>
    <w:rsid w:val="00B47730"/>
    <w:rsid w:val="00CB0664"/>
    <w:rsid w:val="00DC6E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2DBB75"/>
  <w14:defaultImageDpi w14:val="300"/>
  <w15:docId w15:val="{BA646A99-D301-44FB-A595-0F675E3C5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태우 윤</cp:lastModifiedBy>
  <cp:revision>2</cp:revision>
  <dcterms:created xsi:type="dcterms:W3CDTF">2013-12-23T23:15:00Z</dcterms:created>
  <dcterms:modified xsi:type="dcterms:W3CDTF">2026-03-25T01:55:00Z</dcterms:modified>
  <cp:category/>
</cp:coreProperties>
</file>