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7C3AED"/>
          <w:sz w:val="80"/>
          <w:szCs w:val="80"/>
        </w:rPr>
        <w:t xml:space="preserve">PrepEdge AI</w:t>
      </w:r>
    </w:p>
    <w:p>
      <w:pPr>
        <w:spacing w:after="80" w:before="0"/>
        <w:jc w:val="center"/>
      </w:pPr>
      <w:r>
        <w:rPr>
          <w:rFonts w:ascii="Arial" w:cs="Arial" w:eastAsia="Arial" w:hAnsi="Arial"/>
          <w:i/>
          <w:iCs/>
          <w:color w:val="0F172A"/>
          <w:sz w:val="30"/>
          <w:szCs w:val="30"/>
        </w:rPr>
        <w:t xml:space="preserve">India's All-in-One AI Placement Platform</w:t>
      </w:r>
    </w:p>
    <w:p>
      <w:pPr>
        <w:spacing w:after="120" w:before="0"/>
        <w:jc w:val="center"/>
      </w:pPr>
      <w:r>
        <w:rPr>
          <w:rFonts w:ascii="Arial" w:cs="Arial" w:eastAsia="Arial" w:hAnsi="Arial"/>
          <w:color w:val="DDD6FE"/>
          <w:sz w:val="22"/>
          <w:szCs w:val="22"/>
        </w:rPr>
        <w:t xml:space="preserve">──────────────────────────────────────</w:t>
      </w:r>
    </w:p>
    <w:p>
      <w:pPr>
        <w:spacing w:after="40" w:before="60"/>
        <w:jc w:val="center"/>
      </w:pPr>
      <w:r>
        <w:rPr>
          <w:rFonts w:ascii="Arial" w:cs="Arial" w:eastAsia="Arial" w:hAnsi="Arial"/>
          <w:b/>
          <w:bCs/>
          <w:color w:val="1D4ED8"/>
          <w:sz w:val="26"/>
          <w:szCs w:val="26"/>
        </w:rPr>
        <w:t xml:space="preserve">🎙 MockMate</w:t>
      </w:r>
      <w:r>
        <w:rPr>
          <w:rFonts w:ascii="Arial" w:cs="Arial" w:eastAsia="Arial" w:hAnsi="Arial"/>
          <w:color w:val="475569"/>
          <w:sz w:val="26"/>
          <w:szCs w:val="26"/>
        </w:rPr>
        <w:t xml:space="preserve">     +     </w:t>
      </w:r>
      <w:r>
        <w:rPr>
          <w:rFonts w:ascii="Arial" w:cs="Arial" w:eastAsia="Arial" w:hAnsi="Arial"/>
          <w:b/>
          <w:bCs/>
          <w:color w:val="059669"/>
          <w:sz w:val="26"/>
          <w:szCs w:val="26"/>
        </w:rPr>
        <w:t xml:space="preserve">📄 ResumeAI</w:t>
      </w:r>
      <w:r>
        <w:rPr>
          <w:rFonts w:ascii="Arial" w:cs="Arial" w:eastAsia="Arial" w:hAnsi="Arial"/>
          <w:color w:val="475569"/>
          <w:sz w:val="26"/>
          <w:szCs w:val="26"/>
        </w:rPr>
        <w:t xml:space="preserve">     +     </w:t>
      </w:r>
      <w:r>
        <w:rPr>
          <w:rFonts w:ascii="Arial" w:cs="Arial" w:eastAsia="Arial" w:hAnsi="Arial"/>
          <w:b/>
          <w:bCs/>
          <w:color w:val="D97706"/>
          <w:sz w:val="26"/>
          <w:szCs w:val="26"/>
        </w:rPr>
        <w:t xml:space="preserve">⚡ FlashLearn</w:t>
      </w:r>
    </w:p>
    <w:p>
      <w:pPr>
        <w:spacing w:after="80" w:before="40"/>
        <w:jc w:val="center"/>
      </w:pPr>
      <w:r>
        <w:rPr>
          <w:rFonts w:ascii="Arial" w:cs="Arial" w:eastAsia="Arial" w:hAnsi="Arial"/>
          <w:i/>
          <w:iCs/>
          <w:color w:val="475569"/>
          <w:sz w:val="22"/>
          <w:szCs w:val="22"/>
        </w:rPr>
        <w:t xml:space="preserve">Three tools. One subscription. One student. One dream: getting placed.</w:t>
      </w:r>
    </w:p>
    <w:p>
      <w:pPr>
        <w:spacing w:after="60" w:before="80"/>
        <w:jc w:val="center"/>
      </w:pPr>
      <w:r>
        <w:rPr>
          <w:rFonts w:ascii="Arial" w:cs="Arial" w:eastAsia="Arial" w:hAnsi="Arial"/>
          <w:color w:val="475569"/>
          <w:sz w:val="20"/>
          <w:szCs w:val="20"/>
        </w:rPr>
        <w:t xml:space="preserve">Version 1.0  |  2026  |  Confidential</w:t>
      </w:r>
    </w:p>
    <w:p>
      <w:r>
        <w:br w:type="page"/>
      </w:r>
    </w:p>
    <w:p>
      <w:pPr>
        <w:pStyle w:val="Heading1"/>
        <w:pBdr>
          <w:bottom w:val="single" w:color="7C3AED" w:sz="4" w:space="6"/>
        </w:pBdr>
        <w:spacing w:after="120" w:before="400"/>
      </w:pPr>
      <w:r>
        <w:rPr>
          <w:rFonts w:ascii="Arial" w:cs="Arial" w:eastAsia="Arial" w:hAnsi="Arial"/>
          <w:b/>
          <w:bCs/>
          <w:color w:val="7C3AED"/>
          <w:sz w:val="32"/>
          <w:szCs w:val="32"/>
        </w:rPr>
        <w:t xml:space="preserve">1. Product Vision</w:t>
      </w:r>
    </w:p>
    <w:p>
      <w:pPr>
        <w:spacing w:after="80" w:before="80"/>
      </w:pPr>
      <w:r>
        <w:rPr>
          <w:rFonts w:ascii="Arial" w:cs="Arial" w:eastAsia="Arial" w:hAnsi="Arial"/>
          <w:color w:val="0F172A"/>
          <w:sz w:val="22"/>
          <w:szCs w:val="22"/>
        </w:rPr>
        <w:t xml:space="preserve">PrepEdge AI is a single web platform that gives every Indian engineering student everything they need to get placed — an AI mock interviewer, an AI resume optimizer, and an AI study tool — all under one login and one affordable subscription.</w:t>
      </w:r>
    </w:p>
    <w:p>
      <w:pPr>
        <w:spacing w:after="60" w:before="0"/>
      </w:pPr>
      <w:r>
        <w:t xml:space="preserve"/>
      </w:r>
    </w:p>
    <w:p>
      <w:pPr>
        <w:spacing w:after="80" w:before="80"/>
      </w:pPr>
      <w:r>
        <w:rPr>
          <w:rFonts w:ascii="Arial" w:cs="Arial" w:eastAsia="Arial" w:hAnsi="Arial"/>
          <w:color w:val="0F172A"/>
          <w:sz w:val="22"/>
          <w:szCs w:val="22"/>
        </w:rPr>
        <w:t xml:space="preserve">The problem with the current market is fragmentation. A student uses one YouTube channel to study for aptitude, another app to practice interviews, and asks a senior to review their resume. None of it is personalized, none of it is instant, and most of it is free content that gives no feedback. PrepEdge AI replaces the entire fragmented workflow with one intelligent platform.</w:t>
      </w:r>
    </w:p>
    <w:p>
      <w:pPr>
        <w:spacing w:after="60" w:before="0"/>
      </w:pPr>
      <w:r>
        <w:t xml:space="preserve"/>
      </w:r>
    </w:p>
    <w:p>
      <w:pPr>
        <w:spacing w:after="80" w:before="80"/>
      </w:pPr>
      <w:r>
        <w:rPr>
          <w:rFonts w:ascii="Arial" w:cs="Arial" w:eastAsia="Arial" w:hAnsi="Arial"/>
          <w:color w:val="0F172A"/>
          <w:sz w:val="22"/>
          <w:szCs w:val="22"/>
        </w:rPr>
        <w:t xml:space="preserve">The target user is an Indian engineering student in their 2nd, 3rd, or final year preparing for campus placements at mass recruiters — TCS, Infosys, Wipro, Accenture, HCL, Cognizant — or for off-campus applications on Naukri and LinkedIn.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3"/>
              <w:left w:val="single" w:color="7C3AED" w:sz="12"/>
              <w:bottom w:val="single" w:color="7C3AED" w:sz="3"/>
              <w:right w:val="single" w:color="7C3AED" w:sz="3"/>
            </w:tcBorders>
            <w:shd w:fill="FAF5FF" w:val="clear"/>
            <w:tcMar>
              <w:top w:type="dxa" w:w="140"/>
              <w:left w:type="dxa" w:w="200"/>
              <w:bottom w:type="dxa" w:w="140"/>
              <w:right w:type="dxa" w:w="200"/>
            </w:tcMar>
          </w:tcPr>
          <w:p>
            <w:pPr>
              <w:spacing w:after="80" w:before="0"/>
            </w:pPr>
            <w:r>
              <w:rPr>
                <w:rFonts w:ascii="Arial" w:cs="Arial" w:eastAsia="Arial" w:hAnsi="Arial"/>
                <w:b/>
                <w:bCs/>
                <w:color w:val="7C3AED"/>
                <w:sz w:val="22"/>
                <w:szCs w:val="22"/>
              </w:rPr>
              <w:t xml:space="preserve">Why Three Modules in One Platform?</w:t>
            </w:r>
          </w:p>
          <w:p>
            <w:pPr>
              <w:spacing w:after="80" w:before="80"/>
            </w:pPr>
            <w:r>
              <w:rPr>
                <w:rFonts w:ascii="Arial" w:cs="Arial" w:eastAsia="Arial" w:hAnsi="Arial"/>
                <w:color w:val="0F172A"/>
                <w:sz w:val="22"/>
                <w:szCs w:val="22"/>
              </w:rPr>
              <w:t xml:space="preserve">Because the same student needs all three — and charging separately for each would mean three separate products, three separate codebases, and three separate marketing efforts. One platform means:</w:t>
            </w:r>
          </w:p>
          <w:p>
            <w:pPr>
              <w:pStyle w:val="ListParagraph"/>
              <w:numPr>
                <w:ilvl w:val="0"/>
                <w:numId w:val="2"/>
              </w:numPr>
              <w:spacing w:after="60" w:before="60"/>
            </w:pPr>
            <w:r>
              <w:rPr>
                <w:rFonts w:ascii="Arial" w:cs="Arial" w:eastAsia="Arial" w:hAnsi="Arial"/>
                <w:color w:val="0F172A"/>
                <w:sz w:val="22"/>
                <w:szCs w:val="22"/>
              </w:rPr>
              <w:t xml:space="preserve">Higher perceived value — students see ₹99/month covering three tools and feel they are getting a bargain</w:t>
            </w:r>
          </w:p>
          <w:p>
            <w:pPr>
              <w:pStyle w:val="ListParagraph"/>
              <w:numPr>
                <w:ilvl w:val="0"/>
                <w:numId w:val="2"/>
              </w:numPr>
              <w:spacing w:after="60" w:before="60"/>
            </w:pPr>
            <w:r>
              <w:rPr>
                <w:rFonts w:ascii="Arial" w:cs="Arial" w:eastAsia="Arial" w:hAnsi="Arial"/>
                <w:color w:val="0F172A"/>
                <w:sz w:val="22"/>
                <w:szCs w:val="22"/>
              </w:rPr>
              <w:t xml:space="preserve">Lower churn — even if a student doesn't use MockMate one month, they stay subscribed because FlashLearn is helping them study</w:t>
            </w:r>
          </w:p>
          <w:p>
            <w:pPr>
              <w:pStyle w:val="ListParagraph"/>
              <w:numPr>
                <w:ilvl w:val="0"/>
                <w:numId w:val="2"/>
              </w:numPr>
              <w:spacing w:after="60" w:before="60"/>
            </w:pPr>
            <w:r>
              <w:rPr>
                <w:rFonts w:ascii="Arial" w:cs="Arial" w:eastAsia="Arial" w:hAnsi="Arial"/>
                <w:color w:val="0F172A"/>
                <w:sz w:val="22"/>
                <w:szCs w:val="22"/>
              </w:rPr>
              <w:t xml:space="preserve">One codebase to build and maintain — faster to build, cheaper to run</w:t>
            </w:r>
          </w:p>
          <w:p>
            <w:pPr>
              <w:pStyle w:val="ListParagraph"/>
              <w:numPr>
                <w:ilvl w:val="0"/>
                <w:numId w:val="2"/>
              </w:numPr>
              <w:spacing w:after="60" w:before="60"/>
            </w:pPr>
            <w:r>
              <w:rPr>
                <w:rFonts w:ascii="Arial" w:cs="Arial" w:eastAsia="Arial" w:hAnsi="Arial"/>
                <w:color w:val="0F172A"/>
                <w:sz w:val="22"/>
                <w:szCs w:val="22"/>
              </w:rPr>
              <w:t xml:space="preserve">One marketing pitch — 'Your complete placement toolkit' is easier to sell than three separate pitches</w:t>
            </w:r>
          </w:p>
        </w:tc>
      </w:tr>
    </w:tbl>
    <w:p>
      <w:pPr>
        <w:spacing w:after="120" w:before="0"/>
      </w:pPr>
      <w:r>
        <w:t xml:space="preserve"/>
      </w:r>
    </w:p>
    <w:p>
      <w:pPr>
        <w:pStyle w:val="Heading1"/>
        <w:pBdr>
          <w:bottom w:val="single" w:color="7C3AED" w:sz="4" w:space="6"/>
        </w:pBdr>
        <w:spacing w:after="120" w:before="400"/>
      </w:pPr>
      <w:r>
        <w:rPr>
          <w:rFonts w:ascii="Arial" w:cs="Arial" w:eastAsia="Arial" w:hAnsi="Arial"/>
          <w:b/>
          <w:bCs/>
          <w:color w:val="7C3AED"/>
          <w:sz w:val="32"/>
          <w:szCs w:val="32"/>
        </w:rPr>
        <w:t xml:space="preserve">2. The Three Modules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3"/>
              <w:left w:val="single" w:color="1D4ED8" w:sz="16"/>
              <w:bottom w:val="single" w:color="1D4ED8" w:sz="3"/>
              <w:right w:val="single" w:color="1D4ED8" w:sz="3"/>
            </w:tcBorders>
            <w:shd w:fill="EFF6FF" w:val="clear"/>
            <w:tcMar>
              <w:top w:type="dxa" w:w="160"/>
              <w:left w:type="dxa" w:w="220"/>
              <w:bottom w:type="dxa" w:w="160"/>
              <w:right w:type="dxa" w:w="220"/>
            </w:tcMar>
          </w:tcPr>
          <w:p>
            <w:pPr>
              <w:spacing w:after="60" w:before="0"/>
            </w:pPr>
            <w:r>
              <w:rPr>
                <w:rFonts w:ascii="Arial" w:cs="Arial" w:eastAsia="Arial" w:hAnsi="Arial"/>
                <w:b/>
                <w:bCs/>
                <w:color w:val="1D4ED8"/>
                <w:sz w:val="28"/>
                <w:szCs w:val="28"/>
              </w:rPr>
              <w:t xml:space="preserve">🎙  Module 1: MockMate</w:t>
            </w:r>
          </w:p>
          <w:p>
            <w:pPr>
              <w:spacing w:after="100" w:before="0"/>
            </w:pPr>
            <w:r>
              <w:rPr>
                <w:rFonts w:ascii="Arial" w:cs="Arial" w:eastAsia="Arial" w:hAnsi="Arial"/>
                <w:i/>
                <w:iCs/>
                <w:color w:val="475569"/>
                <w:sz w:val="20"/>
                <w:szCs w:val="20"/>
              </w:rPr>
              <w:t xml:space="preserve">AI Mock Interviewer — Company-specific. Honest feedback. Available 24/7.</w:t>
            </w:r>
          </w:p>
          <w:p>
            <w:pPr>
              <w:pStyle w:val="ListParagraph"/>
              <w:numPr>
                <w:ilvl w:val="0"/>
                <w:numId w:val="2"/>
              </w:numPr>
              <w:spacing w:after="40" w:before="40"/>
            </w:pPr>
            <w:r>
              <w:rPr>
                <w:rFonts w:ascii="Arial" w:cs="Arial" w:eastAsia="Arial" w:hAnsi="Arial"/>
                <w:color w:val="0F172A"/>
                <w:sz w:val="21"/>
                <w:szCs w:val="21"/>
              </w:rPr>
              <w:t xml:space="preserve">Student selects target company (TCS, Infosys, Wipro, Accenture, HCL, Cognizant) and interview round (HR, Technical, Aptitude, Managerial)</w:t>
            </w:r>
          </w:p>
          <w:p>
            <w:pPr>
              <w:pStyle w:val="ListParagraph"/>
              <w:numPr>
                <w:ilvl w:val="0"/>
                <w:numId w:val="2"/>
              </w:numPr>
              <w:spacing w:after="40" w:before="40"/>
            </w:pPr>
            <w:r>
              <w:rPr>
                <w:rFonts w:ascii="Arial" w:cs="Arial" w:eastAsia="Arial" w:hAnsi="Arial"/>
                <w:color w:val="0F172A"/>
                <w:sz w:val="21"/>
                <w:szCs w:val="21"/>
              </w:rPr>
              <w:t xml:space="preserve">AI conducts a live conversational mock interview — asks questions, listens to typed or voice answers, evaluates response quality</w:t>
            </w:r>
          </w:p>
          <w:p>
            <w:pPr>
              <w:pStyle w:val="ListParagraph"/>
              <w:numPr>
                <w:ilvl w:val="0"/>
                <w:numId w:val="2"/>
              </w:numPr>
              <w:spacing w:after="40" w:before="40"/>
            </w:pPr>
            <w:r>
              <w:rPr>
                <w:rFonts w:ascii="Arial" w:cs="Arial" w:eastAsia="Arial" w:hAnsi="Arial"/>
                <w:color w:val="0F172A"/>
                <w:sz w:val="21"/>
                <w:szCs w:val="21"/>
              </w:rPr>
              <w:t xml:space="preserve">At the end, generates a detailed feedback report: communication score, technical accuracy, confidence level, weak areas, suggested improvements</w:t>
            </w:r>
          </w:p>
          <w:p>
            <w:pPr>
              <w:pStyle w:val="ListParagraph"/>
              <w:numPr>
                <w:ilvl w:val="0"/>
                <w:numId w:val="2"/>
              </w:numPr>
              <w:spacing w:after="40" w:before="40"/>
            </w:pPr>
            <w:r>
              <w:rPr>
                <w:rFonts w:ascii="Arial" w:cs="Arial" w:eastAsia="Arial" w:hAnsi="Arial"/>
                <w:color w:val="0F172A"/>
                <w:sz w:val="21"/>
                <w:szCs w:val="21"/>
              </w:rPr>
              <w:t xml:space="preserve">Question bank built on real company-specific patterns — TCS NQT style, Infosys InfyTQ style, Wipro NLTH style</w:t>
            </w:r>
          </w:p>
          <w:p>
            <w:pPr>
              <w:pStyle w:val="ListParagraph"/>
              <w:numPr>
                <w:ilvl w:val="0"/>
                <w:numId w:val="2"/>
              </w:numPr>
              <w:spacing w:after="40" w:before="40"/>
            </w:pPr>
            <w:r>
              <w:rPr>
                <w:rFonts w:ascii="Arial" w:cs="Arial" w:eastAsia="Arial" w:hAnsi="Arial"/>
                <w:color w:val="0F172A"/>
                <w:sz w:val="21"/>
                <w:szCs w:val="21"/>
              </w:rPr>
              <w:t xml:space="preserve">Unlimited practice — student can redo any interview type as many times as needed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3"/>
              <w:left w:val="single" w:color="059669" w:sz="16"/>
              <w:bottom w:val="single" w:color="059669" w:sz="3"/>
              <w:right w:val="single" w:color="059669" w:sz="3"/>
            </w:tcBorders>
            <w:shd w:fill="ECFDF5" w:val="clear"/>
            <w:tcMar>
              <w:top w:type="dxa" w:w="160"/>
              <w:left w:type="dxa" w:w="220"/>
              <w:bottom w:type="dxa" w:w="160"/>
              <w:right w:type="dxa" w:w="220"/>
            </w:tcMar>
          </w:tcPr>
          <w:p>
            <w:pPr>
              <w:spacing w:after="60" w:before="0"/>
            </w:pPr>
            <w:r>
              <w:rPr>
                <w:rFonts w:ascii="Arial" w:cs="Arial" w:eastAsia="Arial" w:hAnsi="Arial"/>
                <w:b/>
                <w:bCs/>
                <w:color w:val="059669"/>
                <w:sz w:val="28"/>
                <w:szCs w:val="28"/>
              </w:rPr>
              <w:t xml:space="preserve">📄  Module 2: ResumeAI</w:t>
            </w:r>
          </w:p>
          <w:p>
            <w:pPr>
              <w:spacing w:after="100" w:before="0"/>
            </w:pPr>
            <w:r>
              <w:rPr>
                <w:rFonts w:ascii="Arial" w:cs="Arial" w:eastAsia="Arial" w:hAnsi="Arial"/>
                <w:i/>
                <w:iCs/>
                <w:color w:val="475569"/>
                <w:sz w:val="20"/>
                <w:szCs w:val="20"/>
              </w:rPr>
              <w:t xml:space="preserve">AI Resume Optimizer — ATS Score. Instant Rewrite. Download Ready.</w:t>
            </w:r>
          </w:p>
          <w:p>
            <w:pPr>
              <w:pStyle w:val="ListParagraph"/>
              <w:numPr>
                <w:ilvl w:val="0"/>
                <w:numId w:val="2"/>
              </w:numPr>
              <w:spacing w:after="40" w:before="40"/>
            </w:pPr>
            <w:r>
              <w:rPr>
                <w:rFonts w:ascii="Arial" w:cs="Arial" w:eastAsia="Arial" w:hAnsi="Arial"/>
                <w:color w:val="0F172A"/>
                <w:sz w:val="21"/>
                <w:szCs w:val="21"/>
              </w:rPr>
              <w:t xml:space="preserve">Student uploads resume PDF and pastes the job description they are targeting</w:t>
            </w:r>
          </w:p>
          <w:p>
            <w:pPr>
              <w:pStyle w:val="ListParagraph"/>
              <w:numPr>
                <w:ilvl w:val="0"/>
                <w:numId w:val="2"/>
              </w:numPr>
              <w:spacing w:after="40" w:before="40"/>
            </w:pPr>
            <w:r>
              <w:rPr>
                <w:rFonts w:ascii="Arial" w:cs="Arial" w:eastAsia="Arial" w:hAnsi="Arial"/>
                <w:color w:val="0F172A"/>
                <w:sz w:val="21"/>
                <w:szCs w:val="21"/>
              </w:rPr>
              <w:t xml:space="preserve">AI scores the resume against the JD: ATS match percentage, keyword gaps, formatting issues, weak action verbs</w:t>
            </w:r>
          </w:p>
          <w:p>
            <w:pPr>
              <w:pStyle w:val="ListParagraph"/>
              <w:numPr>
                <w:ilvl w:val="0"/>
                <w:numId w:val="2"/>
              </w:numPr>
              <w:spacing w:after="40" w:before="40"/>
            </w:pPr>
            <w:r>
              <w:rPr>
                <w:rFonts w:ascii="Arial" w:cs="Arial" w:eastAsia="Arial" w:hAnsi="Arial"/>
                <w:color w:val="0F172A"/>
                <w:sz w:val="21"/>
                <w:szCs w:val="21"/>
              </w:rPr>
              <w:t xml:space="preserve">AI rewrites each bullet point to be stronger, more measurable, and ATS-friendly</w:t>
            </w:r>
          </w:p>
          <w:p>
            <w:pPr>
              <w:pStyle w:val="ListParagraph"/>
              <w:numPr>
                <w:ilvl w:val="0"/>
                <w:numId w:val="2"/>
              </w:numPr>
              <w:spacing w:after="40" w:before="40"/>
            </w:pPr>
            <w:r>
              <w:rPr>
                <w:rFonts w:ascii="Arial" w:cs="Arial" w:eastAsia="Arial" w:hAnsi="Arial"/>
                <w:color w:val="0F172A"/>
                <w:sz w:val="21"/>
                <w:szCs w:val="21"/>
              </w:rPr>
              <w:t xml:space="preserve">Generates a downloadable improved resume in PDF and DOCX format</w:t>
            </w:r>
          </w:p>
          <w:p>
            <w:pPr>
              <w:pStyle w:val="ListParagraph"/>
              <w:numPr>
                <w:ilvl w:val="0"/>
                <w:numId w:val="2"/>
              </w:numPr>
              <w:spacing w:after="40" w:before="40"/>
            </w:pPr>
            <w:r>
              <w:rPr>
                <w:rFonts w:ascii="Arial" w:cs="Arial" w:eastAsia="Arial" w:hAnsi="Arial"/>
                <w:color w:val="0F172A"/>
                <w:sz w:val="21"/>
                <w:szCs w:val="21"/>
              </w:rPr>
              <w:t xml:space="preserve">India-specific context — understands Naukri keywords, Indian HR language, CGPA formatting, and project section conventions</w:t>
            </w:r>
          </w:p>
          <w:p>
            <w:pPr>
              <w:pStyle w:val="ListParagraph"/>
              <w:numPr>
                <w:ilvl w:val="0"/>
                <w:numId w:val="2"/>
              </w:numPr>
              <w:spacing w:after="40" w:before="40"/>
            </w:pPr>
            <w:r>
              <w:rPr>
                <w:rFonts w:ascii="Arial" w:cs="Arial" w:eastAsia="Arial" w:hAnsi="Arial"/>
                <w:color w:val="0F172A"/>
                <w:sz w:val="21"/>
                <w:szCs w:val="21"/>
              </w:rPr>
              <w:t xml:space="preserve">Additional feature: LinkedIn bio generator from resume data</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3"/>
              <w:left w:val="single" w:color="D97706" w:sz="16"/>
              <w:bottom w:val="single" w:color="D97706" w:sz="3"/>
              <w:right w:val="single" w:color="D97706" w:sz="3"/>
            </w:tcBorders>
            <w:shd w:fill="FFFBEB" w:val="clear"/>
            <w:tcMar>
              <w:top w:type="dxa" w:w="160"/>
              <w:left w:type="dxa" w:w="220"/>
              <w:bottom w:type="dxa" w:w="160"/>
              <w:right w:type="dxa" w:w="220"/>
            </w:tcMar>
          </w:tcPr>
          <w:p>
            <w:pPr>
              <w:spacing w:after="60" w:before="0"/>
            </w:pPr>
            <w:r>
              <w:rPr>
                <w:rFonts w:ascii="Arial" w:cs="Arial" w:eastAsia="Arial" w:hAnsi="Arial"/>
                <w:b/>
                <w:bCs/>
                <w:color w:val="D97706"/>
                <w:sz w:val="28"/>
                <w:szCs w:val="28"/>
              </w:rPr>
              <w:t xml:space="preserve">⚡  Module 3: FlashLearn</w:t>
            </w:r>
          </w:p>
          <w:p>
            <w:pPr>
              <w:spacing w:after="100" w:before="0"/>
            </w:pPr>
            <w:r>
              <w:rPr>
                <w:rFonts w:ascii="Arial" w:cs="Arial" w:eastAsia="Arial" w:hAnsi="Arial"/>
                <w:i/>
                <w:iCs/>
                <w:color w:val="475569"/>
                <w:sz w:val="20"/>
                <w:szCs w:val="20"/>
              </w:rPr>
              <w:t xml:space="preserve">AI Study Converter — Upload Notes. Get Flashcards, MCQs &amp; Summaries Instantly.</w:t>
            </w:r>
          </w:p>
          <w:p>
            <w:pPr>
              <w:pStyle w:val="ListParagraph"/>
              <w:numPr>
                <w:ilvl w:val="0"/>
                <w:numId w:val="2"/>
              </w:numPr>
              <w:spacing w:after="40" w:before="40"/>
            </w:pPr>
            <w:r>
              <w:rPr>
                <w:rFonts w:ascii="Arial" w:cs="Arial" w:eastAsia="Arial" w:hAnsi="Arial"/>
                <w:color w:val="0F172A"/>
                <w:sz w:val="21"/>
                <w:szCs w:val="21"/>
              </w:rPr>
              <w:t xml:space="preserve">Student uploads a PDF (textbook chapter, handwritten notes scan, lecture slides)</w:t>
            </w:r>
          </w:p>
          <w:p>
            <w:pPr>
              <w:pStyle w:val="ListParagraph"/>
              <w:numPr>
                <w:ilvl w:val="0"/>
                <w:numId w:val="2"/>
              </w:numPr>
              <w:spacing w:after="40" w:before="40"/>
            </w:pPr>
            <w:r>
              <w:rPr>
                <w:rFonts w:ascii="Arial" w:cs="Arial" w:eastAsia="Arial" w:hAnsi="Arial"/>
                <w:color w:val="0F172A"/>
                <w:sz w:val="21"/>
                <w:szCs w:val="21"/>
              </w:rPr>
              <w:t xml:space="preserve">AI generates: subject-wise flashcards (Q&amp;A format), 10 MCQs with explanations for exam practice, a one-page revision summary</w:t>
            </w:r>
          </w:p>
          <w:p>
            <w:pPr>
              <w:pStyle w:val="ListParagraph"/>
              <w:numPr>
                <w:ilvl w:val="0"/>
                <w:numId w:val="2"/>
              </w:numPr>
              <w:spacing w:after="40" w:before="40"/>
            </w:pPr>
            <w:r>
              <w:rPr>
                <w:rFonts w:ascii="Arial" w:cs="Arial" w:eastAsia="Arial" w:hAnsi="Arial"/>
                <w:color w:val="0F172A"/>
                <w:sz w:val="21"/>
                <w:szCs w:val="21"/>
              </w:rPr>
              <w:t xml:space="preserve">India syllabus context — understands Anna University, JNTU, VTU, Mumbai University subject patterns</w:t>
            </w:r>
          </w:p>
          <w:p>
            <w:pPr>
              <w:pStyle w:val="ListParagraph"/>
              <w:numPr>
                <w:ilvl w:val="0"/>
                <w:numId w:val="2"/>
              </w:numPr>
              <w:spacing w:after="40" w:before="40"/>
            </w:pPr>
            <w:r>
              <w:rPr>
                <w:rFonts w:ascii="Arial" w:cs="Arial" w:eastAsia="Arial" w:hAnsi="Arial"/>
                <w:color w:val="0F172A"/>
                <w:sz w:val="21"/>
                <w:szCs w:val="21"/>
              </w:rPr>
              <w:t xml:space="preserve">Student can export flashcards to printable PDF or study them interactively on-screen</w:t>
            </w:r>
          </w:p>
          <w:p>
            <w:pPr>
              <w:pStyle w:val="ListParagraph"/>
              <w:numPr>
                <w:ilvl w:val="0"/>
                <w:numId w:val="2"/>
              </w:numPr>
              <w:spacing w:after="40" w:before="40"/>
            </w:pPr>
            <w:r>
              <w:rPr>
                <w:rFonts w:ascii="Arial" w:cs="Arial" w:eastAsia="Arial" w:hAnsi="Arial"/>
                <w:color w:val="0F172A"/>
                <w:sz w:val="21"/>
                <w:szCs w:val="21"/>
              </w:rPr>
              <w:t xml:space="preserve">Spaced repetition reminder — notifies students to revise flashcards at optimal intervals before exams</w:t>
            </w:r>
          </w:p>
        </w:tc>
      </w:tr>
    </w:tbl>
    <w:p>
      <w:pPr>
        <w:spacing w:after="120" w:before="0"/>
      </w:pPr>
      <w:r>
        <w:t xml:space="preserve"/>
      </w:r>
    </w:p>
    <w:p>
      <w:pPr>
        <w:pStyle w:val="Heading1"/>
        <w:pBdr>
          <w:bottom w:val="single" w:color="7C3AED" w:sz="4" w:space="6"/>
        </w:pBdr>
        <w:spacing w:after="120" w:before="400"/>
      </w:pPr>
      <w:r>
        <w:rPr>
          <w:rFonts w:ascii="Arial" w:cs="Arial" w:eastAsia="Arial" w:hAnsi="Arial"/>
          <w:b/>
          <w:bCs/>
          <w:color w:val="7C3AED"/>
          <w:sz w:val="32"/>
          <w:szCs w:val="32"/>
        </w:rPr>
        <w:t xml:space="preserve">3. Revenue Model &amp; Path to ₹5,000/Month</w:t>
      </w:r>
    </w:p>
    <w:p>
      <w:pPr>
        <w:pStyle w:val="Heading2"/>
        <w:spacing w:after="100" w:before="280"/>
      </w:pPr>
      <w:r>
        <w:rPr>
          <w:rFonts w:ascii="Arial" w:cs="Arial" w:eastAsia="Arial" w:hAnsi="Arial"/>
          <w:b/>
          <w:bCs/>
          <w:color w:val="0F172A"/>
          <w:sz w:val="26"/>
          <w:szCs w:val="26"/>
        </w:rPr>
        <w:t xml:space="preserve">3.1 Pricing</w:t>
      </w:r>
    </w:p>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600"/>
        <w:gridCol w:w="1600"/>
        <w:gridCol w:w="1760"/>
        <w:gridCol w:w="1600"/>
      </w:tblGrid>
      <w:tr>
        <w:trPr>
          <w:tblHeader/>
        </w:trPr>
        <w:tc>
          <w:tcPr>
            <w:tcW w:type="dxa" w:w="1400"/>
            <w:tcBorders>
              <w:top w:val="single" w:color="DDD6FE" w:sz="1"/>
              <w:left w:val="single" w:color="DDD6FE" w:sz="1"/>
              <w:bottom w:val="single" w:color="DDD6FE" w:sz="1"/>
              <w:right w:val="single" w:color="DDD6FE" w:sz="1"/>
            </w:tcBorders>
            <w:shd w:fill="3B0764" w:val="clear"/>
            <w:tcMar>
              <w:top w:type="dxa" w:w="100"/>
              <w:left w:type="dxa" w:w="120"/>
              <w:bottom w:type="dxa" w:w="100"/>
              <w:right w:type="dxa" w:w="120"/>
            </w:tcMar>
            <w:vAlign w:val="center"/>
          </w:tcPr>
          <w:p>
            <w:r>
              <w:rPr>
                <w:rFonts w:ascii="Arial" w:cs="Arial" w:eastAsia="Arial" w:hAnsi="Arial"/>
                <w:b/>
                <w:bCs/>
                <w:color w:val="FFFFFF"/>
                <w:sz w:val="20"/>
                <w:szCs w:val="20"/>
              </w:rPr>
              <w:t xml:space="preserve">Plan</w:t>
            </w:r>
          </w:p>
        </w:tc>
        <w:tc>
          <w:tcPr>
            <w:tcW w:type="dxa" w:w="1000"/>
            <w:tcBorders>
              <w:top w:val="single" w:color="DDD6FE" w:sz="1"/>
              <w:left w:val="single" w:color="DDD6FE" w:sz="1"/>
              <w:bottom w:val="single" w:color="DDD6FE" w:sz="1"/>
              <w:right w:val="single" w:color="DDD6FE" w:sz="1"/>
            </w:tcBorders>
            <w:shd w:fill="3B0764" w:val="clear"/>
            <w:tcMar>
              <w:top w:type="dxa" w:w="100"/>
              <w:left w:type="dxa" w:w="120"/>
              <w:bottom w:type="dxa" w:w="100"/>
              <w:right w:type="dxa" w:w="120"/>
            </w:tcMar>
            <w:vAlign w:val="center"/>
          </w:tcPr>
          <w:p>
            <w:r>
              <w:rPr>
                <w:rFonts w:ascii="Arial" w:cs="Arial" w:eastAsia="Arial" w:hAnsi="Arial"/>
                <w:b/>
                <w:bCs/>
                <w:color w:val="FFFFFF"/>
                <w:sz w:val="20"/>
                <w:szCs w:val="20"/>
              </w:rPr>
              <w:t xml:space="preserve">Price</w:t>
            </w:r>
          </w:p>
        </w:tc>
        <w:tc>
          <w:tcPr>
            <w:tcW w:type="dxa" w:w="1600"/>
            <w:tcBorders>
              <w:top w:val="single" w:color="DDD6FE" w:sz="1"/>
              <w:left w:val="single" w:color="DDD6FE" w:sz="1"/>
              <w:bottom w:val="single" w:color="DDD6FE" w:sz="1"/>
              <w:right w:val="single" w:color="DDD6FE" w:sz="1"/>
            </w:tcBorders>
            <w:shd w:fill="3B0764" w:val="clear"/>
            <w:tcMar>
              <w:top w:type="dxa" w:w="100"/>
              <w:left w:type="dxa" w:w="120"/>
              <w:bottom w:type="dxa" w:w="100"/>
              <w:right w:type="dxa" w:w="120"/>
            </w:tcMar>
            <w:vAlign w:val="center"/>
          </w:tcPr>
          <w:p>
            <w:r>
              <w:rPr>
                <w:rFonts w:ascii="Arial" w:cs="Arial" w:eastAsia="Arial" w:hAnsi="Arial"/>
                <w:b/>
                <w:bCs/>
                <w:color w:val="FFFFFF"/>
                <w:sz w:val="20"/>
                <w:szCs w:val="20"/>
              </w:rPr>
              <w:t xml:space="preserve">MockMate</w:t>
            </w:r>
          </w:p>
        </w:tc>
        <w:tc>
          <w:tcPr>
            <w:tcW w:type="dxa" w:w="1600"/>
            <w:tcBorders>
              <w:top w:val="single" w:color="DDD6FE" w:sz="1"/>
              <w:left w:val="single" w:color="DDD6FE" w:sz="1"/>
              <w:bottom w:val="single" w:color="DDD6FE" w:sz="1"/>
              <w:right w:val="single" w:color="DDD6FE" w:sz="1"/>
            </w:tcBorders>
            <w:shd w:fill="3B0764" w:val="clear"/>
            <w:tcMar>
              <w:top w:type="dxa" w:w="100"/>
              <w:left w:type="dxa" w:w="120"/>
              <w:bottom w:type="dxa" w:w="100"/>
              <w:right w:type="dxa" w:w="120"/>
            </w:tcMar>
            <w:vAlign w:val="center"/>
          </w:tcPr>
          <w:p>
            <w:r>
              <w:rPr>
                <w:rFonts w:ascii="Arial" w:cs="Arial" w:eastAsia="Arial" w:hAnsi="Arial"/>
                <w:b/>
                <w:bCs/>
                <w:color w:val="FFFFFF"/>
                <w:sz w:val="20"/>
                <w:szCs w:val="20"/>
              </w:rPr>
              <w:t xml:space="preserve">ResumeAI</w:t>
            </w:r>
          </w:p>
        </w:tc>
        <w:tc>
          <w:tcPr>
            <w:tcW w:type="dxa" w:w="1760"/>
            <w:tcBorders>
              <w:top w:val="single" w:color="DDD6FE" w:sz="1"/>
              <w:left w:val="single" w:color="DDD6FE" w:sz="1"/>
              <w:bottom w:val="single" w:color="DDD6FE" w:sz="1"/>
              <w:right w:val="single" w:color="DDD6FE" w:sz="1"/>
            </w:tcBorders>
            <w:shd w:fill="3B0764" w:val="clear"/>
            <w:tcMar>
              <w:top w:type="dxa" w:w="100"/>
              <w:left w:type="dxa" w:w="120"/>
              <w:bottom w:type="dxa" w:w="100"/>
              <w:right w:type="dxa" w:w="120"/>
            </w:tcMar>
            <w:vAlign w:val="center"/>
          </w:tcPr>
          <w:p>
            <w:r>
              <w:rPr>
                <w:rFonts w:ascii="Arial" w:cs="Arial" w:eastAsia="Arial" w:hAnsi="Arial"/>
                <w:b/>
                <w:bCs/>
                <w:color w:val="FFFFFF"/>
                <w:sz w:val="20"/>
                <w:szCs w:val="20"/>
              </w:rPr>
              <w:t xml:space="preserve">FlashLearn</w:t>
            </w:r>
          </w:p>
        </w:tc>
        <w:tc>
          <w:tcPr>
            <w:tcW w:type="dxa" w:w="1600"/>
            <w:tcBorders>
              <w:top w:val="single" w:color="DDD6FE" w:sz="1"/>
              <w:left w:val="single" w:color="DDD6FE" w:sz="1"/>
              <w:bottom w:val="single" w:color="DDD6FE" w:sz="1"/>
              <w:right w:val="single" w:color="DDD6FE" w:sz="1"/>
            </w:tcBorders>
            <w:shd w:fill="3B0764" w:val="clear"/>
            <w:tcMar>
              <w:top w:type="dxa" w:w="100"/>
              <w:left w:type="dxa" w:w="120"/>
              <w:bottom w:type="dxa" w:w="100"/>
              <w:right w:type="dxa" w:w="120"/>
            </w:tcMar>
            <w:vAlign w:val="center"/>
          </w:tcPr>
          <w:p>
            <w:r>
              <w:rPr>
                <w:rFonts w:ascii="Arial" w:cs="Arial" w:eastAsia="Arial" w:hAnsi="Arial"/>
                <w:b/>
                <w:bCs/>
                <w:color w:val="FFFFFF"/>
                <w:sz w:val="20"/>
                <w:szCs w:val="20"/>
              </w:rPr>
              <w:t xml:space="preserve">Best For</w:t>
            </w:r>
          </w:p>
        </w:tc>
      </w:tr>
      <w:tr>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Free</w:t>
            </w:r>
          </w:p>
        </w:tc>
        <w:tc>
          <w:tcPr>
            <w:tcW w:type="dxa" w:w="1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₹0</w:t>
            </w:r>
          </w:p>
        </w:tc>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2 sessions/month</w:t>
            </w:r>
          </w:p>
        </w:tc>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1 review/month</w:t>
            </w:r>
          </w:p>
        </w:tc>
        <w:tc>
          <w:tcPr>
            <w:tcW w:type="dxa" w:w="1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3 uploads/month</w:t>
            </w:r>
          </w:p>
        </w:tc>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First-time users</w:t>
            </w:r>
          </w:p>
        </w:tc>
      </w:tr>
      <w:tr>
        <w:tc>
          <w:tcPr>
            <w:tcW w:type="dxa" w:w="14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Student Pro</w:t>
            </w:r>
          </w:p>
        </w:tc>
        <w:tc>
          <w:tcPr>
            <w:tcW w:type="dxa" w:w="10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₹99/month</w:t>
            </w:r>
          </w:p>
        </w:tc>
        <w:tc>
          <w:tcPr>
            <w:tcW w:type="dxa" w:w="16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Unlimited</w:t>
            </w:r>
          </w:p>
        </w:tc>
        <w:tc>
          <w:tcPr>
            <w:tcW w:type="dxa" w:w="16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Unlimited</w:t>
            </w:r>
          </w:p>
        </w:tc>
        <w:tc>
          <w:tcPr>
            <w:tcW w:type="dxa" w:w="176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Unlimited</w:t>
            </w:r>
          </w:p>
        </w:tc>
        <w:tc>
          <w:tcPr>
            <w:tcW w:type="dxa" w:w="16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Active placement seekers</w:t>
            </w:r>
          </w:p>
        </w:tc>
      </w:tr>
      <w:tr>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Placement Pack</w:t>
            </w:r>
          </w:p>
        </w:tc>
        <w:tc>
          <w:tcPr>
            <w:tcW w:type="dxa" w:w="1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₹249 one-time</w:t>
            </w:r>
          </w:p>
        </w:tc>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30 sessions</w:t>
            </w:r>
          </w:p>
        </w:tc>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10 reviews</w:t>
            </w:r>
          </w:p>
        </w:tc>
        <w:tc>
          <w:tcPr>
            <w:tcW w:type="dxa" w:w="1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20 uploads</w:t>
            </w:r>
          </w:p>
        </w:tc>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Students who avoid subscriptions</w:t>
            </w:r>
          </w:p>
        </w:tc>
      </w:tr>
    </w:tbl>
    <w:p>
      <w:pPr>
        <w:spacing w:after="60" w:before="0"/>
      </w:pPr>
      <w:r>
        <w:t xml:space="preserve"/>
      </w:r>
    </w:p>
    <w:p>
      <w:pPr>
        <w:pStyle w:val="Heading2"/>
        <w:spacing w:after="100" w:before="280"/>
      </w:pPr>
      <w:r>
        <w:rPr>
          <w:rFonts w:ascii="Arial" w:cs="Arial" w:eastAsia="Arial" w:hAnsi="Arial"/>
          <w:b/>
          <w:bCs/>
          <w:color w:val="0F172A"/>
          <w:sz w:val="26"/>
          <w:szCs w:val="26"/>
        </w:rPr>
        <w:t xml:space="preserve">3.2 Revenue Math — Honest Numbers</w:t>
      </w:r>
    </w:p>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700"/>
        <w:gridCol w:w="1700"/>
        <w:gridCol w:w="3560"/>
      </w:tblGrid>
      <w:tr>
        <w:trPr>
          <w:tblHeader/>
        </w:trPr>
        <w:tc>
          <w:tcPr>
            <w:tcW w:type="dxa" w:w="1000"/>
            <w:tcBorders>
              <w:top w:val="single" w:color="DDD6FE" w:sz="1"/>
              <w:left w:val="single" w:color="DDD6FE" w:sz="1"/>
              <w:bottom w:val="single" w:color="DDD6FE" w:sz="1"/>
              <w:right w:val="single" w:color="DDD6FE" w:sz="1"/>
            </w:tcBorders>
            <w:shd w:fill="3B0764" w:val="clear"/>
            <w:tcMar>
              <w:top w:type="dxa" w:w="100"/>
              <w:left w:type="dxa" w:w="120"/>
              <w:bottom w:type="dxa" w:w="100"/>
              <w:right w:type="dxa" w:w="120"/>
            </w:tcMar>
            <w:vAlign w:val="center"/>
          </w:tcPr>
          <w:p>
            <w:r>
              <w:rPr>
                <w:rFonts w:ascii="Arial" w:cs="Arial" w:eastAsia="Arial" w:hAnsi="Arial"/>
                <w:b/>
                <w:bCs/>
                <w:color w:val="FFFFFF"/>
                <w:sz w:val="20"/>
                <w:szCs w:val="20"/>
              </w:rPr>
              <w:t xml:space="preserve">Month</w:t>
            </w:r>
          </w:p>
        </w:tc>
        <w:tc>
          <w:tcPr>
            <w:tcW w:type="dxa" w:w="1400"/>
            <w:tcBorders>
              <w:top w:val="single" w:color="DDD6FE" w:sz="1"/>
              <w:left w:val="single" w:color="DDD6FE" w:sz="1"/>
              <w:bottom w:val="single" w:color="DDD6FE" w:sz="1"/>
              <w:right w:val="single" w:color="DDD6FE" w:sz="1"/>
            </w:tcBorders>
            <w:shd w:fill="3B0764" w:val="clear"/>
            <w:tcMar>
              <w:top w:type="dxa" w:w="100"/>
              <w:left w:type="dxa" w:w="120"/>
              <w:bottom w:type="dxa" w:w="100"/>
              <w:right w:type="dxa" w:w="120"/>
            </w:tcMar>
            <w:vAlign w:val="center"/>
          </w:tcPr>
          <w:p>
            <w:r>
              <w:rPr>
                <w:rFonts w:ascii="Arial" w:cs="Arial" w:eastAsia="Arial" w:hAnsi="Arial"/>
                <w:b/>
                <w:bCs/>
                <w:color w:val="FFFFFF"/>
                <w:sz w:val="20"/>
                <w:szCs w:val="20"/>
              </w:rPr>
              <w:t xml:space="preserve">Paying Users</w:t>
            </w:r>
          </w:p>
        </w:tc>
        <w:tc>
          <w:tcPr>
            <w:tcW w:type="dxa" w:w="1700"/>
            <w:tcBorders>
              <w:top w:val="single" w:color="DDD6FE" w:sz="1"/>
              <w:left w:val="single" w:color="DDD6FE" w:sz="1"/>
              <w:bottom w:val="single" w:color="DDD6FE" w:sz="1"/>
              <w:right w:val="single" w:color="DDD6FE" w:sz="1"/>
            </w:tcBorders>
            <w:shd w:fill="3B0764" w:val="clear"/>
            <w:tcMar>
              <w:top w:type="dxa" w:w="100"/>
              <w:left w:type="dxa" w:w="120"/>
              <w:bottom w:type="dxa" w:w="100"/>
              <w:right w:type="dxa" w:w="120"/>
            </w:tcMar>
            <w:vAlign w:val="center"/>
          </w:tcPr>
          <w:p>
            <w:r>
              <w:rPr>
                <w:rFonts w:ascii="Arial" w:cs="Arial" w:eastAsia="Arial" w:hAnsi="Arial"/>
                <w:b/>
                <w:bCs/>
                <w:color w:val="FFFFFF"/>
                <w:sz w:val="20"/>
                <w:szCs w:val="20"/>
              </w:rPr>
              <w:t xml:space="preserve">Avg Revenue/User</w:t>
            </w:r>
          </w:p>
        </w:tc>
        <w:tc>
          <w:tcPr>
            <w:tcW w:type="dxa" w:w="1700"/>
            <w:tcBorders>
              <w:top w:val="single" w:color="DDD6FE" w:sz="1"/>
              <w:left w:val="single" w:color="DDD6FE" w:sz="1"/>
              <w:bottom w:val="single" w:color="DDD6FE" w:sz="1"/>
              <w:right w:val="single" w:color="DDD6FE" w:sz="1"/>
            </w:tcBorders>
            <w:shd w:fill="3B0764" w:val="clear"/>
            <w:tcMar>
              <w:top w:type="dxa" w:w="100"/>
              <w:left w:type="dxa" w:w="120"/>
              <w:bottom w:type="dxa" w:w="100"/>
              <w:right w:type="dxa" w:w="120"/>
            </w:tcMar>
            <w:vAlign w:val="center"/>
          </w:tcPr>
          <w:p>
            <w:r>
              <w:rPr>
                <w:rFonts w:ascii="Arial" w:cs="Arial" w:eastAsia="Arial" w:hAnsi="Arial"/>
                <w:b/>
                <w:bCs/>
                <w:color w:val="FFFFFF"/>
                <w:sz w:val="20"/>
                <w:szCs w:val="20"/>
              </w:rPr>
              <w:t xml:space="preserve">Monthly Revenue</w:t>
            </w:r>
          </w:p>
        </w:tc>
        <w:tc>
          <w:tcPr>
            <w:tcW w:type="dxa" w:w="3560"/>
            <w:tcBorders>
              <w:top w:val="single" w:color="DDD6FE" w:sz="1"/>
              <w:left w:val="single" w:color="DDD6FE" w:sz="1"/>
              <w:bottom w:val="single" w:color="DDD6FE" w:sz="1"/>
              <w:right w:val="single" w:color="DDD6FE" w:sz="1"/>
            </w:tcBorders>
            <w:shd w:fill="3B0764"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Needs to Happen</w:t>
            </w:r>
          </w:p>
        </w:tc>
      </w:tr>
      <w:tr>
        <w:tc>
          <w:tcPr>
            <w:tcW w:type="dxa" w:w="1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Month 1</w:t>
            </w:r>
          </w:p>
        </w:tc>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10</w:t>
            </w:r>
          </w:p>
        </w:tc>
        <w:tc>
          <w:tcPr>
            <w:tcW w:type="dxa" w:w="17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₹99</w:t>
            </w:r>
          </w:p>
        </w:tc>
        <w:tc>
          <w:tcPr>
            <w:tcW w:type="dxa" w:w="17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₹990</w:t>
            </w:r>
          </w:p>
        </w:tc>
        <w:tc>
          <w:tcPr>
            <w:tcW w:type="dxa" w:w="3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Personal network, KL University WhatsApp groups</w:t>
            </w:r>
          </w:p>
        </w:tc>
      </w:tr>
      <w:tr>
        <w:tc>
          <w:tcPr>
            <w:tcW w:type="dxa" w:w="10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Month 2</w:t>
            </w:r>
          </w:p>
        </w:tc>
        <w:tc>
          <w:tcPr>
            <w:tcW w:type="dxa" w:w="14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30</w:t>
            </w:r>
          </w:p>
        </w:tc>
        <w:tc>
          <w:tcPr>
            <w:tcW w:type="dxa" w:w="17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₹99</w:t>
            </w:r>
          </w:p>
        </w:tc>
        <w:tc>
          <w:tcPr>
            <w:tcW w:type="dxa" w:w="17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₹2,970</w:t>
            </w:r>
          </w:p>
        </w:tc>
        <w:tc>
          <w:tcPr>
            <w:tcW w:type="dxa" w:w="356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LinkedIn posts, college ambassador in 2 colleges</w:t>
            </w:r>
          </w:p>
        </w:tc>
      </w:tr>
      <w:tr>
        <w:tc>
          <w:tcPr>
            <w:tcW w:type="dxa" w:w="1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Month 3</w:t>
            </w:r>
          </w:p>
        </w:tc>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52</w:t>
            </w:r>
          </w:p>
        </w:tc>
        <w:tc>
          <w:tcPr>
            <w:tcW w:type="dxa" w:w="17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₹99</w:t>
            </w:r>
          </w:p>
        </w:tc>
        <w:tc>
          <w:tcPr>
            <w:tcW w:type="dxa" w:w="17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₹5,148</w:t>
            </w:r>
          </w:p>
        </w:tc>
        <w:tc>
          <w:tcPr>
            <w:tcW w:type="dxa" w:w="3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TARGET REACHED — word of mouth from placed students</w:t>
            </w:r>
          </w:p>
        </w:tc>
      </w:tr>
      <w:tr>
        <w:tc>
          <w:tcPr>
            <w:tcW w:type="dxa" w:w="10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Month 6</w:t>
            </w:r>
          </w:p>
        </w:tc>
        <w:tc>
          <w:tcPr>
            <w:tcW w:type="dxa" w:w="14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150</w:t>
            </w:r>
          </w:p>
        </w:tc>
        <w:tc>
          <w:tcPr>
            <w:tcW w:type="dxa" w:w="17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₹95</w:t>
            </w:r>
          </w:p>
        </w:tc>
        <w:tc>
          <w:tcPr>
            <w:tcW w:type="dxa" w:w="17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₹14,250</w:t>
            </w:r>
          </w:p>
        </w:tc>
        <w:tc>
          <w:tcPr>
            <w:tcW w:type="dxa" w:w="356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3-5 college ambassadors, placement season peak</w:t>
            </w:r>
          </w:p>
        </w:tc>
      </w:tr>
      <w:tr>
        <w:tc>
          <w:tcPr>
            <w:tcW w:type="dxa" w:w="1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Month 12</w:t>
            </w:r>
          </w:p>
        </w:tc>
        <w:tc>
          <w:tcPr>
            <w:tcW w:type="dxa" w:w="1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400</w:t>
            </w:r>
          </w:p>
        </w:tc>
        <w:tc>
          <w:tcPr>
            <w:tcW w:type="dxa" w:w="17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₹90</w:t>
            </w:r>
          </w:p>
        </w:tc>
        <w:tc>
          <w:tcPr>
            <w:tcW w:type="dxa" w:w="17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₹36,000</w:t>
            </w:r>
          </w:p>
        </w:tc>
        <w:tc>
          <w:tcPr>
            <w:tcW w:type="dxa" w:w="3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Organic SEO, YouTube shorts, college partnerships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3"/>
              <w:left w:val="single" w:color="7C3AED" w:sz="12"/>
              <w:bottom w:val="single" w:color="7C3AED" w:sz="3"/>
              <w:right w:val="single" w:color="7C3AED" w:sz="3"/>
            </w:tcBorders>
            <w:shd w:fill="FAF5FF" w:val="clear"/>
            <w:tcMar>
              <w:top w:type="dxa" w:w="140"/>
              <w:left w:type="dxa" w:w="200"/>
              <w:bottom w:type="dxa" w:w="140"/>
              <w:right w:type="dxa" w:w="200"/>
            </w:tcMar>
          </w:tcPr>
          <w:p>
            <w:pPr>
              <w:spacing w:after="80" w:before="0"/>
            </w:pPr>
            <w:r>
              <w:rPr>
                <w:rFonts w:ascii="Arial" w:cs="Arial" w:eastAsia="Arial" w:hAnsi="Arial"/>
                <w:b/>
                <w:bCs/>
                <w:color w:val="7C3AED"/>
                <w:sz w:val="22"/>
                <w:szCs w:val="22"/>
              </w:rPr>
              <w:t xml:space="preserve">The ₹5,000/Month Target is 52 Students</w:t>
            </w:r>
          </w:p>
          <w:p>
            <w:pPr>
              <w:spacing w:after="80" w:before="80"/>
            </w:pPr>
            <w:r>
              <w:rPr>
                <w:rFonts w:ascii="Arial" w:cs="Arial" w:eastAsia="Arial" w:hAnsi="Arial"/>
                <w:color w:val="0F172A"/>
                <w:sz w:val="22"/>
                <w:szCs w:val="22"/>
              </w:rPr>
              <w:t xml:space="preserve">India has over 15 lakh engineering students appearing for campus placements every year. Hyderabad alone has thousands of students at JNTU, Osmania, BITS, KL University, VIT, and Mahindra University. You need 52 of them to pay ₹99/month. This is not optimistic — it is a very conservative target for a tool that directly helps a student get placed.</w:t>
            </w:r>
          </w:p>
        </w:tc>
      </w:tr>
    </w:tbl>
    <w:p>
      <w:pPr>
        <w:spacing w:after="60" w:before="0"/>
      </w:pPr>
      <w:r>
        <w:t xml:space="preserve"/>
      </w:r>
    </w:p>
    <w:p>
      <w:pPr>
        <w:pStyle w:val="Heading2"/>
        <w:spacing w:after="100" w:before="280"/>
      </w:pPr>
      <w:r>
        <w:rPr>
          <w:rFonts w:ascii="Arial" w:cs="Arial" w:eastAsia="Arial" w:hAnsi="Arial"/>
          <w:b/>
          <w:bCs/>
          <w:color w:val="0F172A"/>
          <w:sz w:val="26"/>
          <w:szCs w:val="26"/>
        </w:rPr>
        <w:t xml:space="preserve">3.3 Payment Setup (Zero Cost to Start)</w:t>
      </w:r>
    </w:p>
    <w:p>
      <w:pPr>
        <w:pStyle w:val="ListParagraph"/>
        <w:numPr>
          <w:ilvl w:val="0"/>
          <w:numId w:val="2"/>
        </w:numPr>
        <w:spacing w:after="60" w:before="60"/>
      </w:pPr>
      <w:r>
        <w:rPr>
          <w:rFonts w:ascii="Arial" w:cs="Arial" w:eastAsia="Arial" w:hAnsi="Arial"/>
          <w:b/>
          <w:bCs/>
          <w:color w:val="7C3AED"/>
          <w:sz w:val="22"/>
          <w:szCs w:val="22"/>
        </w:rPr>
        <w:t xml:space="preserve">Use: </w:t>
      </w:r>
      <w:r>
        <w:rPr>
          <w:rFonts w:ascii="Arial" w:cs="Arial" w:eastAsia="Arial" w:hAnsi="Arial"/>
          <w:color w:val="0F172A"/>
          <w:sz w:val="22"/>
          <w:szCs w:val="22"/>
        </w:rPr>
        <w:t xml:space="preserve">Razorpay — free to set up, 2% fee per transaction, supports UPI/card/netbanking. Best for Indian students.</w:t>
      </w:r>
    </w:p>
    <w:p>
      <w:pPr>
        <w:pStyle w:val="ListParagraph"/>
        <w:numPr>
          <w:ilvl w:val="0"/>
          <w:numId w:val="2"/>
        </w:numPr>
        <w:spacing w:after="60" w:before="60"/>
      </w:pPr>
      <w:r>
        <w:rPr>
          <w:rFonts w:ascii="Arial" w:cs="Arial" w:eastAsia="Arial" w:hAnsi="Arial"/>
          <w:b/>
          <w:bCs/>
          <w:color w:val="7C3AED"/>
          <w:sz w:val="22"/>
          <w:szCs w:val="22"/>
        </w:rPr>
        <w:t xml:space="preserve">How: </w:t>
      </w:r>
      <w:r>
        <w:rPr>
          <w:rFonts w:ascii="Arial" w:cs="Arial" w:eastAsia="Arial" w:hAnsi="Arial"/>
          <w:color w:val="0F172A"/>
          <w:sz w:val="22"/>
          <w:szCs w:val="22"/>
        </w:rPr>
        <w:t xml:space="preserve">Set up a simple subscription plan on Razorpay Dashboard. Link it to your web app. No code required for payment page.</w:t>
      </w:r>
    </w:p>
    <w:p>
      <w:pPr>
        <w:pStyle w:val="ListParagraph"/>
        <w:numPr>
          <w:ilvl w:val="0"/>
          <w:numId w:val="2"/>
        </w:numPr>
        <w:spacing w:after="60" w:before="60"/>
      </w:pPr>
      <w:r>
        <w:rPr>
          <w:rFonts w:ascii="Arial" w:cs="Arial" w:eastAsia="Arial" w:hAnsi="Arial"/>
          <w:b/>
          <w:bCs/>
          <w:color w:val="7C3AED"/>
          <w:sz w:val="22"/>
          <w:szCs w:val="22"/>
        </w:rPr>
        <w:t xml:space="preserve">Backup: </w:t>
      </w:r>
      <w:r>
        <w:rPr>
          <w:rFonts w:ascii="Arial" w:cs="Arial" w:eastAsia="Arial" w:hAnsi="Arial"/>
          <w:color w:val="0F172A"/>
          <w:sz w:val="22"/>
          <w:szCs w:val="22"/>
        </w:rPr>
        <w:t xml:space="preserve">Cashfree or Instamojo as backup if Razorpay approval takes time.</w:t>
      </w:r>
    </w:p>
    <w:p>
      <w:pPr>
        <w:spacing w:after="120" w:before="0"/>
      </w:pPr>
      <w:r>
        <w:t xml:space="preserve"/>
      </w:r>
    </w:p>
    <w:p>
      <w:pPr>
        <w:pStyle w:val="Heading1"/>
        <w:pBdr>
          <w:bottom w:val="single" w:color="7C3AED" w:sz="4" w:space="6"/>
        </w:pBdr>
        <w:spacing w:after="120" w:before="400"/>
      </w:pPr>
      <w:r>
        <w:rPr>
          <w:rFonts w:ascii="Arial" w:cs="Arial" w:eastAsia="Arial" w:hAnsi="Arial"/>
          <w:b/>
          <w:bCs/>
          <w:color w:val="7C3AED"/>
          <w:sz w:val="32"/>
          <w:szCs w:val="32"/>
        </w:rPr>
        <w:t xml:space="preserve">4. Technical Architecture</w:t>
      </w:r>
    </w:p>
    <w:p>
      <w:pPr>
        <w:pStyle w:val="Heading2"/>
        <w:spacing w:after="100" w:before="280"/>
      </w:pPr>
      <w:r>
        <w:rPr>
          <w:rFonts w:ascii="Arial" w:cs="Arial" w:eastAsia="Arial" w:hAnsi="Arial"/>
          <w:b/>
          <w:bCs/>
          <w:color w:val="0F172A"/>
          <w:sz w:val="26"/>
          <w:szCs w:val="26"/>
        </w:rPr>
        <w:t xml:space="preserve">4.1 Tech Stack</w:t>
      </w:r>
    </w:p>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DDD6FE" w:sz="1"/>
              <w:left w:val="single" w:color="DDD6FE" w:sz="1"/>
              <w:bottom w:val="single" w:color="DDD6FE" w:sz="1"/>
              <w:right w:val="single" w:color="DDD6FE" w:sz="1"/>
            </w:tcBorders>
            <w:shd w:fill="3B0764" w:val="clear"/>
            <w:tcMar>
              <w:top w:type="dxa" w:w="100"/>
              <w:left w:type="dxa" w:w="120"/>
              <w:bottom w:type="dxa" w:w="100"/>
              <w:right w:type="dxa" w:w="120"/>
            </w:tcMar>
            <w:vAlign w:val="center"/>
          </w:tcPr>
          <w:p>
            <w:r>
              <w:rPr>
                <w:rFonts w:ascii="Arial" w:cs="Arial" w:eastAsia="Arial" w:hAnsi="Arial"/>
                <w:b/>
                <w:bCs/>
                <w:color w:val="FFFFFF"/>
                <w:sz w:val="20"/>
                <w:szCs w:val="20"/>
              </w:rPr>
              <w:t xml:space="preserve">Layer</w:t>
            </w:r>
          </w:p>
        </w:tc>
        <w:tc>
          <w:tcPr>
            <w:tcW w:type="dxa" w:w="2800"/>
            <w:tcBorders>
              <w:top w:val="single" w:color="DDD6FE" w:sz="1"/>
              <w:left w:val="single" w:color="DDD6FE" w:sz="1"/>
              <w:bottom w:val="single" w:color="DDD6FE" w:sz="1"/>
              <w:right w:val="single" w:color="DDD6FE" w:sz="1"/>
            </w:tcBorders>
            <w:shd w:fill="3B0764" w:val="clear"/>
            <w:tcMar>
              <w:top w:type="dxa" w:w="100"/>
              <w:left w:type="dxa" w:w="120"/>
              <w:bottom w:type="dxa" w:w="100"/>
              <w:right w:type="dxa" w:w="120"/>
            </w:tcMar>
            <w:vAlign w:val="center"/>
          </w:tcPr>
          <w:p>
            <w:r>
              <w:rPr>
                <w:rFonts w:ascii="Arial" w:cs="Arial" w:eastAsia="Arial" w:hAnsi="Arial"/>
                <w:b/>
                <w:bCs/>
                <w:color w:val="FFFFFF"/>
                <w:sz w:val="20"/>
                <w:szCs w:val="20"/>
              </w:rPr>
              <w:t xml:space="preserve">Technology</w:t>
            </w:r>
          </w:p>
        </w:tc>
        <w:tc>
          <w:tcPr>
            <w:tcW w:type="dxa" w:w="4960"/>
            <w:tcBorders>
              <w:top w:val="single" w:color="DDD6FE" w:sz="1"/>
              <w:left w:val="single" w:color="DDD6FE" w:sz="1"/>
              <w:bottom w:val="single" w:color="DDD6FE" w:sz="1"/>
              <w:right w:val="single" w:color="DDD6FE" w:sz="1"/>
            </w:tcBorders>
            <w:shd w:fill="3B0764" w:val="clear"/>
            <w:tcMar>
              <w:top w:type="dxa" w:w="100"/>
              <w:left w:type="dxa" w:w="120"/>
              <w:bottom w:type="dxa" w:w="100"/>
              <w:right w:type="dxa" w:w="120"/>
            </w:tcMar>
            <w:vAlign w:val="center"/>
          </w:tcPr>
          <w:p>
            <w:r>
              <w:rPr>
                <w:rFonts w:ascii="Arial" w:cs="Arial" w:eastAsia="Arial" w:hAnsi="Arial"/>
                <w:b/>
                <w:bCs/>
                <w:color w:val="FFFFFF"/>
                <w:sz w:val="20"/>
                <w:szCs w:val="20"/>
              </w:rPr>
              <w:t xml:space="preserve">Why</w:t>
            </w:r>
          </w:p>
        </w:tc>
      </w:tr>
      <w:tr>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Frontend</w:t>
            </w:r>
          </w:p>
        </w:tc>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Next.js 14 (React) + Tailwind CSS</w:t>
            </w:r>
          </w:p>
        </w:tc>
        <w:tc>
          <w:tcPr>
            <w:tcW w:type="dxa" w:w="4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Fast to build, SEO-friendly, easy to deploy</w:t>
            </w:r>
          </w:p>
        </w:tc>
      </w:tr>
      <w:tr>
        <w:tc>
          <w:tcPr>
            <w:tcW w:type="dxa" w:w="16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Backend</w:t>
            </w:r>
          </w:p>
        </w:tc>
        <w:tc>
          <w:tcPr>
            <w:tcW w:type="dxa" w:w="28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Python FastAPI</w:t>
            </w:r>
          </w:p>
        </w:tc>
        <w:tc>
          <w:tcPr>
            <w:tcW w:type="dxa" w:w="496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Your existing skill — same language as your Deckoviz work</w:t>
            </w:r>
          </w:p>
        </w:tc>
      </w:tr>
      <w:tr>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AI — MockMate</w:t>
            </w:r>
          </w:p>
        </w:tc>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LangChain + OpenAI GPT-4o-mini</w:t>
            </w:r>
          </w:p>
        </w:tc>
        <w:tc>
          <w:tcPr>
            <w:tcW w:type="dxa" w:w="4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Conversational chain with memory for interview sessions</w:t>
            </w:r>
          </w:p>
        </w:tc>
      </w:tr>
      <w:tr>
        <w:tc>
          <w:tcPr>
            <w:tcW w:type="dxa" w:w="16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AI — ResumeAI</w:t>
            </w:r>
          </w:p>
        </w:tc>
        <w:tc>
          <w:tcPr>
            <w:tcW w:type="dxa" w:w="28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LangChain + OpenAI + PDF parser (PyMuPDF)</w:t>
            </w:r>
          </w:p>
        </w:tc>
        <w:tc>
          <w:tcPr>
            <w:tcW w:type="dxa" w:w="496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RAG over JD + structured output for rewrite</w:t>
            </w:r>
          </w:p>
        </w:tc>
      </w:tr>
      <w:tr>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AI — FlashLearn</w:t>
            </w:r>
          </w:p>
        </w:tc>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LangChain + OpenAI + PDF parser</w:t>
            </w:r>
          </w:p>
        </w:tc>
        <w:tc>
          <w:tcPr>
            <w:tcW w:type="dxa" w:w="4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Structured JSON output — flashcards, MCQs, summary</w:t>
            </w:r>
          </w:p>
        </w:tc>
      </w:tr>
      <w:tr>
        <w:tc>
          <w:tcPr>
            <w:tcW w:type="dxa" w:w="16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Question Bank (MockMate)</w:t>
            </w:r>
          </w:p>
        </w:tc>
        <w:tc>
          <w:tcPr>
            <w:tcW w:type="dxa" w:w="28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RAG pipeline — Chroma vector DB</w:t>
            </w:r>
          </w:p>
        </w:tc>
        <w:tc>
          <w:tcPr>
            <w:tcW w:type="dxa" w:w="496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Store company-specific Q patterns, retrieve by company+role</w:t>
            </w:r>
          </w:p>
        </w:tc>
      </w:tr>
      <w:tr>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Auth</w:t>
            </w:r>
          </w:p>
        </w:tc>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Clerk.dev (free tier)</w:t>
            </w:r>
          </w:p>
        </w:tc>
        <w:tc>
          <w:tcPr>
            <w:tcW w:type="dxa" w:w="4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Google/email login in 30 minutes, no custom auth needed</w:t>
            </w:r>
          </w:p>
        </w:tc>
      </w:tr>
      <w:tr>
        <w:tc>
          <w:tcPr>
            <w:tcW w:type="dxa" w:w="16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Payments</w:t>
            </w:r>
          </w:p>
        </w:tc>
        <w:tc>
          <w:tcPr>
            <w:tcW w:type="dxa" w:w="28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Razorpay SDK</w:t>
            </w:r>
          </w:p>
        </w:tc>
        <w:tc>
          <w:tcPr>
            <w:tcW w:type="dxa" w:w="496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Indian payment gateway, UPI support</w:t>
            </w:r>
          </w:p>
        </w:tc>
      </w:tr>
      <w:tr>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Database</w:t>
            </w:r>
          </w:p>
        </w:tc>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Supabase (PostgreSQL, free tier)</w:t>
            </w:r>
          </w:p>
        </w:tc>
        <w:tc>
          <w:tcPr>
            <w:tcW w:type="dxa" w:w="4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User data, subscription status, usage history</w:t>
            </w:r>
          </w:p>
        </w:tc>
      </w:tr>
      <w:tr>
        <w:tc>
          <w:tcPr>
            <w:tcW w:type="dxa" w:w="16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File Storage</w:t>
            </w:r>
          </w:p>
        </w:tc>
        <w:tc>
          <w:tcPr>
            <w:tcW w:type="dxa" w:w="28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Supabase Storage</w:t>
            </w:r>
          </w:p>
        </w:tc>
        <w:tc>
          <w:tcPr>
            <w:tcW w:type="dxa" w:w="496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Resume PDFs, uploaded notes (auto-deleted after processing)</w:t>
            </w:r>
          </w:p>
        </w:tc>
      </w:tr>
      <w:tr>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Deployment</w:t>
            </w:r>
          </w:p>
        </w:tc>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Vercel (frontend) + Railway (backend)</w:t>
            </w:r>
          </w:p>
        </w:tc>
        <w:tc>
          <w:tcPr>
            <w:tcW w:type="dxa" w:w="4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Both have free tiers — zero hosting cost at start</w:t>
            </w:r>
          </w:p>
        </w:tc>
      </w:tr>
    </w:tbl>
    <w:p>
      <w:pPr>
        <w:spacing w:after="60" w:before="0"/>
      </w:pPr>
      <w:r>
        <w:t xml:space="preserve"/>
      </w:r>
    </w:p>
    <w:p>
      <w:pPr>
        <w:pStyle w:val="Heading2"/>
        <w:spacing w:after="100" w:before="280"/>
      </w:pPr>
      <w:r>
        <w:rPr>
          <w:rFonts w:ascii="Arial" w:cs="Arial" w:eastAsia="Arial" w:hAnsi="Arial"/>
          <w:b/>
          <w:bCs/>
          <w:color w:val="0F172A"/>
          <w:sz w:val="26"/>
          <w:szCs w:val="26"/>
        </w:rPr>
        <w:t xml:space="preserve">4.2 System Architecture Overview</w:t>
      </w:r>
    </w:p>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         Next.js Frontend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  MockMate | ResumeAI | FlashLearn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 REST API</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       FastAPI Backend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  /interview  /resume  /flashcard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  LangChain       │  │  Supabase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  + OpenAI API    │  │  (Users, Sessions,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  + Chroma VDB    │  │   Subscriptions)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  └────────────────────┘</w:t>
            </w:r>
          </w:p>
        </w:tc>
      </w:tr>
    </w:tbl>
    <w:p>
      <w:pPr>
        <w:spacing w:after="60" w:before="0"/>
      </w:pPr>
      <w:r>
        <w:t xml:space="preserve"/>
      </w:r>
    </w:p>
    <w:p>
      <w:pPr>
        <w:pStyle w:val="Heading2"/>
        <w:spacing w:after="100" w:before="280"/>
      </w:pPr>
      <w:r>
        <w:rPr>
          <w:rFonts w:ascii="Arial" w:cs="Arial" w:eastAsia="Arial" w:hAnsi="Arial"/>
          <w:b/>
          <w:bCs/>
          <w:color w:val="0F172A"/>
          <w:sz w:val="26"/>
          <w:szCs w:val="26"/>
        </w:rPr>
        <w:t xml:space="preserve">4.3 MockMate — AI Architecture</w:t>
      </w:r>
    </w:p>
    <w:p>
      <w:pPr>
        <w:spacing w:after="80" w:before="80"/>
      </w:pPr>
      <w:r>
        <w:rPr>
          <w:rFonts w:ascii="Arial" w:cs="Arial" w:eastAsia="Arial" w:hAnsi="Arial"/>
          <w:color w:val="0F172A"/>
          <w:sz w:val="22"/>
          <w:szCs w:val="22"/>
        </w:rPr>
        <w:t xml:space="preserve">MockMate uses a LangChain ConversationChain with a custom system prompt per company and role. The question bank is stored in Chroma vector database. Each interview session maintains its own memory buffer.</w:t>
      </w:r>
    </w:p>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User selects: Company = TCS, Round = Technical, Role = Developer</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System prompt loaded: TCS Technical Interview persona + evaluation rubric</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Vector DB query: retrieve 20 most relevant TCS Technical questions</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LangChain ConversationChain starts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 AI asks question 1</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 Student answers (typed or voice-to-text)</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 AI evaluates answer quality silently (separate LLM call)</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 AI asks follow-up or moves to question 2</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 Repeat for 8-12 questions</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Final report generated: scores, weak areas, sample better answers</w:t>
            </w:r>
          </w:p>
        </w:tc>
      </w:tr>
    </w:tbl>
    <w:p>
      <w:pPr>
        <w:spacing w:after="60" w:before="0"/>
      </w:pPr>
      <w:r>
        <w:t xml:space="preserve"/>
      </w:r>
    </w:p>
    <w:p>
      <w:pPr>
        <w:pStyle w:val="Heading2"/>
        <w:spacing w:after="100" w:before="280"/>
      </w:pPr>
      <w:r>
        <w:rPr>
          <w:rFonts w:ascii="Arial" w:cs="Arial" w:eastAsia="Arial" w:hAnsi="Arial"/>
          <w:b/>
          <w:bCs/>
          <w:color w:val="0F172A"/>
          <w:sz w:val="26"/>
          <w:szCs w:val="26"/>
        </w:rPr>
        <w:t xml:space="preserve">4.4 ResumeAI — AI Architecture</w:t>
      </w:r>
    </w:p>
    <w:p>
      <w:pPr>
        <w:spacing w:after="80" w:before="80"/>
      </w:pPr>
      <w:r>
        <w:rPr>
          <w:rFonts w:ascii="Arial" w:cs="Arial" w:eastAsia="Arial" w:hAnsi="Arial"/>
          <w:color w:val="0F172A"/>
          <w:sz w:val="22"/>
          <w:szCs w:val="22"/>
        </w:rPr>
        <w:t xml:space="preserve">ResumeAI uses a structured output chain. The resume and JD are both parsed and fed to the LLM which outputs JSON with scores, gaps, and rewritten content.</w:t>
      </w:r>
    </w:p>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User uploads resume PDF + pastes job description</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PyMuPDF extracts text from resume PDF</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LangChain structured output chain:</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Input: { resume_text, job_description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Output JSON: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ats_score: 73,</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missing_keywords: ['REST API', 'Agile', 'CI/CD'],</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weak_bullets: ['Worked on database' → 'Optimized MySQL queries reducing load by 40%'],</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summary_rewrite: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skills_section_suggestion: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Frontend renders score card + rewrites</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python-docx generates downloadable improved resume</w:t>
            </w:r>
          </w:p>
        </w:tc>
      </w:tr>
    </w:tbl>
    <w:p>
      <w:pPr>
        <w:spacing w:after="60" w:before="0"/>
      </w:pPr>
      <w:r>
        <w:t xml:space="preserve"/>
      </w:r>
    </w:p>
    <w:p>
      <w:pPr>
        <w:pStyle w:val="Heading2"/>
        <w:spacing w:after="100" w:before="280"/>
      </w:pPr>
      <w:r>
        <w:rPr>
          <w:rFonts w:ascii="Arial" w:cs="Arial" w:eastAsia="Arial" w:hAnsi="Arial"/>
          <w:b/>
          <w:bCs/>
          <w:color w:val="0F172A"/>
          <w:sz w:val="26"/>
          <w:szCs w:val="26"/>
        </w:rPr>
        <w:t xml:space="preserve">4.5 FlashLearn — AI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User uploads PDF (textbook chapter / notes)</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PyMuPDF extracts text, split into chunks</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LangChain structured output chain:</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Output JSON: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flashcards: [{ front: 'What is..?', back: 'It is...' },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mcqs: [{ question: '..', options: [..], answer: 'B', explanation: '..' },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summary: 'One-page bullet summary of the chapter'</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Frontend renders interactive flashcard flip UI</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after="0" w:before="0"/>
            </w:pPr>
            <w:r>
              <w:rPr>
                <w:rFonts w:ascii="Courier New" w:cs="Courier New" w:eastAsia="Courier New" w:hAnsi="Courier New"/>
                <w:color w:val="A3E635"/>
                <w:sz w:val="18"/>
                <w:szCs w:val="18"/>
              </w:rPr>
              <w:t xml:space="preserve">Export to printable PDF via jsPDF</w:t>
            </w:r>
          </w:p>
        </w:tc>
      </w:tr>
    </w:tbl>
    <w:p>
      <w:pPr>
        <w:spacing w:after="120" w:before="0"/>
      </w:pPr>
      <w:r>
        <w:t xml:space="preserve"/>
      </w:r>
    </w:p>
    <w:p>
      <w:pPr>
        <w:pStyle w:val="Heading1"/>
        <w:pBdr>
          <w:bottom w:val="single" w:color="7C3AED" w:sz="4" w:space="6"/>
        </w:pBdr>
        <w:spacing w:after="120" w:before="400"/>
      </w:pPr>
      <w:r>
        <w:rPr>
          <w:rFonts w:ascii="Arial" w:cs="Arial" w:eastAsia="Arial" w:hAnsi="Arial"/>
          <w:b/>
          <w:bCs/>
          <w:color w:val="7C3AED"/>
          <w:sz w:val="32"/>
          <w:szCs w:val="32"/>
        </w:rPr>
        <w:t xml:space="preserve">5. Build Plan — 4 Weeks to Launch</w:t>
      </w:r>
    </w:p>
    <w:p>
      <w:pPr>
        <w:spacing w:after="80" w:before="80"/>
      </w:pPr>
      <w:r>
        <w:rPr>
          <w:rFonts w:ascii="Arial" w:cs="Arial" w:eastAsia="Arial" w:hAnsi="Arial"/>
          <w:color w:val="0F172A"/>
          <w:sz w:val="22"/>
          <w:szCs w:val="22"/>
        </w:rPr>
        <w:t xml:space="preserve">The goal is a working, paying-customer-ready product in 4 weeks. Not perfect — working. Build the core of each module first, polish later based on real user feedback.</w:t>
      </w:r>
    </w:p>
    <w:p>
      <w:pPr>
        <w:spacing w:after="60" w:before="0"/>
      </w:pPr>
      <w:r>
        <w:t xml:space="preserve"/>
      </w:r>
    </w:p>
    <w:p>
      <w:pPr>
        <w:pStyle w:val="Heading2"/>
        <w:spacing w:after="100" w:before="280"/>
      </w:pPr>
      <w:r>
        <w:rPr>
          <w:rFonts w:ascii="Arial" w:cs="Arial" w:eastAsia="Arial" w:hAnsi="Arial"/>
          <w:b/>
          <w:bCs/>
          <w:color w:val="0F172A"/>
          <w:sz w:val="26"/>
          <w:szCs w:val="26"/>
        </w:rPr>
        <w:t xml:space="preserve">Week 1 — Foundation + FlashLearn (Easiest Module First)</w:t>
      </w:r>
    </w:p>
    <w:p>
      <w:pPr>
        <w:spacing w:after="80" w:before="80"/>
      </w:pPr>
      <w:r>
        <w:rPr>
          <w:rFonts w:ascii="Arial" w:cs="Arial" w:eastAsia="Arial" w:hAnsi="Arial"/>
          <w:color w:val="0F172A"/>
          <w:sz w:val="22"/>
          <w:szCs w:val="22"/>
        </w:rPr>
        <w:t xml:space="preserve">Start with FlashLearn because it is stateless (no conversation memory needed), has the simplest architecture, and gives you the fastest working demo.</w:t>
      </w:r>
    </w:p>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200"/>
        <w:gridCol w:w="5460"/>
      </w:tblGrid>
      <w:tr>
        <w:trPr>
          <w:tblHeader/>
        </w:trPr>
        <w:tc>
          <w:tcPr>
            <w:tcW w:type="dxa" w:w="500"/>
            <w:tcBorders>
              <w:top w:val="single" w:color="DDD6FE" w:sz="1"/>
              <w:left w:val="single" w:color="DDD6FE" w:sz="1"/>
              <w:bottom w:val="single" w:color="DDD6FE" w:sz="1"/>
              <w:right w:val="single" w:color="DDD6FE" w:sz="1"/>
            </w:tcBorders>
            <w:shd w:fill="3B0764" w:val="clear"/>
            <w:tcMar>
              <w:top w:type="dxa" w:w="100"/>
              <w:left w:type="dxa" w:w="120"/>
              <w:bottom w:type="dxa" w:w="100"/>
              <w:right w:type="dxa" w:w="120"/>
            </w:tcMar>
            <w:vAlign w:val="center"/>
          </w:tcPr>
          <w:p>
            <w:r>
              <w:rPr>
                <w:rFonts w:ascii="Arial" w:cs="Arial" w:eastAsia="Arial" w:hAnsi="Arial"/>
                <w:b/>
                <w:bCs/>
                <w:color w:val="FFFFFF"/>
                <w:sz w:val="20"/>
                <w:szCs w:val="20"/>
              </w:rPr>
              <w:t xml:space="preserve">Day</w:t>
            </w:r>
          </w:p>
        </w:tc>
        <w:tc>
          <w:tcPr>
            <w:tcW w:type="dxa" w:w="2200"/>
            <w:tcBorders>
              <w:top w:val="single" w:color="DDD6FE" w:sz="1"/>
              <w:left w:val="single" w:color="DDD6FE" w:sz="1"/>
              <w:bottom w:val="single" w:color="DDD6FE" w:sz="1"/>
              <w:right w:val="single" w:color="DDD6FE" w:sz="1"/>
            </w:tcBorders>
            <w:shd w:fill="3B0764" w:val="clear"/>
            <w:tcMar>
              <w:top w:type="dxa" w:w="100"/>
              <w:left w:type="dxa" w:w="120"/>
              <w:bottom w:type="dxa" w:w="100"/>
              <w:right w:type="dxa" w:w="120"/>
            </w:tcMar>
            <w:vAlign w:val="center"/>
          </w:tcPr>
          <w:p>
            <w:r>
              <w:rPr>
                <w:rFonts w:ascii="Arial" w:cs="Arial" w:eastAsia="Arial" w:hAnsi="Arial"/>
                <w:b/>
                <w:bCs/>
                <w:color w:val="FFFFFF"/>
                <w:sz w:val="20"/>
                <w:szCs w:val="20"/>
              </w:rPr>
              <w:t xml:space="preserve">Task</w:t>
            </w:r>
          </w:p>
        </w:tc>
        <w:tc>
          <w:tcPr>
            <w:tcW w:type="dxa" w:w="1200"/>
            <w:tcBorders>
              <w:top w:val="single" w:color="DDD6FE" w:sz="1"/>
              <w:left w:val="single" w:color="DDD6FE" w:sz="1"/>
              <w:bottom w:val="single" w:color="DDD6FE" w:sz="1"/>
              <w:right w:val="single" w:color="DDD6FE" w:sz="1"/>
            </w:tcBorders>
            <w:shd w:fill="3B0764" w:val="clear"/>
            <w:tcMar>
              <w:top w:type="dxa" w:w="100"/>
              <w:left w:type="dxa" w:w="120"/>
              <w:bottom w:type="dxa" w:w="100"/>
              <w:right w:type="dxa" w:w="120"/>
            </w:tcMar>
            <w:vAlign w:val="center"/>
          </w:tcPr>
          <w:p>
            <w:r>
              <w:rPr>
                <w:rFonts w:ascii="Arial" w:cs="Arial" w:eastAsia="Arial" w:hAnsi="Arial"/>
                <w:b/>
                <w:bCs/>
                <w:color w:val="FFFFFF"/>
                <w:sz w:val="20"/>
                <w:szCs w:val="20"/>
              </w:rPr>
              <w:t xml:space="preserve">Tool</w:t>
            </w:r>
          </w:p>
        </w:tc>
        <w:tc>
          <w:tcPr>
            <w:tcW w:type="dxa" w:w="5460"/>
            <w:tcBorders>
              <w:top w:val="single" w:color="DDD6FE" w:sz="1"/>
              <w:left w:val="single" w:color="DDD6FE" w:sz="1"/>
              <w:bottom w:val="single" w:color="DDD6FE" w:sz="1"/>
              <w:right w:val="single" w:color="DDD6FE" w:sz="1"/>
            </w:tcBorders>
            <w:shd w:fill="3B0764" w:val="clear"/>
            <w:tcMar>
              <w:top w:type="dxa" w:w="100"/>
              <w:left w:type="dxa" w:w="120"/>
              <w:bottom w:type="dxa" w:w="100"/>
              <w:right w:type="dxa" w:w="120"/>
            </w:tcMar>
            <w:vAlign w:val="center"/>
          </w:tcPr>
          <w:p>
            <w:r>
              <w:rPr>
                <w:rFonts w:ascii="Arial" w:cs="Arial" w:eastAsia="Arial" w:hAnsi="Arial"/>
                <w:b/>
                <w:bCs/>
                <w:color w:val="FFFFFF"/>
                <w:sz w:val="20"/>
                <w:szCs w:val="20"/>
              </w:rPr>
              <w:t xml:space="preserve">Prompt / Action</w:t>
            </w:r>
          </w:p>
        </w:tc>
      </w:tr>
      <w:tr>
        <w:tc>
          <w:tcPr>
            <w:tcW w:type="dxa" w:w="5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1</w:t>
            </w:r>
          </w:p>
        </w:tc>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Project scaffold — Next.js + FastAPI + Supabase + Clerk setup</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Antigravity Agent</w:t>
            </w:r>
          </w:p>
        </w:tc>
        <w:tc>
          <w:tcPr>
            <w:tcW w:type="dxa" w:w="54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Set up a full-stack project: Next.js 14 frontend with Tailwind CSS, FastAPI Python backend, Supabase for database and storage, Clerk.dev for authentication. Create folder structure: /frontend, /backend. Add .env template.</w:t>
            </w:r>
          </w:p>
        </w:tc>
      </w:tr>
      <w:tr>
        <w:tc>
          <w:tcPr>
            <w:tcW w:type="dxa" w:w="5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2</w:t>
            </w:r>
          </w:p>
        </w:tc>
        <w:tc>
          <w:tcPr>
            <w:tcW w:type="dxa" w:w="22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FlashLearn PDF upload + text extraction backend</w:t>
            </w:r>
          </w:p>
        </w:tc>
        <w:tc>
          <w:tcPr>
            <w:tcW w:type="dxa" w:w="12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Antigravity Agent</w:t>
            </w:r>
          </w:p>
        </w:tc>
        <w:tc>
          <w:tcPr>
            <w:tcW w:type="dxa" w:w="546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Write a FastAPI endpoint POST /flashcard/generate that: accepts a PDF file upload, extracts text using PyMuPDF, splits into chunks of 1500 tokens, sends to OpenAI GPT-4o-mini with a structured output prompt requesting JSON with keys: flashcards (list of front/back), mcqs (list of question/options/answer/explanation), summary (string). Return the parsed JSON.</w:t>
            </w:r>
          </w:p>
        </w:tc>
      </w:tr>
      <w:tr>
        <w:tc>
          <w:tcPr>
            <w:tcW w:type="dxa" w:w="5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3</w:t>
            </w:r>
          </w:p>
        </w:tc>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FlashLearn frontend — upload UI + results display</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Antigravity Agent</w:t>
            </w:r>
          </w:p>
        </w:tc>
        <w:tc>
          <w:tcPr>
            <w:tcW w:type="dxa" w:w="54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Build a Next.js page /flashlearn with: a drag-and-drop PDF upload component, a loading state with 'Generating your study kit...' animation, results section showing: interactive flip cards (click to reveal answer), MCQ list with answer reveal on click, summary in a styled card. Use Tailwind CSS. Purple and gold color scheme.</w:t>
            </w:r>
          </w:p>
        </w:tc>
      </w:tr>
      <w:tr>
        <w:tc>
          <w:tcPr>
            <w:tcW w:type="dxa" w:w="5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4</w:t>
            </w:r>
          </w:p>
        </w:tc>
        <w:tc>
          <w:tcPr>
            <w:tcW w:type="dxa" w:w="22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FlashLearn PDF export</w:t>
            </w:r>
          </w:p>
        </w:tc>
        <w:tc>
          <w:tcPr>
            <w:tcW w:type="dxa" w:w="12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Antigravity Agent</w:t>
            </w:r>
          </w:p>
        </w:tc>
        <w:tc>
          <w:tcPr>
            <w:tcW w:type="dxa" w:w="546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Add a Download PDF button to the FlashLearn results page that uses jsPDF to generate a printable PDF containing all flashcards and MCQs formatted clearly.</w:t>
            </w:r>
          </w:p>
        </w:tc>
      </w:tr>
      <w:tr>
        <w:tc>
          <w:tcPr>
            <w:tcW w:type="dxa" w:w="5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5</w:t>
            </w:r>
          </w:p>
        </w:tc>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Auth + usage limits (free tier gating)</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Antigravity Agent</w:t>
            </w:r>
          </w:p>
        </w:tc>
        <w:tc>
          <w:tcPr>
            <w:tcW w:type="dxa" w:w="54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Integrate Clerk.dev auth into the Next.js frontend (login/signup with Google). In the FastAPI backend, add a middleware that checks Supabase for the user's upload count this month. If count &gt;= 3 and user is on free plan, return 403 with message 'Upgrade to Pro for unlimited uploads'. Track usage in a Supabase table: user_id, feature, count, month.</w:t>
            </w:r>
          </w:p>
        </w:tc>
      </w:tr>
      <w:tr>
        <w:tc>
          <w:tcPr>
            <w:tcW w:type="dxa" w:w="5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6-7</w:t>
            </w:r>
          </w:p>
        </w:tc>
        <w:tc>
          <w:tcPr>
            <w:tcW w:type="dxa" w:w="22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Test FlashLearn end-to-end + fix bugs</w:t>
            </w:r>
          </w:p>
        </w:tc>
        <w:tc>
          <w:tcPr>
            <w:tcW w:type="dxa" w:w="12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Manual testing</w:t>
            </w:r>
          </w:p>
        </w:tc>
        <w:tc>
          <w:tcPr>
            <w:tcW w:type="dxa" w:w="546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Upload 5 different PDFs: a textbook chapter, handwritten notes photo, exam paper, lecture slides, and a mixed document. Verify flashcards and MCQs are accurate and relevant. Fix top 3 issues.</w:t>
            </w:r>
          </w:p>
        </w:tc>
      </w:tr>
    </w:tbl>
    <w:p>
      <w:pPr>
        <w:spacing w:after="60" w:before="0"/>
      </w:pPr>
      <w:r>
        <w:t xml:space="preserve"/>
      </w:r>
    </w:p>
    <w:p>
      <w:pPr>
        <w:pStyle w:val="Heading2"/>
        <w:spacing w:after="100" w:before="280"/>
      </w:pPr>
      <w:r>
        <w:rPr>
          <w:rFonts w:ascii="Arial" w:cs="Arial" w:eastAsia="Arial" w:hAnsi="Arial"/>
          <w:b/>
          <w:bCs/>
          <w:color w:val="0F172A"/>
          <w:sz w:val="26"/>
          <w:szCs w:val="26"/>
        </w:rPr>
        <w:t xml:space="preserve">Week 2 — ResumeAI Module</w:t>
      </w:r>
    </w:p>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200"/>
        <w:gridCol w:w="5460"/>
      </w:tblGrid>
      <w:tr>
        <w:trPr>
          <w:tblHeader/>
        </w:trPr>
        <w:tc>
          <w:tcPr>
            <w:tcW w:type="dxa" w:w="500"/>
            <w:tcBorders>
              <w:top w:val="single" w:color="DDD6FE" w:sz="1"/>
              <w:left w:val="single" w:color="DDD6FE" w:sz="1"/>
              <w:bottom w:val="single" w:color="DDD6FE" w:sz="1"/>
              <w:right w:val="single" w:color="DDD6FE" w:sz="1"/>
            </w:tcBorders>
            <w:shd w:fill="3B0764" w:val="clear"/>
            <w:tcMar>
              <w:top w:type="dxa" w:w="100"/>
              <w:left w:type="dxa" w:w="120"/>
              <w:bottom w:type="dxa" w:w="100"/>
              <w:right w:type="dxa" w:w="120"/>
            </w:tcMar>
            <w:vAlign w:val="center"/>
          </w:tcPr>
          <w:p>
            <w:r>
              <w:rPr>
                <w:rFonts w:ascii="Arial" w:cs="Arial" w:eastAsia="Arial" w:hAnsi="Arial"/>
                <w:b/>
                <w:bCs/>
                <w:color w:val="FFFFFF"/>
                <w:sz w:val="20"/>
                <w:szCs w:val="20"/>
              </w:rPr>
              <w:t xml:space="preserve">Day</w:t>
            </w:r>
          </w:p>
        </w:tc>
        <w:tc>
          <w:tcPr>
            <w:tcW w:type="dxa" w:w="2200"/>
            <w:tcBorders>
              <w:top w:val="single" w:color="DDD6FE" w:sz="1"/>
              <w:left w:val="single" w:color="DDD6FE" w:sz="1"/>
              <w:bottom w:val="single" w:color="DDD6FE" w:sz="1"/>
              <w:right w:val="single" w:color="DDD6FE" w:sz="1"/>
            </w:tcBorders>
            <w:shd w:fill="3B0764" w:val="clear"/>
            <w:tcMar>
              <w:top w:type="dxa" w:w="100"/>
              <w:left w:type="dxa" w:w="120"/>
              <w:bottom w:type="dxa" w:w="100"/>
              <w:right w:type="dxa" w:w="120"/>
            </w:tcMar>
            <w:vAlign w:val="center"/>
          </w:tcPr>
          <w:p>
            <w:r>
              <w:rPr>
                <w:rFonts w:ascii="Arial" w:cs="Arial" w:eastAsia="Arial" w:hAnsi="Arial"/>
                <w:b/>
                <w:bCs/>
                <w:color w:val="FFFFFF"/>
                <w:sz w:val="20"/>
                <w:szCs w:val="20"/>
              </w:rPr>
              <w:t xml:space="preserve">Task</w:t>
            </w:r>
          </w:p>
        </w:tc>
        <w:tc>
          <w:tcPr>
            <w:tcW w:type="dxa" w:w="1200"/>
            <w:tcBorders>
              <w:top w:val="single" w:color="DDD6FE" w:sz="1"/>
              <w:left w:val="single" w:color="DDD6FE" w:sz="1"/>
              <w:bottom w:val="single" w:color="DDD6FE" w:sz="1"/>
              <w:right w:val="single" w:color="DDD6FE" w:sz="1"/>
            </w:tcBorders>
            <w:shd w:fill="3B0764" w:val="clear"/>
            <w:tcMar>
              <w:top w:type="dxa" w:w="100"/>
              <w:left w:type="dxa" w:w="120"/>
              <w:bottom w:type="dxa" w:w="100"/>
              <w:right w:type="dxa" w:w="120"/>
            </w:tcMar>
            <w:vAlign w:val="center"/>
          </w:tcPr>
          <w:p>
            <w:r>
              <w:rPr>
                <w:rFonts w:ascii="Arial" w:cs="Arial" w:eastAsia="Arial" w:hAnsi="Arial"/>
                <w:b/>
                <w:bCs/>
                <w:color w:val="FFFFFF"/>
                <w:sz w:val="20"/>
                <w:szCs w:val="20"/>
              </w:rPr>
              <w:t xml:space="preserve">Tool</w:t>
            </w:r>
          </w:p>
        </w:tc>
        <w:tc>
          <w:tcPr>
            <w:tcW w:type="dxa" w:w="5460"/>
            <w:tcBorders>
              <w:top w:val="single" w:color="DDD6FE" w:sz="1"/>
              <w:left w:val="single" w:color="DDD6FE" w:sz="1"/>
              <w:bottom w:val="single" w:color="DDD6FE" w:sz="1"/>
              <w:right w:val="single" w:color="DDD6FE" w:sz="1"/>
            </w:tcBorders>
            <w:shd w:fill="3B0764" w:val="clear"/>
            <w:tcMar>
              <w:top w:type="dxa" w:w="100"/>
              <w:left w:type="dxa" w:w="120"/>
              <w:bottom w:type="dxa" w:w="100"/>
              <w:right w:type="dxa" w:w="120"/>
            </w:tcMar>
            <w:vAlign w:val="center"/>
          </w:tcPr>
          <w:p>
            <w:r>
              <w:rPr>
                <w:rFonts w:ascii="Arial" w:cs="Arial" w:eastAsia="Arial" w:hAnsi="Arial"/>
                <w:b/>
                <w:bCs/>
                <w:color w:val="FFFFFF"/>
                <w:sz w:val="20"/>
                <w:szCs w:val="20"/>
              </w:rPr>
              <w:t xml:space="preserve">Prompt / Action</w:t>
            </w:r>
          </w:p>
        </w:tc>
      </w:tr>
      <w:tr>
        <w:tc>
          <w:tcPr>
            <w:tcW w:type="dxa" w:w="5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8</w:t>
            </w:r>
          </w:p>
        </w:tc>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ResumeAI backend — score and rewrite chain</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Antigravity Agent</w:t>
            </w:r>
          </w:p>
        </w:tc>
        <w:tc>
          <w:tcPr>
            <w:tcW w:type="dxa" w:w="54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Write a FastAPI endpoint POST /resume/analyze that: accepts resume PDF + job_description string, extracts resume text via PyMuPDF, calls OpenAI with a structured output prompt requesting JSON: { ats_score (int 0-100), missing_keywords (list), weak_bullets (list of {original, improved}), summary_rewrite (string), skills_suggestion (string), overall_feedback (string) }. Return the JSON.</w:t>
            </w:r>
          </w:p>
        </w:tc>
      </w:tr>
      <w:tr>
        <w:tc>
          <w:tcPr>
            <w:tcW w:type="dxa" w:w="5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9</w:t>
            </w:r>
          </w:p>
        </w:tc>
        <w:tc>
          <w:tcPr>
            <w:tcW w:type="dxa" w:w="22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ResumeAI backend — improved resume DOCX generator</w:t>
            </w:r>
          </w:p>
        </w:tc>
        <w:tc>
          <w:tcPr>
            <w:tcW w:type="dxa" w:w="12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Antigravity Agent</w:t>
            </w:r>
          </w:p>
        </w:tc>
        <w:tc>
          <w:tcPr>
            <w:tcW w:type="dxa" w:w="546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Write a FastAPI endpoint POST /resume/download that: accepts the analyzed JSON from /resume/analyze, uses python-docx to generate a clean professional resume DOCX with the improved bullet points, rewritten summary, and suggested skills section. Return the DOCX as a file download.</w:t>
            </w:r>
          </w:p>
        </w:tc>
      </w:tr>
      <w:tr>
        <w:tc>
          <w:tcPr>
            <w:tcW w:type="dxa" w:w="5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10-11</w:t>
            </w:r>
          </w:p>
        </w:tc>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ResumeAI frontend</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Antigravity Agent</w:t>
            </w:r>
          </w:p>
        </w:tc>
        <w:tc>
          <w:tcPr>
            <w:tcW w:type="dxa" w:w="54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Build a Next.js page /resumeai with: two-panel layout — left panel: resume PDF upload + JD text area + Analyze button. Right panel: ATS score as a large circular gauge (green/yellow/red based on score), missing keywords shown as red badges, bullet rewrites shown as side-by-side before/after cards, Download Improved Resume button. Green color theme for this module.</w:t>
            </w:r>
          </w:p>
        </w:tc>
      </w:tr>
      <w:tr>
        <w:tc>
          <w:tcPr>
            <w:tcW w:type="dxa" w:w="5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12</w:t>
            </w:r>
          </w:p>
        </w:tc>
        <w:tc>
          <w:tcPr>
            <w:tcW w:type="dxa" w:w="22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LinkedIn bio generator add-on</w:t>
            </w:r>
          </w:p>
        </w:tc>
        <w:tc>
          <w:tcPr>
            <w:tcW w:type="dxa" w:w="12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Antigravity Agent</w:t>
            </w:r>
          </w:p>
        </w:tc>
        <w:tc>
          <w:tcPr>
            <w:tcW w:type="dxa" w:w="546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Add a bonus feature to ResumeAI: after analysis, show a Generate LinkedIn Bio button. Clicking it sends the resume text to OpenAI and returns a 3-paragraph professional LinkedIn About section. Display it with a copy-to-clipboard button.</w:t>
            </w:r>
          </w:p>
        </w:tc>
      </w:tr>
      <w:tr>
        <w:tc>
          <w:tcPr>
            <w:tcW w:type="dxa" w:w="5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13-14</w:t>
            </w:r>
          </w:p>
        </w:tc>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Test ResumeAI with real resumes</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Manual testing</w:t>
            </w:r>
          </w:p>
        </w:tc>
        <w:tc>
          <w:tcPr>
            <w:tcW w:type="dxa" w:w="54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Test with 5 real student resumes and 5 different JDs from Naukri. Verify ATS scores are logical, rewrites are genuinely better, and DOCX downloads correctly.</w:t>
            </w:r>
          </w:p>
        </w:tc>
      </w:tr>
    </w:tbl>
    <w:p>
      <w:pPr>
        <w:spacing w:after="60" w:before="0"/>
      </w:pPr>
      <w:r>
        <w:t xml:space="preserve"/>
      </w:r>
    </w:p>
    <w:p>
      <w:pPr>
        <w:pStyle w:val="Heading2"/>
        <w:spacing w:after="100" w:before="280"/>
      </w:pPr>
      <w:r>
        <w:rPr>
          <w:rFonts w:ascii="Arial" w:cs="Arial" w:eastAsia="Arial" w:hAnsi="Arial"/>
          <w:b/>
          <w:bCs/>
          <w:color w:val="0F172A"/>
          <w:sz w:val="26"/>
          <w:szCs w:val="26"/>
        </w:rPr>
        <w:t xml:space="preserve">Week 3 — MockMate Module</w:t>
      </w:r>
    </w:p>
    <w:p>
      <w:pPr>
        <w:spacing w:after="80" w:before="80"/>
      </w:pPr>
      <w:r>
        <w:rPr>
          <w:rFonts w:ascii="Arial" w:cs="Arial" w:eastAsia="Arial" w:hAnsi="Arial"/>
          <w:color w:val="0F172A"/>
          <w:sz w:val="22"/>
          <w:szCs w:val="22"/>
        </w:rPr>
        <w:t xml:space="preserve">MockMate is the most complex module because it requires conversation memory and a question bank RAG pipeline. Build it in stages.</w:t>
      </w:r>
    </w:p>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200"/>
        <w:gridCol w:w="5460"/>
      </w:tblGrid>
      <w:tr>
        <w:trPr>
          <w:tblHeader/>
        </w:trPr>
        <w:tc>
          <w:tcPr>
            <w:tcW w:type="dxa" w:w="500"/>
            <w:tcBorders>
              <w:top w:val="single" w:color="DDD6FE" w:sz="1"/>
              <w:left w:val="single" w:color="DDD6FE" w:sz="1"/>
              <w:bottom w:val="single" w:color="DDD6FE" w:sz="1"/>
              <w:right w:val="single" w:color="DDD6FE" w:sz="1"/>
            </w:tcBorders>
            <w:shd w:fill="3B0764" w:val="clear"/>
            <w:tcMar>
              <w:top w:type="dxa" w:w="100"/>
              <w:left w:type="dxa" w:w="120"/>
              <w:bottom w:type="dxa" w:w="100"/>
              <w:right w:type="dxa" w:w="120"/>
            </w:tcMar>
            <w:vAlign w:val="center"/>
          </w:tcPr>
          <w:p>
            <w:r>
              <w:rPr>
                <w:rFonts w:ascii="Arial" w:cs="Arial" w:eastAsia="Arial" w:hAnsi="Arial"/>
                <w:b/>
                <w:bCs/>
                <w:color w:val="FFFFFF"/>
                <w:sz w:val="20"/>
                <w:szCs w:val="20"/>
              </w:rPr>
              <w:t xml:space="preserve">Day</w:t>
            </w:r>
          </w:p>
        </w:tc>
        <w:tc>
          <w:tcPr>
            <w:tcW w:type="dxa" w:w="2200"/>
            <w:tcBorders>
              <w:top w:val="single" w:color="DDD6FE" w:sz="1"/>
              <w:left w:val="single" w:color="DDD6FE" w:sz="1"/>
              <w:bottom w:val="single" w:color="DDD6FE" w:sz="1"/>
              <w:right w:val="single" w:color="DDD6FE" w:sz="1"/>
            </w:tcBorders>
            <w:shd w:fill="3B0764" w:val="clear"/>
            <w:tcMar>
              <w:top w:type="dxa" w:w="100"/>
              <w:left w:type="dxa" w:w="120"/>
              <w:bottom w:type="dxa" w:w="100"/>
              <w:right w:type="dxa" w:w="120"/>
            </w:tcMar>
            <w:vAlign w:val="center"/>
          </w:tcPr>
          <w:p>
            <w:r>
              <w:rPr>
                <w:rFonts w:ascii="Arial" w:cs="Arial" w:eastAsia="Arial" w:hAnsi="Arial"/>
                <w:b/>
                <w:bCs/>
                <w:color w:val="FFFFFF"/>
                <w:sz w:val="20"/>
                <w:szCs w:val="20"/>
              </w:rPr>
              <w:t xml:space="preserve">Task</w:t>
            </w:r>
          </w:p>
        </w:tc>
        <w:tc>
          <w:tcPr>
            <w:tcW w:type="dxa" w:w="1200"/>
            <w:tcBorders>
              <w:top w:val="single" w:color="DDD6FE" w:sz="1"/>
              <w:left w:val="single" w:color="DDD6FE" w:sz="1"/>
              <w:bottom w:val="single" w:color="DDD6FE" w:sz="1"/>
              <w:right w:val="single" w:color="DDD6FE" w:sz="1"/>
            </w:tcBorders>
            <w:shd w:fill="3B0764" w:val="clear"/>
            <w:tcMar>
              <w:top w:type="dxa" w:w="100"/>
              <w:left w:type="dxa" w:w="120"/>
              <w:bottom w:type="dxa" w:w="100"/>
              <w:right w:type="dxa" w:w="120"/>
            </w:tcMar>
            <w:vAlign w:val="center"/>
          </w:tcPr>
          <w:p>
            <w:r>
              <w:rPr>
                <w:rFonts w:ascii="Arial" w:cs="Arial" w:eastAsia="Arial" w:hAnsi="Arial"/>
                <w:b/>
                <w:bCs/>
                <w:color w:val="FFFFFF"/>
                <w:sz w:val="20"/>
                <w:szCs w:val="20"/>
              </w:rPr>
              <w:t xml:space="preserve">Tool</w:t>
            </w:r>
          </w:p>
        </w:tc>
        <w:tc>
          <w:tcPr>
            <w:tcW w:type="dxa" w:w="5460"/>
            <w:tcBorders>
              <w:top w:val="single" w:color="DDD6FE" w:sz="1"/>
              <w:left w:val="single" w:color="DDD6FE" w:sz="1"/>
              <w:bottom w:val="single" w:color="DDD6FE" w:sz="1"/>
              <w:right w:val="single" w:color="DDD6FE" w:sz="1"/>
            </w:tcBorders>
            <w:shd w:fill="3B0764" w:val="clear"/>
            <w:tcMar>
              <w:top w:type="dxa" w:w="100"/>
              <w:left w:type="dxa" w:w="120"/>
              <w:bottom w:type="dxa" w:w="100"/>
              <w:right w:type="dxa" w:w="120"/>
            </w:tcMar>
            <w:vAlign w:val="center"/>
          </w:tcPr>
          <w:p>
            <w:r>
              <w:rPr>
                <w:rFonts w:ascii="Arial" w:cs="Arial" w:eastAsia="Arial" w:hAnsi="Arial"/>
                <w:b/>
                <w:bCs/>
                <w:color w:val="FFFFFF"/>
                <w:sz w:val="20"/>
                <w:szCs w:val="20"/>
              </w:rPr>
              <w:t xml:space="preserve">Prompt / Action</w:t>
            </w:r>
          </w:p>
        </w:tc>
      </w:tr>
      <w:tr>
        <w:tc>
          <w:tcPr>
            <w:tcW w:type="dxa" w:w="5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15-16</w:t>
            </w:r>
          </w:p>
        </w:tc>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Question bank RAG pipeline</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Antigravity Agent</w:t>
            </w:r>
          </w:p>
        </w:tc>
        <w:tc>
          <w:tcPr>
            <w:tcW w:type="dxa" w:w="54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Write a Python script build_questionbank.py that: takes a JSON file of interview questions organized by {company, round, role, question, difficulty}, embeds each question using OpenAI text-embedding-3-small, stores in Chroma vector database with metadata fields: company, round, role. Write a retrieval function get_questions(company, round, role, n=15) that returns the top N most relevant questions.</w:t>
            </w:r>
          </w:p>
        </w:tc>
      </w:tr>
      <w:tr>
        <w:tc>
          <w:tcPr>
            <w:tcW w:type="dxa" w:w="5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17</w:t>
            </w:r>
          </w:p>
        </w:tc>
        <w:tc>
          <w:tcPr>
            <w:tcW w:type="dxa" w:w="22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MockMate interview conductor backend</w:t>
            </w:r>
          </w:p>
        </w:tc>
        <w:tc>
          <w:tcPr>
            <w:tcW w:type="dxa" w:w="12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Antigravity Agent</w:t>
            </w:r>
          </w:p>
        </w:tc>
        <w:tc>
          <w:tcPr>
            <w:tcW w:type="dxa" w:w="546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Write a FastAPI endpoint POST /interview/start that creates a LangChain ConversationBufferMemory session and returns a session_id. Write POST /interview/message that: accepts session_id + student_answer, retrieves the conversation history, asks the AI to evaluate the answer (score 1-10, what was good, what was missing) internally, then generates the next interview question. Store evaluation scores per question in Supabase.</w:t>
            </w:r>
          </w:p>
        </w:tc>
      </w:tr>
      <w:tr>
        <w:tc>
          <w:tcPr>
            <w:tcW w:type="dxa" w:w="5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18</w:t>
            </w:r>
          </w:p>
        </w:tc>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MockMate feedback report generator</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Antigravity Agent</w:t>
            </w:r>
          </w:p>
        </w:tc>
        <w:tc>
          <w:tcPr>
            <w:tcW w:type="dxa" w:w="54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Write POST /interview/complete that: takes a session_id, retrieves all question-answer-score pairs from Supabase, calls OpenAI to generate a detailed feedback report JSON: { overall_score (int), communication_score, technical_score, confidence_score, top_strengths (list), improvement_areas (list), question_by_question (list of {question, answer, score, better_answer}) }. Return the report.</w:t>
            </w:r>
          </w:p>
        </w:tc>
      </w:tr>
      <w:tr>
        <w:tc>
          <w:tcPr>
            <w:tcW w:type="dxa" w:w="5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19-20</w:t>
            </w:r>
          </w:p>
        </w:tc>
        <w:tc>
          <w:tcPr>
            <w:tcW w:type="dxa" w:w="22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MockMate frontend</w:t>
            </w:r>
          </w:p>
        </w:tc>
        <w:tc>
          <w:tcPr>
            <w:tcW w:type="dxa" w:w="12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Antigravity Agent</w:t>
            </w:r>
          </w:p>
        </w:tc>
        <w:tc>
          <w:tcPr>
            <w:tcW w:type="dxa" w:w="546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Build a Next.js page /mockmate with: Step 1 — company selector (logo cards: TCS, Infosys, Wipro, Accenture, HCL, Cognizant) + round selector + start button. Step 2 — interview chat UI: AI question appears in a styled bubble, student types answer in a text area, Submit Answer button sends to backend, loading indicator while AI generates next question, question counter showing Q3 of 10. Step 3 — feedback report page: score gauges, strength/weakness cards, question-by-question accordion. Blue color theme.</w:t>
            </w:r>
          </w:p>
        </w:tc>
      </w:tr>
      <w:tr>
        <w:tc>
          <w:tcPr>
            <w:tcW w:type="dxa" w:w="5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21</w:t>
            </w:r>
          </w:p>
        </w:tc>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Question bank data entry</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Manual + Copilot</w:t>
            </w:r>
          </w:p>
        </w:tc>
        <w:tc>
          <w:tcPr>
            <w:tcW w:type="dxa" w:w="54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Create questions.json with 30 questions per company (TCS, Infosys, Wipro) × 3 rounds (HR, Technical, Aptitude) = 270 questions minimum. Use Copilot to help generate realistic question variations from known patterns. Run build_questionbank.py to embed and store them.</w:t>
            </w:r>
          </w:p>
        </w:tc>
      </w:tr>
    </w:tbl>
    <w:p>
      <w:pPr>
        <w:spacing w:after="60" w:before="0"/>
      </w:pPr>
      <w:r>
        <w:t xml:space="preserve"/>
      </w:r>
    </w:p>
    <w:p>
      <w:pPr>
        <w:pStyle w:val="Heading2"/>
        <w:spacing w:after="100" w:before="280"/>
      </w:pPr>
      <w:r>
        <w:rPr>
          <w:rFonts w:ascii="Arial" w:cs="Arial" w:eastAsia="Arial" w:hAnsi="Arial"/>
          <w:b/>
          <w:bCs/>
          <w:color w:val="0F172A"/>
          <w:sz w:val="26"/>
          <w:szCs w:val="26"/>
        </w:rPr>
        <w:t xml:space="preserve">Week 4 — Payments, Polish &amp; Launch</w:t>
      </w:r>
    </w:p>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200"/>
        <w:gridCol w:w="5460"/>
      </w:tblGrid>
      <w:tr>
        <w:trPr>
          <w:tblHeader/>
        </w:trPr>
        <w:tc>
          <w:tcPr>
            <w:tcW w:type="dxa" w:w="500"/>
            <w:tcBorders>
              <w:top w:val="single" w:color="DDD6FE" w:sz="1"/>
              <w:left w:val="single" w:color="DDD6FE" w:sz="1"/>
              <w:bottom w:val="single" w:color="DDD6FE" w:sz="1"/>
              <w:right w:val="single" w:color="DDD6FE" w:sz="1"/>
            </w:tcBorders>
            <w:shd w:fill="3B0764" w:val="clear"/>
            <w:tcMar>
              <w:top w:type="dxa" w:w="100"/>
              <w:left w:type="dxa" w:w="120"/>
              <w:bottom w:type="dxa" w:w="100"/>
              <w:right w:type="dxa" w:w="120"/>
            </w:tcMar>
            <w:vAlign w:val="center"/>
          </w:tcPr>
          <w:p>
            <w:r>
              <w:rPr>
                <w:rFonts w:ascii="Arial" w:cs="Arial" w:eastAsia="Arial" w:hAnsi="Arial"/>
                <w:b/>
                <w:bCs/>
                <w:color w:val="FFFFFF"/>
                <w:sz w:val="20"/>
                <w:szCs w:val="20"/>
              </w:rPr>
              <w:t xml:space="preserve">Day</w:t>
            </w:r>
          </w:p>
        </w:tc>
        <w:tc>
          <w:tcPr>
            <w:tcW w:type="dxa" w:w="2200"/>
            <w:tcBorders>
              <w:top w:val="single" w:color="DDD6FE" w:sz="1"/>
              <w:left w:val="single" w:color="DDD6FE" w:sz="1"/>
              <w:bottom w:val="single" w:color="DDD6FE" w:sz="1"/>
              <w:right w:val="single" w:color="DDD6FE" w:sz="1"/>
            </w:tcBorders>
            <w:shd w:fill="3B0764" w:val="clear"/>
            <w:tcMar>
              <w:top w:type="dxa" w:w="100"/>
              <w:left w:type="dxa" w:w="120"/>
              <w:bottom w:type="dxa" w:w="100"/>
              <w:right w:type="dxa" w:w="120"/>
            </w:tcMar>
            <w:vAlign w:val="center"/>
          </w:tcPr>
          <w:p>
            <w:r>
              <w:rPr>
                <w:rFonts w:ascii="Arial" w:cs="Arial" w:eastAsia="Arial" w:hAnsi="Arial"/>
                <w:b/>
                <w:bCs/>
                <w:color w:val="FFFFFF"/>
                <w:sz w:val="20"/>
                <w:szCs w:val="20"/>
              </w:rPr>
              <w:t xml:space="preserve">Task</w:t>
            </w:r>
          </w:p>
        </w:tc>
        <w:tc>
          <w:tcPr>
            <w:tcW w:type="dxa" w:w="1200"/>
            <w:tcBorders>
              <w:top w:val="single" w:color="DDD6FE" w:sz="1"/>
              <w:left w:val="single" w:color="DDD6FE" w:sz="1"/>
              <w:bottom w:val="single" w:color="DDD6FE" w:sz="1"/>
              <w:right w:val="single" w:color="DDD6FE" w:sz="1"/>
            </w:tcBorders>
            <w:shd w:fill="3B0764" w:val="clear"/>
            <w:tcMar>
              <w:top w:type="dxa" w:w="100"/>
              <w:left w:type="dxa" w:w="120"/>
              <w:bottom w:type="dxa" w:w="100"/>
              <w:right w:type="dxa" w:w="120"/>
            </w:tcMar>
            <w:vAlign w:val="center"/>
          </w:tcPr>
          <w:p>
            <w:r>
              <w:rPr>
                <w:rFonts w:ascii="Arial" w:cs="Arial" w:eastAsia="Arial" w:hAnsi="Arial"/>
                <w:b/>
                <w:bCs/>
                <w:color w:val="FFFFFF"/>
                <w:sz w:val="20"/>
                <w:szCs w:val="20"/>
              </w:rPr>
              <w:t xml:space="preserve">Tool</w:t>
            </w:r>
          </w:p>
        </w:tc>
        <w:tc>
          <w:tcPr>
            <w:tcW w:type="dxa" w:w="5460"/>
            <w:tcBorders>
              <w:top w:val="single" w:color="DDD6FE" w:sz="1"/>
              <w:left w:val="single" w:color="DDD6FE" w:sz="1"/>
              <w:bottom w:val="single" w:color="DDD6FE" w:sz="1"/>
              <w:right w:val="single" w:color="DDD6FE" w:sz="1"/>
            </w:tcBorders>
            <w:shd w:fill="3B0764" w:val="clear"/>
            <w:tcMar>
              <w:top w:type="dxa" w:w="100"/>
              <w:left w:type="dxa" w:w="120"/>
              <w:bottom w:type="dxa" w:w="100"/>
              <w:right w:type="dxa" w:w="120"/>
            </w:tcMar>
            <w:vAlign w:val="center"/>
          </w:tcPr>
          <w:p>
            <w:r>
              <w:rPr>
                <w:rFonts w:ascii="Arial" w:cs="Arial" w:eastAsia="Arial" w:hAnsi="Arial"/>
                <w:b/>
                <w:bCs/>
                <w:color w:val="FFFFFF"/>
                <w:sz w:val="20"/>
                <w:szCs w:val="20"/>
              </w:rPr>
              <w:t xml:space="preserve">Prompt / Action</w:t>
            </w:r>
          </w:p>
        </w:tc>
      </w:tr>
      <w:tr>
        <w:tc>
          <w:tcPr>
            <w:tcW w:type="dxa" w:w="5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22</w:t>
            </w:r>
          </w:p>
        </w:tc>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Razorpay subscription integration</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Antigravity Agent</w:t>
            </w:r>
          </w:p>
        </w:tc>
        <w:tc>
          <w:tcPr>
            <w:tcW w:type="dxa" w:w="54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Integrate Razorpay subscription API into the FastAPI backend. Create two plans on Razorpay Dashboard manually: Student Pro ₹99/month, Placement Pack ₹249 one-time. Write a POST /payment/create-subscription endpoint that creates a Razorpay subscription for the logged-in user. Write a POST /payment/webhook endpoint that verifies Razorpay webhook signature and updates the user's plan in Supabase on successful payment.</w:t>
            </w:r>
          </w:p>
        </w:tc>
      </w:tr>
      <w:tr>
        <w:tc>
          <w:tcPr>
            <w:tcW w:type="dxa" w:w="5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23</w:t>
            </w:r>
          </w:p>
        </w:tc>
        <w:tc>
          <w:tcPr>
            <w:tcW w:type="dxa" w:w="22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Upgrade wall + pricing page</w:t>
            </w:r>
          </w:p>
        </w:tc>
        <w:tc>
          <w:tcPr>
            <w:tcW w:type="dxa" w:w="12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Antigravity Agent</w:t>
            </w:r>
          </w:p>
        </w:tc>
        <w:tc>
          <w:tcPr>
            <w:tcW w:type="dxa" w:w="546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Build a /pricing page in Next.js showing the three plans as cards. The free-tier limit modal should appear when a user hits their limit — show current usage, what they are missing, and a prominent Upgrade to Pro button linking to the Razorpay checkout. Add a sticky upgrade banner on dashboard for free users.</w:t>
            </w:r>
          </w:p>
        </w:tc>
      </w:tr>
      <w:tr>
        <w:tc>
          <w:tcPr>
            <w:tcW w:type="dxa" w:w="5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24</w:t>
            </w:r>
          </w:p>
        </w:tc>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Dashboard home page</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Antigravity Agent</w:t>
            </w:r>
          </w:p>
        </w:tc>
        <w:tc>
          <w:tcPr>
            <w:tcW w:type="dxa" w:w="54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Build a /dashboard home page showing: user name and plan badge, usage stats this month (interviews done, resumes reviewed, PDFs uploaded), quick-start buttons for each of the three modules, recent activity feed, and a progress bar to monthly limit for free users.</w:t>
            </w:r>
          </w:p>
        </w:tc>
      </w:tr>
      <w:tr>
        <w:tc>
          <w:tcPr>
            <w:tcW w:type="dxa" w:w="5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25</w:t>
            </w:r>
          </w:p>
        </w:tc>
        <w:tc>
          <w:tcPr>
            <w:tcW w:type="dxa" w:w="22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Landing page (marketing)</w:t>
            </w:r>
          </w:p>
        </w:tc>
        <w:tc>
          <w:tcPr>
            <w:tcW w:type="dxa" w:w="12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Antigravity Agent</w:t>
            </w:r>
          </w:p>
        </w:tc>
        <w:tc>
          <w:tcPr>
            <w:tcW w:type="dxa" w:w="546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Build a public landing page at / with: hero section — 'Get placed faster with AI. Mock interviews, resume help, and flashcards — all in one place.', three feature cards (one per module), testimonial placeholders, pricing section, CTA button 'Start Free — No Credit Card Needed'. SEO meta tags targeting: 'TCS interview preparation', 'resume builder India', 'engineering placement preparation'.</w:t>
            </w:r>
          </w:p>
        </w:tc>
      </w:tr>
      <w:tr>
        <w:tc>
          <w:tcPr>
            <w:tcW w:type="dxa" w:w="5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26-27</w:t>
            </w:r>
          </w:p>
        </w:tc>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Full end-to-end testing</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Manual</w:t>
            </w:r>
          </w:p>
        </w:tc>
        <w:tc>
          <w:tcPr>
            <w:tcW w:type="dxa" w:w="54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Create 3 test accounts. Go through the complete user journey for each module. Test free tier limits. Test payment flow with Razorpay test mode. Test on mobile browser (many students use phones). Fix all blocking bugs.</w:t>
            </w:r>
          </w:p>
        </w:tc>
      </w:tr>
      <w:tr>
        <w:tc>
          <w:tcPr>
            <w:tcW w:type="dxa" w:w="5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28</w:t>
            </w:r>
          </w:p>
        </w:tc>
        <w:tc>
          <w:tcPr>
            <w:tcW w:type="dxa" w:w="22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Deploy and launch</w:t>
            </w:r>
          </w:p>
        </w:tc>
        <w:tc>
          <w:tcPr>
            <w:tcW w:type="dxa" w:w="12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Manual</w:t>
            </w:r>
          </w:p>
        </w:tc>
        <w:tc>
          <w:tcPr>
            <w:tcW w:type="dxa" w:w="546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Deploy frontend to Vercel (free). Deploy backend to Railway (free tier). Point a domain (buy prepedge.in for ₹500 on GoDaddy — worth it for credibility). Share in 10 WhatsApp groups, post on LinkedIn, message 20 classmates directly.</w:t>
            </w:r>
          </w:p>
        </w:tc>
      </w:tr>
    </w:tbl>
    <w:p>
      <w:pPr>
        <w:spacing w:after="120" w:before="0"/>
      </w:pPr>
      <w:r>
        <w:t xml:space="preserve"/>
      </w:r>
    </w:p>
    <w:p>
      <w:pPr>
        <w:pStyle w:val="Heading1"/>
        <w:pBdr>
          <w:bottom w:val="single" w:color="7C3AED" w:sz="4" w:space="6"/>
        </w:pBdr>
        <w:spacing w:after="120" w:before="400"/>
      </w:pPr>
      <w:r>
        <w:rPr>
          <w:rFonts w:ascii="Arial" w:cs="Arial" w:eastAsia="Arial" w:hAnsi="Arial"/>
          <w:b/>
          <w:bCs/>
          <w:color w:val="7C3AED"/>
          <w:sz w:val="32"/>
          <w:szCs w:val="32"/>
        </w:rPr>
        <w:t xml:space="preserve">6. Go-to-Market Strategy</w:t>
      </w:r>
    </w:p>
    <w:p>
      <w:pPr>
        <w:pStyle w:val="Heading2"/>
        <w:spacing w:after="100" w:before="280"/>
      </w:pPr>
      <w:r>
        <w:rPr>
          <w:rFonts w:ascii="Arial" w:cs="Arial" w:eastAsia="Arial" w:hAnsi="Arial"/>
          <w:b/>
          <w:bCs/>
          <w:color w:val="0F172A"/>
          <w:sz w:val="26"/>
          <w:szCs w:val="26"/>
        </w:rPr>
        <w:t xml:space="preserve">6.1 Month 1 — Your Personal Network</w:t>
      </w:r>
    </w:p>
    <w:p>
      <w:pPr>
        <w:spacing w:after="80" w:before="80"/>
      </w:pPr>
      <w:r>
        <w:rPr>
          <w:rFonts w:ascii="Arial" w:cs="Arial" w:eastAsia="Arial" w:hAnsi="Arial"/>
          <w:color w:val="0F172A"/>
          <w:sz w:val="22"/>
          <w:szCs w:val="22"/>
        </w:rPr>
        <w:t xml:space="preserve">Your first 10 paying users will come from people who already trust you. Start there.</w:t>
      </w:r>
    </w:p>
    <w:p>
      <w:pPr>
        <w:spacing w:after="36" w:before="0"/>
      </w:pPr>
      <w:r>
        <w:t xml:space="preserve"/>
      </w:r>
    </w:p>
    <w:p>
      <w:pPr>
        <w:pStyle w:val="ListParagraph"/>
        <w:numPr>
          <w:ilvl w:val="0"/>
          <w:numId w:val="3"/>
        </w:numPr>
        <w:spacing w:after="60" w:before="60"/>
      </w:pPr>
      <w:r>
        <w:rPr>
          <w:rFonts w:ascii="Arial" w:cs="Arial" w:eastAsia="Arial" w:hAnsi="Arial"/>
          <w:color w:val="0F172A"/>
          <w:sz w:val="22"/>
          <w:szCs w:val="22"/>
        </w:rPr>
        <w:t xml:space="preserve">Message 50 classmates and juniors at KL University personally. Not a broadcast — a personal message: 'I built something that helps with TCS/Infosys prep. Can you try it and tell me what you think? It's free this month.'</w:t>
      </w:r>
    </w:p>
    <w:p>
      <w:pPr>
        <w:pStyle w:val="ListParagraph"/>
        <w:numPr>
          <w:ilvl w:val="0"/>
          <w:numId w:val="3"/>
        </w:numPr>
        <w:spacing w:after="60" w:before="60"/>
      </w:pPr>
      <w:r>
        <w:rPr>
          <w:rFonts w:ascii="Arial" w:cs="Arial" w:eastAsia="Arial" w:hAnsi="Arial"/>
          <w:color w:val="0F172A"/>
          <w:sz w:val="22"/>
          <w:szCs w:val="22"/>
        </w:rPr>
        <w:t xml:space="preserve">Post in your college's placement WhatsApp groups. Share a 30-second screen recording of MockMate doing a TCS HR interview.</w:t>
      </w:r>
    </w:p>
    <w:p>
      <w:pPr>
        <w:pStyle w:val="ListParagraph"/>
        <w:numPr>
          <w:ilvl w:val="0"/>
          <w:numId w:val="3"/>
        </w:numPr>
        <w:spacing w:after="60" w:before="60"/>
      </w:pPr>
      <w:r>
        <w:rPr>
          <w:rFonts w:ascii="Arial" w:cs="Arial" w:eastAsia="Arial" w:hAnsi="Arial"/>
          <w:color w:val="0F172A"/>
          <w:sz w:val="22"/>
          <w:szCs w:val="22"/>
        </w:rPr>
        <w:t xml:space="preserve">Post on LinkedIn. Tag KL University. Title: 'I built an AI that interviews you like TCS does. Here's what it found.' Personal story posts get 10x more reach than product posts.</w:t>
      </w:r>
    </w:p>
    <w:p>
      <w:pPr>
        <w:pStyle w:val="ListParagraph"/>
        <w:numPr>
          <w:ilvl w:val="0"/>
          <w:numId w:val="3"/>
        </w:numPr>
        <w:spacing w:after="60" w:before="60"/>
      </w:pPr>
      <w:r>
        <w:rPr>
          <w:rFonts w:ascii="Arial" w:cs="Arial" w:eastAsia="Arial" w:hAnsi="Arial"/>
          <w:color w:val="0F172A"/>
          <w:sz w:val="22"/>
          <w:szCs w:val="22"/>
        </w:rPr>
        <w:t xml:space="preserve">Offer your first 20 users 3 months Pro free in exchange for honest feedback and a testimonial if they like it.</w:t>
      </w:r>
    </w:p>
    <w:p>
      <w:pPr>
        <w:spacing w:after="60" w:before="0"/>
      </w:pPr>
      <w:r>
        <w:t xml:space="preserve"/>
      </w:r>
    </w:p>
    <w:p>
      <w:pPr>
        <w:pStyle w:val="Heading2"/>
        <w:spacing w:after="100" w:before="280"/>
      </w:pPr>
      <w:r>
        <w:rPr>
          <w:rFonts w:ascii="Arial" w:cs="Arial" w:eastAsia="Arial" w:hAnsi="Arial"/>
          <w:b/>
          <w:bCs/>
          <w:color w:val="0F172A"/>
          <w:sz w:val="26"/>
          <w:szCs w:val="26"/>
        </w:rPr>
        <w:t xml:space="preserve">6.2 Month 2-3 — Campus Ambassador Network</w:t>
      </w:r>
    </w:p>
    <w:p>
      <w:pPr>
        <w:pStyle w:val="ListParagraph"/>
        <w:numPr>
          <w:ilvl w:val="0"/>
          <w:numId w:val="2"/>
        </w:numPr>
        <w:spacing w:after="60" w:before="60"/>
      </w:pPr>
      <w:r>
        <w:rPr>
          <w:rFonts w:ascii="Arial" w:cs="Arial" w:eastAsia="Arial" w:hAnsi="Arial"/>
          <w:b/>
          <w:bCs/>
          <w:color w:val="7C3AED"/>
          <w:sz w:val="22"/>
          <w:szCs w:val="22"/>
        </w:rPr>
        <w:t xml:space="preserve">How: </w:t>
      </w:r>
      <w:r>
        <w:rPr>
          <w:rFonts w:ascii="Arial" w:cs="Arial" w:eastAsia="Arial" w:hAnsi="Arial"/>
          <w:color w:val="0F172A"/>
          <w:sz w:val="22"/>
          <w:szCs w:val="22"/>
        </w:rPr>
        <w:t xml:space="preserve">Find 1 student in each of 5 Hyderabad colleges who is active in their placement cell. Offer them: 6 months free Pro + ₹50 per paying referral.</w:t>
      </w:r>
    </w:p>
    <w:p>
      <w:pPr>
        <w:pStyle w:val="ListParagraph"/>
        <w:numPr>
          <w:ilvl w:val="0"/>
          <w:numId w:val="2"/>
        </w:numPr>
        <w:spacing w:after="60" w:before="60"/>
      </w:pPr>
      <w:r>
        <w:rPr>
          <w:rFonts w:ascii="Arial" w:cs="Arial" w:eastAsia="Arial" w:hAnsi="Arial"/>
          <w:b/>
          <w:bCs/>
          <w:color w:val="7C3AED"/>
          <w:sz w:val="22"/>
          <w:szCs w:val="22"/>
        </w:rPr>
        <w:t xml:space="preserve">Why it works: </w:t>
      </w:r>
      <w:r>
        <w:rPr>
          <w:rFonts w:ascii="Arial" w:cs="Arial" w:eastAsia="Arial" w:hAnsi="Arial"/>
          <w:color w:val="0F172A"/>
          <w:sz w:val="22"/>
          <w:szCs w:val="22"/>
        </w:rPr>
        <w:t xml:space="preserve">Ambassadors share PrepEdge in their college placement groups. They earn; you get users. Both win.</w:t>
      </w:r>
    </w:p>
    <w:p>
      <w:pPr>
        <w:pStyle w:val="ListParagraph"/>
        <w:numPr>
          <w:ilvl w:val="0"/>
          <w:numId w:val="2"/>
        </w:numPr>
        <w:spacing w:after="60" w:before="60"/>
      </w:pPr>
      <w:r>
        <w:rPr>
          <w:rFonts w:ascii="Arial" w:cs="Arial" w:eastAsia="Arial" w:hAnsi="Arial"/>
          <w:b/>
          <w:bCs/>
          <w:color w:val="7C3AED"/>
          <w:sz w:val="22"/>
          <w:szCs w:val="22"/>
        </w:rPr>
        <w:t xml:space="preserve">Where: </w:t>
      </w:r>
      <w:r>
        <w:rPr>
          <w:rFonts w:ascii="Arial" w:cs="Arial" w:eastAsia="Arial" w:hAnsi="Arial"/>
          <w:color w:val="0F172A"/>
          <w:sz w:val="22"/>
          <w:szCs w:val="22"/>
        </w:rPr>
        <w:t xml:space="preserve">Target colleges: JNTU Hyderabad, Osmania University, BITS Pilani Hyderabad, VIT Amaravati, Mahindra University.</w:t>
      </w:r>
    </w:p>
    <w:p>
      <w:pPr>
        <w:spacing w:after="60" w:before="0"/>
      </w:pPr>
      <w:r>
        <w:t xml:space="preserve"/>
      </w:r>
    </w:p>
    <w:p>
      <w:pPr>
        <w:pStyle w:val="Heading2"/>
        <w:spacing w:after="100" w:before="280"/>
      </w:pPr>
      <w:r>
        <w:rPr>
          <w:rFonts w:ascii="Arial" w:cs="Arial" w:eastAsia="Arial" w:hAnsi="Arial"/>
          <w:b/>
          <w:bCs/>
          <w:color w:val="0F172A"/>
          <w:sz w:val="26"/>
          <w:szCs w:val="26"/>
        </w:rPr>
        <w:t xml:space="preserve">6.3 Ongoing — SEO + Placement Season Timing</w:t>
      </w:r>
    </w:p>
    <w:p>
      <w:pPr>
        <w:spacing w:after="80" w:before="80"/>
      </w:pPr>
      <w:r>
        <w:rPr>
          <w:rFonts w:ascii="Arial" w:cs="Arial" w:eastAsia="Arial" w:hAnsi="Arial"/>
          <w:color w:val="0F172A"/>
          <w:sz w:val="22"/>
          <w:szCs w:val="22"/>
        </w:rPr>
        <w:t xml:space="preserve">Campus placement season in India runs August to December. This is your peak revenue window every year. Placement anxiety is highest — students are most likely to pay. Start marketing aggressively in July.</w:t>
      </w:r>
    </w:p>
    <w:p>
      <w:pPr>
        <w:spacing w:after="36" w:before="0"/>
      </w:pPr>
      <w:r>
        <w:t xml:space="preserve"/>
      </w:r>
    </w:p>
    <w:p>
      <w:pPr>
        <w:pStyle w:val="ListParagraph"/>
        <w:numPr>
          <w:ilvl w:val="0"/>
          <w:numId w:val="2"/>
        </w:numPr>
        <w:spacing w:after="60" w:before="60"/>
      </w:pPr>
      <w:r>
        <w:rPr>
          <w:rFonts w:ascii="Arial" w:cs="Arial" w:eastAsia="Arial" w:hAnsi="Arial"/>
          <w:color w:val="0F172A"/>
          <w:sz w:val="22"/>
          <w:szCs w:val="22"/>
        </w:rPr>
        <w:t xml:space="preserve">Write 4 blog posts on your site targeting: 'TCS NQT preparation guide 2026', 'how to crack Infosys interview', 'resume tips for freshers India', 'best flashcard app for engineering'. These rank on Google for free.</w:t>
      </w:r>
    </w:p>
    <w:p>
      <w:pPr>
        <w:pStyle w:val="ListParagraph"/>
        <w:numPr>
          <w:ilvl w:val="0"/>
          <w:numId w:val="2"/>
        </w:numPr>
        <w:spacing w:after="60" w:before="60"/>
      </w:pPr>
      <w:r>
        <w:rPr>
          <w:rFonts w:ascii="Arial" w:cs="Arial" w:eastAsia="Arial" w:hAnsi="Arial"/>
          <w:color w:val="0F172A"/>
          <w:sz w:val="22"/>
          <w:szCs w:val="22"/>
        </w:rPr>
        <w:t xml:space="preserve">Post 2 short LinkedIn videos per week during August-December showing real mock interview sessions (with permission). This builds organic reach.</w:t>
      </w:r>
    </w:p>
    <w:p>
      <w:pPr>
        <w:spacing w:after="120" w:before="0"/>
      </w:pPr>
      <w:r>
        <w:t xml:space="preserve"/>
      </w:r>
    </w:p>
    <w:p>
      <w:pPr>
        <w:pStyle w:val="Heading1"/>
        <w:pBdr>
          <w:bottom w:val="single" w:color="7C3AED" w:sz="4" w:space="6"/>
        </w:pBdr>
        <w:spacing w:after="120" w:before="400"/>
      </w:pPr>
      <w:r>
        <w:rPr>
          <w:rFonts w:ascii="Arial" w:cs="Arial" w:eastAsia="Arial" w:hAnsi="Arial"/>
          <w:b/>
          <w:bCs/>
          <w:color w:val="7C3AED"/>
          <w:sz w:val="32"/>
          <w:szCs w:val="32"/>
        </w:rPr>
        <w:t xml:space="preserve">7. How PrepEdge Funds Ripple</w:t>
      </w:r>
    </w:p>
    <w:p>
      <w:pPr>
        <w:spacing w:after="80" w:before="80"/>
      </w:pPr>
      <w:r>
        <w:rPr>
          <w:rFonts w:ascii="Arial" w:cs="Arial" w:eastAsia="Arial" w:hAnsi="Arial"/>
          <w:color w:val="0F172A"/>
          <w:sz w:val="22"/>
          <w:szCs w:val="22"/>
        </w:rPr>
        <w:t xml:space="preserve">This is the strategic reason PrepEdge exists — not just for passive income, but as the financial engine that keeps Ripple development alive.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000"/>
        <w:gridCol w:w="2200"/>
        <w:gridCol w:w="2360"/>
      </w:tblGrid>
      <w:tr>
        <w:trPr>
          <w:tblHeader/>
        </w:trPr>
        <w:tc>
          <w:tcPr>
            <w:tcW w:type="dxa" w:w="1000"/>
            <w:tcBorders>
              <w:top w:val="single" w:color="DDD6FE" w:sz="1"/>
              <w:left w:val="single" w:color="DDD6FE" w:sz="1"/>
              <w:bottom w:val="single" w:color="DDD6FE" w:sz="1"/>
              <w:right w:val="single" w:color="DDD6FE" w:sz="1"/>
            </w:tcBorders>
            <w:shd w:fill="3B0764" w:val="clear"/>
            <w:tcMar>
              <w:top w:type="dxa" w:w="100"/>
              <w:left w:type="dxa" w:w="120"/>
              <w:bottom w:type="dxa" w:w="100"/>
              <w:right w:type="dxa" w:w="120"/>
            </w:tcMar>
            <w:vAlign w:val="center"/>
          </w:tcPr>
          <w:p>
            <w:r>
              <w:rPr>
                <w:rFonts w:ascii="Arial" w:cs="Arial" w:eastAsia="Arial" w:hAnsi="Arial"/>
                <w:b/>
                <w:bCs/>
                <w:color w:val="FFFFFF"/>
                <w:sz w:val="20"/>
                <w:szCs w:val="20"/>
              </w:rPr>
              <w:t xml:space="preserve">Month</w:t>
            </w:r>
          </w:p>
        </w:tc>
        <w:tc>
          <w:tcPr>
            <w:tcW w:type="dxa" w:w="1800"/>
            <w:tcBorders>
              <w:top w:val="single" w:color="DDD6FE" w:sz="1"/>
              <w:left w:val="single" w:color="DDD6FE" w:sz="1"/>
              <w:bottom w:val="single" w:color="DDD6FE" w:sz="1"/>
              <w:right w:val="single" w:color="DDD6FE" w:sz="1"/>
            </w:tcBorders>
            <w:shd w:fill="3B0764" w:val="clear"/>
            <w:tcMar>
              <w:top w:type="dxa" w:w="100"/>
              <w:left w:type="dxa" w:w="120"/>
              <w:bottom w:type="dxa" w:w="100"/>
              <w:right w:type="dxa" w:w="120"/>
            </w:tcMar>
            <w:vAlign w:val="center"/>
          </w:tcPr>
          <w:p>
            <w:r>
              <w:rPr>
                <w:rFonts w:ascii="Arial" w:cs="Arial" w:eastAsia="Arial" w:hAnsi="Arial"/>
                <w:b/>
                <w:bCs/>
                <w:color w:val="FFFFFF"/>
                <w:sz w:val="20"/>
                <w:szCs w:val="20"/>
              </w:rPr>
              <w:t xml:space="preserve">PrepEdge Revenue</w:t>
            </w:r>
          </w:p>
        </w:tc>
        <w:tc>
          <w:tcPr>
            <w:tcW w:type="dxa" w:w="2000"/>
            <w:tcBorders>
              <w:top w:val="single" w:color="DDD6FE" w:sz="1"/>
              <w:left w:val="single" w:color="DDD6FE" w:sz="1"/>
              <w:bottom w:val="single" w:color="DDD6FE" w:sz="1"/>
              <w:right w:val="single" w:color="DDD6FE" w:sz="1"/>
            </w:tcBorders>
            <w:shd w:fill="3B0764" w:val="clear"/>
            <w:tcMar>
              <w:top w:type="dxa" w:w="100"/>
              <w:left w:type="dxa" w:w="120"/>
              <w:bottom w:type="dxa" w:w="100"/>
              <w:right w:type="dxa" w:w="120"/>
            </w:tcMar>
            <w:vAlign w:val="center"/>
          </w:tcPr>
          <w:p>
            <w:r>
              <w:rPr>
                <w:rFonts w:ascii="Arial" w:cs="Arial" w:eastAsia="Arial" w:hAnsi="Arial"/>
                <w:b/>
                <w:bCs/>
                <w:color w:val="FFFFFF"/>
                <w:sz w:val="20"/>
                <w:szCs w:val="20"/>
              </w:rPr>
              <w:t xml:space="preserve">OpenAI API Cost (est.)</w:t>
            </w:r>
          </w:p>
        </w:tc>
        <w:tc>
          <w:tcPr>
            <w:tcW w:type="dxa" w:w="2200"/>
            <w:tcBorders>
              <w:top w:val="single" w:color="DDD6FE" w:sz="1"/>
              <w:left w:val="single" w:color="DDD6FE" w:sz="1"/>
              <w:bottom w:val="single" w:color="DDD6FE" w:sz="1"/>
              <w:right w:val="single" w:color="DDD6FE" w:sz="1"/>
            </w:tcBorders>
            <w:shd w:fill="3B0764" w:val="clear"/>
            <w:tcMar>
              <w:top w:type="dxa" w:w="100"/>
              <w:left w:type="dxa" w:w="120"/>
              <w:bottom w:type="dxa" w:w="100"/>
              <w:right w:type="dxa" w:w="120"/>
            </w:tcMar>
            <w:vAlign w:val="center"/>
          </w:tcPr>
          <w:p>
            <w:r>
              <w:rPr>
                <w:rFonts w:ascii="Arial" w:cs="Arial" w:eastAsia="Arial" w:hAnsi="Arial"/>
                <w:b/>
                <w:bCs/>
                <w:color w:val="FFFFFF"/>
                <w:sz w:val="20"/>
                <w:szCs w:val="20"/>
              </w:rPr>
              <w:t xml:space="preserve">Net to Ripple Dev</w:t>
            </w:r>
          </w:p>
        </w:tc>
        <w:tc>
          <w:tcPr>
            <w:tcW w:type="dxa" w:w="2360"/>
            <w:tcBorders>
              <w:top w:val="single" w:color="DDD6FE" w:sz="1"/>
              <w:left w:val="single" w:color="DDD6FE" w:sz="1"/>
              <w:bottom w:val="single" w:color="DDD6FE" w:sz="1"/>
              <w:right w:val="single" w:color="DDD6FE" w:sz="1"/>
            </w:tcBorders>
            <w:shd w:fill="3B0764"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It Covers</w:t>
            </w:r>
          </w:p>
        </w:tc>
      </w:tr>
      <w:tr>
        <w:tc>
          <w:tcPr>
            <w:tcW w:type="dxa" w:w="1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Month 1-2</w:t>
            </w:r>
          </w:p>
        </w:tc>
        <w:tc>
          <w:tcPr>
            <w:tcW w:type="dxa" w:w="1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₹990 - ₹2,970</w:t>
            </w:r>
          </w:p>
        </w:tc>
        <w:tc>
          <w:tcPr>
            <w:tcW w:type="dxa" w:w="2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~₹400</w:t>
            </w:r>
          </w:p>
        </w:tc>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₹590 - ₹2,570</w:t>
            </w:r>
          </w:p>
        </w:tc>
        <w:tc>
          <w:tcPr>
            <w:tcW w:type="dxa" w:w="23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Your personal expenses while building</w:t>
            </w:r>
          </w:p>
        </w:tc>
      </w:tr>
      <w:tr>
        <w:tc>
          <w:tcPr>
            <w:tcW w:type="dxa" w:w="10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Month 3</w:t>
            </w:r>
          </w:p>
        </w:tc>
        <w:tc>
          <w:tcPr>
            <w:tcW w:type="dxa" w:w="18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₹5,148</w:t>
            </w:r>
          </w:p>
        </w:tc>
        <w:tc>
          <w:tcPr>
            <w:tcW w:type="dxa" w:w="20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~₹800</w:t>
            </w:r>
          </w:p>
        </w:tc>
        <w:tc>
          <w:tcPr>
            <w:tcW w:type="dxa" w:w="22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₹4,348</w:t>
            </w:r>
          </w:p>
        </w:tc>
        <w:tc>
          <w:tcPr>
            <w:tcW w:type="dxa" w:w="236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Living expenses + Ripple OpenAI API costs</w:t>
            </w:r>
          </w:p>
        </w:tc>
      </w:tr>
      <w:tr>
        <w:tc>
          <w:tcPr>
            <w:tcW w:type="dxa" w:w="1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Month 6</w:t>
            </w:r>
          </w:p>
        </w:tc>
        <w:tc>
          <w:tcPr>
            <w:tcW w:type="dxa" w:w="1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₹14,250</w:t>
            </w:r>
          </w:p>
        </w:tc>
        <w:tc>
          <w:tcPr>
            <w:tcW w:type="dxa" w:w="2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~₹2,000</w:t>
            </w:r>
          </w:p>
        </w:tc>
        <w:tc>
          <w:tcPr>
            <w:tcW w:type="dxa" w:w="2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₹12,250</w:t>
            </w:r>
          </w:p>
        </w:tc>
        <w:tc>
          <w:tcPr>
            <w:tcW w:type="dxa" w:w="23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Living + Ripple server costs + test devices</w:t>
            </w:r>
          </w:p>
        </w:tc>
      </w:tr>
      <w:tr>
        <w:tc>
          <w:tcPr>
            <w:tcW w:type="dxa" w:w="10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Month 12</w:t>
            </w:r>
          </w:p>
        </w:tc>
        <w:tc>
          <w:tcPr>
            <w:tcW w:type="dxa" w:w="18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₹36,000</w:t>
            </w:r>
          </w:p>
        </w:tc>
        <w:tc>
          <w:tcPr>
            <w:tcW w:type="dxa" w:w="20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~₹5,000</w:t>
            </w:r>
          </w:p>
        </w:tc>
        <w:tc>
          <w:tcPr>
            <w:tcW w:type="dxa" w:w="22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₹31,000</w:t>
            </w:r>
          </w:p>
        </w:tc>
        <w:tc>
          <w:tcPr>
            <w:tcW w:type="dxa" w:w="236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Full runway — can quit other work and focus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3"/>
              <w:left w:val="single" w:color="7C3AED" w:sz="12"/>
              <w:bottom w:val="single" w:color="7C3AED" w:sz="3"/>
              <w:right w:val="single" w:color="7C3AED" w:sz="3"/>
            </w:tcBorders>
            <w:shd w:fill="FAF5FF" w:val="clear"/>
            <w:tcMar>
              <w:top w:type="dxa" w:w="140"/>
              <w:left w:type="dxa" w:w="200"/>
              <w:bottom w:type="dxa" w:w="140"/>
              <w:right w:type="dxa" w:w="200"/>
            </w:tcMar>
          </w:tcPr>
          <w:p>
            <w:pPr>
              <w:spacing w:after="80" w:before="0"/>
            </w:pPr>
            <w:r>
              <w:rPr>
                <w:rFonts w:ascii="Arial" w:cs="Arial" w:eastAsia="Arial" w:hAnsi="Arial"/>
                <w:b/>
                <w:bCs/>
                <w:color w:val="7C3AED"/>
                <w:sz w:val="22"/>
                <w:szCs w:val="22"/>
              </w:rPr>
              <w:t xml:space="preserve">The Key Insight</w:t>
            </w:r>
          </w:p>
          <w:p>
            <w:pPr>
              <w:spacing w:after="80" w:before="80"/>
            </w:pPr>
            <w:r>
              <w:rPr>
                <w:rFonts w:ascii="Arial" w:cs="Arial" w:eastAsia="Arial" w:hAnsi="Arial"/>
                <w:color w:val="0F172A"/>
                <w:sz w:val="22"/>
                <w:szCs w:val="22"/>
              </w:rPr>
              <w:t xml:space="preserve">PrepEdge and Ripple are not competitors for your time. PrepEdge is a web app that you build once and it earns while you sleep. Ripple is the big vision that you actively develop. The pattern is: build PrepEdge in 4 weeks, launch it, let it earn passively, use that money and mental space to focus on Ripple without financial anxiety.</w:t>
            </w:r>
          </w:p>
          <w:p>
            <w:pPr>
              <w:spacing w:after="80" w:before="80"/>
            </w:pPr>
            <w:r>
              <w:rPr>
                <w:rFonts w:ascii="Arial" w:cs="Arial" w:eastAsia="Arial" w:hAnsi="Arial"/>
                <w:b/>
                <w:bCs/>
                <w:color w:val="7C3AED"/>
                <w:sz w:val="22"/>
                <w:szCs w:val="22"/>
              </w:rPr>
              <w:t xml:space="preserve">PrepEdge is your financial co-founder. </w:t>
            </w:r>
            <w:r>
              <w:rPr>
                <w:rFonts w:ascii="Arial" w:cs="Arial" w:eastAsia="Arial" w:hAnsi="Arial"/>
                <w:color w:val="0F172A"/>
                <w:sz w:val="22"/>
                <w:szCs w:val="22"/>
              </w:rPr>
              <w:t xml:space="preserve">It keeps you alive while Ripple grows.</w:t>
            </w:r>
          </w:p>
        </w:tc>
      </w:tr>
    </w:tbl>
    <w:p>
      <w:pPr>
        <w:spacing w:after="120" w:before="0"/>
      </w:pPr>
      <w:r>
        <w:t xml:space="preserve"/>
      </w:r>
    </w:p>
    <w:p>
      <w:pPr>
        <w:pStyle w:val="Heading1"/>
        <w:pBdr>
          <w:bottom w:val="single" w:color="7C3AED" w:sz="4" w:space="6"/>
        </w:pBdr>
        <w:spacing w:after="120" w:before="400"/>
      </w:pPr>
      <w:r>
        <w:rPr>
          <w:rFonts w:ascii="Arial" w:cs="Arial" w:eastAsia="Arial" w:hAnsi="Arial"/>
          <w:b/>
          <w:bCs/>
          <w:color w:val="7C3AED"/>
          <w:sz w:val="32"/>
          <w:szCs w:val="32"/>
        </w:rPr>
        <w:t xml:space="preserve">8. Honest Risk Assessment</w:t>
      </w:r>
    </w:p>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rPr>
          <w:tblHeader/>
        </w:trPr>
        <w:tc>
          <w:tcPr>
            <w:tcW w:type="dxa" w:w="2000"/>
            <w:tcBorders>
              <w:top w:val="single" w:color="DDD6FE" w:sz="1"/>
              <w:left w:val="single" w:color="DDD6FE" w:sz="1"/>
              <w:bottom w:val="single" w:color="DDD6FE" w:sz="1"/>
              <w:right w:val="single" w:color="DDD6FE" w:sz="1"/>
            </w:tcBorders>
            <w:shd w:fill="3B0764" w:val="clear"/>
            <w:tcMar>
              <w:top w:type="dxa" w:w="100"/>
              <w:left w:type="dxa" w:w="120"/>
              <w:bottom w:type="dxa" w:w="100"/>
              <w:right w:type="dxa" w:w="120"/>
            </w:tcMar>
            <w:vAlign w:val="center"/>
          </w:tcPr>
          <w:p>
            <w:r>
              <w:rPr>
                <w:rFonts w:ascii="Arial" w:cs="Arial" w:eastAsia="Arial" w:hAnsi="Arial"/>
                <w:b/>
                <w:bCs/>
                <w:color w:val="FFFFFF"/>
                <w:sz w:val="20"/>
                <w:szCs w:val="20"/>
              </w:rPr>
              <w:t xml:space="preserve">Risk</w:t>
            </w:r>
          </w:p>
        </w:tc>
        <w:tc>
          <w:tcPr>
            <w:tcW w:type="dxa" w:w="3160"/>
            <w:tcBorders>
              <w:top w:val="single" w:color="DDD6FE" w:sz="1"/>
              <w:left w:val="single" w:color="DDD6FE" w:sz="1"/>
              <w:bottom w:val="single" w:color="DDD6FE" w:sz="1"/>
              <w:right w:val="single" w:color="DDD6FE" w:sz="1"/>
            </w:tcBorders>
            <w:shd w:fill="3B0764" w:val="clear"/>
            <w:tcMar>
              <w:top w:type="dxa" w:w="100"/>
              <w:left w:type="dxa" w:w="120"/>
              <w:bottom w:type="dxa" w:w="100"/>
              <w:right w:type="dxa" w:w="120"/>
            </w:tcMar>
            <w:vAlign w:val="center"/>
          </w:tcPr>
          <w:p>
            <w:r>
              <w:rPr>
                <w:rFonts w:ascii="Arial" w:cs="Arial" w:eastAsia="Arial" w:hAnsi="Arial"/>
                <w:b/>
                <w:bCs/>
                <w:color w:val="FFFFFF"/>
                <w:sz w:val="20"/>
                <w:szCs w:val="20"/>
              </w:rPr>
              <w:t xml:space="preserve">Honest Assessment</w:t>
            </w:r>
          </w:p>
        </w:tc>
        <w:tc>
          <w:tcPr>
            <w:tcW w:type="dxa" w:w="4200"/>
            <w:tcBorders>
              <w:top w:val="single" w:color="DDD6FE" w:sz="1"/>
              <w:left w:val="single" w:color="DDD6FE" w:sz="1"/>
              <w:bottom w:val="single" w:color="DDD6FE" w:sz="1"/>
              <w:right w:val="single" w:color="DDD6FE" w:sz="1"/>
            </w:tcBorders>
            <w:shd w:fill="3B0764" w:val="clear"/>
            <w:tcMar>
              <w:top w:type="dxa" w:w="100"/>
              <w:left w:type="dxa" w:w="120"/>
              <w:bottom w:type="dxa" w:w="100"/>
              <w:right w:type="dxa" w:w="120"/>
            </w:tcMar>
            <w:vAlign w:val="center"/>
          </w:tcPr>
          <w:p>
            <w:r>
              <w:rPr>
                <w:rFonts w:ascii="Arial" w:cs="Arial" w:eastAsia="Arial" w:hAnsi="Arial"/>
                <w:b/>
                <w:bCs/>
                <w:color w:val="FFFFFF"/>
                <w:sz w:val="20"/>
                <w:szCs w:val="20"/>
              </w:rPr>
              <w:t xml:space="preserve">Mitigation</w:t>
            </w:r>
          </w:p>
        </w:tc>
      </w:tr>
      <w:tr>
        <w:tc>
          <w:tcPr>
            <w:tcW w:type="dxa" w:w="2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OpenAI API cost grows with users</w:t>
            </w:r>
          </w:p>
        </w:tc>
        <w:tc>
          <w:tcPr>
            <w:tcW w:type="dxa" w:w="3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At 400 users, API costs ~₹5,000/month. Margin shrinks.</w:t>
            </w:r>
          </w:p>
        </w:tc>
        <w:tc>
          <w:tcPr>
            <w:tcW w:type="dxa" w:w="4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Switch high-volume endpoints (FlashLearn summaries) to GPT-4o-mini. MockMate evaluations to GPT-3.5-turbo. Only final reports use GPT-4o.</w:t>
            </w:r>
          </w:p>
        </w:tc>
      </w:tr>
      <w:tr>
        <w:tc>
          <w:tcPr>
            <w:tcW w:type="dxa" w:w="20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Students don't pay ₹99</w:t>
            </w:r>
          </w:p>
        </w:tc>
        <w:tc>
          <w:tcPr>
            <w:tcW w:type="dxa" w:w="316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Real risk — Indian students are price sensitive.</w:t>
            </w:r>
          </w:p>
        </w:tc>
        <w:tc>
          <w:tcPr>
            <w:tcW w:type="dxa" w:w="42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Offer annual plan: ₹599/year (₹50/month effective). Feels cheaper. Razorpay supports this natively.</w:t>
            </w:r>
          </w:p>
        </w:tc>
      </w:tr>
      <w:tr>
        <w:tc>
          <w:tcPr>
            <w:tcW w:type="dxa" w:w="2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Competition from big EdTech</w:t>
            </w:r>
          </w:p>
        </w:tc>
        <w:tc>
          <w:tcPr>
            <w:tcW w:type="dxa" w:w="3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Unacademy or BYJU's could build this.</w:t>
            </w:r>
          </w:p>
        </w:tc>
        <w:tc>
          <w:tcPr>
            <w:tcW w:type="dxa" w:w="4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They are slow. You can be at 500 users before they even plan a sprint. And they won't go deep on company-specific TCS/Infosys patterns the way you will.</w:t>
            </w:r>
          </w:p>
        </w:tc>
      </w:tr>
      <w:tr>
        <w:tc>
          <w:tcPr>
            <w:tcW w:type="dxa" w:w="20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MockMate question quality</w:t>
            </w:r>
          </w:p>
        </w:tc>
        <w:tc>
          <w:tcPr>
            <w:tcW w:type="dxa" w:w="316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AI-generated feedback may be wrong.</w:t>
            </w:r>
          </w:p>
        </w:tc>
        <w:tc>
          <w:tcPr>
            <w:tcW w:type="dxa" w:w="4200"/>
            <w:tcBorders>
              <w:top w:val="single" w:color="DDD6FE" w:sz="1"/>
              <w:left w:val="single" w:color="DDD6FE" w:sz="1"/>
              <w:bottom w:val="single" w:color="DDD6FE" w:sz="1"/>
              <w:right w:val="single" w:color="DDD6FE" w:sz="1"/>
            </w:tcBorders>
            <w:shd w:fill="FAF5FF" w:val="clear"/>
            <w:tcMar>
              <w:top w:type="dxa" w:w="80"/>
              <w:left w:type="dxa" w:w="120"/>
              <w:bottom w:type="dxa" w:w="80"/>
              <w:right w:type="dxa" w:w="120"/>
            </w:tcMar>
            <w:vAlign w:val="center"/>
          </w:tcPr>
          <w:p>
            <w:r>
              <w:rPr>
                <w:rFonts w:ascii="Arial" w:cs="Arial" w:eastAsia="Arial" w:hAnsi="Arial"/>
                <w:color w:val="0F172A"/>
                <w:sz w:val="20"/>
                <w:szCs w:val="20"/>
              </w:rPr>
              <w:t xml:space="preserve">Add a disclaimer: 'AI feedback is for practice — not a guarantee of real interview performance.' Build in human review of 10 sessions per month to monitor quality.</w:t>
            </w:r>
          </w:p>
        </w:tc>
      </w:tr>
      <w:tr>
        <w:tc>
          <w:tcPr>
            <w:tcW w:type="dxa" w:w="20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Time split with Ripple</w:t>
            </w:r>
          </w:p>
        </w:tc>
        <w:tc>
          <w:tcPr>
            <w:tcW w:type="dxa" w:w="3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Two projects, one person.</w:t>
            </w:r>
          </w:p>
        </w:tc>
        <w:tc>
          <w:tcPr>
            <w:tcW w:type="dxa" w:w="4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vAlign w:val="center"/>
          </w:tcPr>
          <w:p>
            <w:r>
              <w:rPr>
                <w:rFonts w:ascii="Arial" w:cs="Arial" w:eastAsia="Arial" w:hAnsi="Arial"/>
                <w:color w:val="0F172A"/>
                <w:sz w:val="20"/>
                <w:szCs w:val="20"/>
              </w:rPr>
              <w:t xml:space="preserve">PrepEdge is built in 4 weeks and then runs on autopilot. Maintenance is 2-3 hours per week max after launch.</w:t>
            </w:r>
          </w:p>
        </w:tc>
      </w:tr>
    </w:tbl>
    <w:p>
      <w:pPr>
        <w:spacing w:after="120" w:before="0"/>
      </w:pPr>
      <w:r>
        <w:t xml:space="preserve"/>
      </w:r>
    </w:p>
    <w:p>
      <w:pPr>
        <w:pBdr>
          <w:top w:val="single" w:color="7C3AED" w:sz="4" w:space="12"/>
        </w:pBdr>
        <w:spacing w:after="120" w:before="720"/>
        <w:jc w:val="center"/>
      </w:pPr>
      <w:r>
        <w:rPr>
          <w:rFonts w:ascii="Arial" w:cs="Arial" w:eastAsia="Arial" w:hAnsi="Arial"/>
          <w:b/>
          <w:bCs/>
          <w:i/>
          <w:iCs/>
          <w:color w:val="7C3AED"/>
          <w:sz w:val="24"/>
          <w:szCs w:val="24"/>
        </w:rPr>
        <w:t xml:space="preserve">Build PrepEdge. Fund Ripple. Change how India gets placed.</w:t>
      </w:r>
    </w:p>
    <w:p>
      <w:pPr>
        <w:spacing w:after="60" w:before="60"/>
        <w:jc w:val="center"/>
      </w:pPr>
      <w:r>
        <w:rPr>
          <w:rFonts w:ascii="Arial" w:cs="Arial" w:eastAsia="Arial" w:hAnsi="Arial"/>
          <w:i/>
          <w:iCs/>
          <w:color w:val="475569"/>
          <w:sz w:val="20"/>
          <w:szCs w:val="20"/>
        </w:rPr>
        <w:t xml:space="preserve">4 weeks to build. ₹5,000/month target. One student at a time.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C3AED" w:sz="4" w:space="4"/>
      </w:pBdr>
      <w:tabs>
        <w:tab w:val="right" w:pos="9360"/>
      </w:tabs>
    </w:pPr>
    <w:r>
      <w:rPr>
        <w:rFonts w:ascii="Arial" w:cs="Arial" w:eastAsia="Arial" w:hAnsi="Arial"/>
        <w:color w:val="475569"/>
        <w:sz w:val="18"/>
        <w:szCs w:val="18"/>
      </w:rPr>
      <w:t xml:space="preserve">PrepEdge AI — Product &amp; Development Document</w:t>
    </w:r>
    <w:r>
      <w:rPr>
        <w:rFonts w:ascii="Arial" w:cs="Arial" w:eastAsia="Arial" w:hAnsi="Arial"/>
        <w:color w:val="475569"/>
        <w:sz w:val="18"/>
        <w:szCs w:val="18"/>
      </w:rPr>
      <w:t xml:space="preserve">	v1.0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4" w:space="4"/>
      </w:pBdr>
    </w:pPr>
    <w:r>
      <w:rPr>
        <w:rFonts w:ascii="Arial" w:cs="Arial" w:eastAsia="Arial" w:hAnsi="Arial"/>
        <w:b/>
        <w:bCs/>
        <w:color w:val="7C3AED"/>
        <w:sz w:val="22"/>
        <w:szCs w:val="22"/>
      </w:rPr>
      <w:t xml:space="preserve">PREPEDGE AI</w:t>
    </w:r>
    <w:r>
      <w:rPr>
        <w:rFonts w:ascii="Arial" w:cs="Arial" w:eastAsia="Arial" w:hAnsi="Arial"/>
        <w:color w:val="475569"/>
        <w:sz w:val="22"/>
        <w:szCs w:val="22"/>
      </w:rPr>
      <w:t xml:space="preserve">  |  All-in-One AI Placement Platform for Indian Students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7C3AED"/>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0F17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2026-03-19T19:15:18.818Z</dcterms:created>
  <dcterms:modified xsi:type="dcterms:W3CDTF">2026-03-19T19:15:18.819Z</dcterms:modified>
</cp:coreProperties>
</file>

<file path=docProps/custom.xml><?xml version="1.0" encoding="utf-8"?>
<Properties xmlns="http://schemas.openxmlformats.org/officeDocument/2006/custom-properties" xmlns:vt="http://schemas.openxmlformats.org/officeDocument/2006/docPropsVTypes"/>
</file>