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48DEF">
      <w:pPr>
        <w:pStyle w:val="19"/>
        <w:jc w:val="both"/>
        <w:rPr>
          <w:rFonts w:ascii="Times New Roman" w:hAnsi="Times New Roman" w:eastAsia="黑体" w:cs="Times New Roman"/>
          <w:szCs w:val="44"/>
          <w:lang w:eastAsia="zh-CN"/>
        </w:rPr>
      </w:pPr>
      <w:r>
        <w:rPr>
          <w:rFonts w:ascii="Times New Roman" w:hAnsi="Times New Roman" w:eastAsia="黑体" w:cs="Times New Roman"/>
          <w:szCs w:val="44"/>
          <w:lang w:eastAsia="zh-CN"/>
        </w:rPr>
        <w:t>学士学位论文</w:t>
      </w:r>
    </w:p>
    <w:p w14:paraId="4C058028">
      <w:pPr>
        <w:pStyle w:val="19"/>
        <w:jc w:val="both"/>
        <w:rPr>
          <w:rFonts w:ascii="Times New Roman" w:hAnsi="Times New Roman" w:eastAsia="黑体" w:cs="Times New Roman"/>
          <w:szCs w:val="44"/>
          <w:lang w:eastAsia="zh-CN"/>
        </w:rPr>
      </w:pPr>
    </w:p>
    <w:p w14:paraId="7FD483A6">
      <w:pPr>
        <w:pStyle w:val="19"/>
        <w:jc w:val="both"/>
        <w:rPr>
          <w:rFonts w:ascii="Times New Roman" w:hAnsi="Times New Roman" w:eastAsia="黑体" w:cs="Times New Roman"/>
          <w:szCs w:val="44"/>
          <w:lang w:eastAsia="zh-CN"/>
        </w:rPr>
      </w:pPr>
    </w:p>
    <w:p w14:paraId="749C8648">
      <w:pPr>
        <w:pStyle w:val="19"/>
        <w:jc w:val="both"/>
        <w:rPr>
          <w:lang w:eastAsia="zh-CN"/>
        </w:rPr>
      </w:pPr>
      <w:r>
        <w:rPr>
          <w:rFonts w:hint="eastAsia" w:ascii="Times New Roman" w:hAnsi="Times New Roman" w:eastAsia="黑体" w:cs="Times New Roman"/>
          <w:szCs w:val="44"/>
          <w:lang w:eastAsia="zh-CN"/>
        </w:rPr>
        <w:t>基于混合权重模型的奥运项目评估与预测系统设计</w:t>
      </w:r>
    </w:p>
    <w:p w14:paraId="40FB7A7E">
      <w:pPr>
        <w:pStyle w:val="3"/>
        <w:spacing w:after="0"/>
        <w:jc w:val="both"/>
        <w:rPr>
          <w:rFonts w:cs="Times New Roman"/>
          <w:sz w:val="32"/>
          <w:szCs w:val="32"/>
          <w:lang w:eastAsia="zh-CN"/>
        </w:rPr>
      </w:pPr>
      <w:r>
        <w:rPr>
          <w:rFonts w:hint="eastAsia" w:cs="Times New Roman"/>
          <w:sz w:val="32"/>
          <w:szCs w:val="32"/>
          <w:lang w:eastAsia="zh-CN"/>
        </w:rPr>
        <w:t>学号：</w:t>
      </w:r>
      <w:r>
        <w:rPr>
          <w:rFonts w:cs="Times New Roman"/>
          <w:sz w:val="32"/>
          <w:szCs w:val="32"/>
          <w:lang w:eastAsia="zh-CN"/>
        </w:rPr>
        <w:t xml:space="preserve"> XXX</w:t>
      </w:r>
    </w:p>
    <w:p w14:paraId="612B639C">
      <w:pPr>
        <w:pStyle w:val="3"/>
        <w:spacing w:after="0"/>
        <w:jc w:val="both"/>
        <w:rPr>
          <w:rFonts w:cs="Times New Roman"/>
          <w:sz w:val="32"/>
          <w:szCs w:val="32"/>
          <w:lang w:eastAsia="zh-CN"/>
        </w:rPr>
      </w:pPr>
      <w:r>
        <w:rPr>
          <w:rFonts w:hint="eastAsia" w:cs="Times New Roman"/>
          <w:sz w:val="32"/>
          <w:szCs w:val="32"/>
          <w:lang w:eastAsia="zh-CN"/>
        </w:rPr>
        <w:t>姓名：</w:t>
      </w:r>
      <w:r>
        <w:rPr>
          <w:rFonts w:cs="Times New Roman"/>
          <w:sz w:val="32"/>
          <w:szCs w:val="32"/>
          <w:lang w:eastAsia="zh-CN"/>
        </w:rPr>
        <w:t xml:space="preserve"> XXX</w:t>
      </w:r>
    </w:p>
    <w:p w14:paraId="58993C39">
      <w:pPr>
        <w:pStyle w:val="3"/>
        <w:spacing w:after="0"/>
        <w:jc w:val="both"/>
        <w:rPr>
          <w:rFonts w:cs="Times New Roman"/>
          <w:sz w:val="32"/>
          <w:szCs w:val="32"/>
          <w:lang w:eastAsia="zh-CN"/>
        </w:rPr>
      </w:pPr>
      <w:r>
        <w:rPr>
          <w:rFonts w:hint="eastAsia" w:cs="Times New Roman"/>
          <w:sz w:val="32"/>
          <w:szCs w:val="32"/>
          <w:lang w:eastAsia="zh-CN"/>
        </w:rPr>
        <w:t>学</w:t>
      </w:r>
      <w:r>
        <w:rPr>
          <w:rFonts w:cs="Times New Roman"/>
          <w:sz w:val="32"/>
          <w:szCs w:val="32"/>
          <w:lang w:eastAsia="zh-CN"/>
        </w:rPr>
        <w:t xml:space="preserve"> </w:t>
      </w:r>
      <w:r>
        <w:rPr>
          <w:rFonts w:hint="eastAsia" w:cs="Times New Roman"/>
          <w:sz w:val="32"/>
          <w:szCs w:val="32"/>
          <w:lang w:eastAsia="zh-CN"/>
        </w:rPr>
        <w:t>科</w:t>
      </w:r>
      <w:r>
        <w:rPr>
          <w:rFonts w:cs="Times New Roman"/>
          <w:sz w:val="32"/>
          <w:szCs w:val="32"/>
          <w:lang w:eastAsia="zh-CN"/>
        </w:rPr>
        <w:t xml:space="preserve"> </w:t>
      </w:r>
      <w:r>
        <w:rPr>
          <w:rFonts w:hint="eastAsia" w:cs="Times New Roman"/>
          <w:sz w:val="32"/>
          <w:szCs w:val="32"/>
          <w:lang w:eastAsia="zh-CN"/>
        </w:rPr>
        <w:t>专</w:t>
      </w:r>
      <w:r>
        <w:rPr>
          <w:rFonts w:cs="Times New Roman"/>
          <w:sz w:val="32"/>
          <w:szCs w:val="32"/>
          <w:lang w:eastAsia="zh-CN"/>
        </w:rPr>
        <w:t xml:space="preserve"> </w:t>
      </w:r>
      <w:r>
        <w:rPr>
          <w:rFonts w:hint="eastAsia" w:cs="Times New Roman"/>
          <w:sz w:val="32"/>
          <w:szCs w:val="32"/>
          <w:lang w:eastAsia="zh-CN"/>
        </w:rPr>
        <w:t>业：</w:t>
      </w:r>
      <w:r>
        <w:rPr>
          <w:rFonts w:cs="Times New Roman"/>
          <w:sz w:val="32"/>
          <w:szCs w:val="32"/>
          <w:lang w:eastAsia="zh-CN"/>
        </w:rPr>
        <w:t xml:space="preserve"> XXX</w:t>
      </w:r>
    </w:p>
    <w:p w14:paraId="18BC4A19">
      <w:pPr>
        <w:pStyle w:val="3"/>
        <w:spacing w:after="0"/>
        <w:jc w:val="both"/>
        <w:rPr>
          <w:rFonts w:cs="Times New Roman"/>
          <w:sz w:val="32"/>
          <w:szCs w:val="32"/>
          <w:lang w:eastAsia="zh-CN"/>
        </w:rPr>
      </w:pPr>
      <w:r>
        <w:rPr>
          <w:rFonts w:hint="eastAsia" w:cs="Times New Roman"/>
          <w:sz w:val="32"/>
          <w:szCs w:val="32"/>
          <w:lang w:eastAsia="zh-CN"/>
        </w:rPr>
        <w:t>指</w:t>
      </w:r>
      <w:r>
        <w:rPr>
          <w:rFonts w:cs="Times New Roman"/>
          <w:sz w:val="32"/>
          <w:szCs w:val="32"/>
          <w:lang w:eastAsia="zh-CN"/>
        </w:rPr>
        <w:t xml:space="preserve"> </w:t>
      </w:r>
      <w:r>
        <w:rPr>
          <w:rFonts w:hint="eastAsia" w:cs="Times New Roman"/>
          <w:sz w:val="32"/>
          <w:szCs w:val="32"/>
          <w:lang w:eastAsia="zh-CN"/>
        </w:rPr>
        <w:t>导</w:t>
      </w:r>
      <w:r>
        <w:rPr>
          <w:rFonts w:cs="Times New Roman"/>
          <w:sz w:val="32"/>
          <w:szCs w:val="32"/>
          <w:lang w:eastAsia="zh-CN"/>
        </w:rPr>
        <w:t xml:space="preserve"> </w:t>
      </w:r>
      <w:r>
        <w:rPr>
          <w:rFonts w:hint="eastAsia" w:cs="Times New Roman"/>
          <w:sz w:val="32"/>
          <w:szCs w:val="32"/>
          <w:lang w:eastAsia="zh-CN"/>
        </w:rPr>
        <w:t>教</w:t>
      </w:r>
      <w:r>
        <w:rPr>
          <w:rFonts w:cs="Times New Roman"/>
          <w:sz w:val="32"/>
          <w:szCs w:val="32"/>
          <w:lang w:eastAsia="zh-CN"/>
        </w:rPr>
        <w:t xml:space="preserve"> </w:t>
      </w:r>
      <w:r>
        <w:rPr>
          <w:rFonts w:hint="eastAsia" w:cs="Times New Roman"/>
          <w:sz w:val="32"/>
          <w:szCs w:val="32"/>
          <w:lang w:eastAsia="zh-CN"/>
        </w:rPr>
        <w:t>师：</w:t>
      </w:r>
      <w:r>
        <w:rPr>
          <w:rFonts w:cs="Times New Roman"/>
          <w:sz w:val="32"/>
          <w:szCs w:val="32"/>
          <w:lang w:eastAsia="zh-CN"/>
        </w:rPr>
        <w:t xml:space="preserve"> XXX</w:t>
      </w:r>
      <w:r>
        <w:rPr>
          <w:rFonts w:hint="eastAsia" w:cs="Times New Roman"/>
          <w:sz w:val="32"/>
          <w:szCs w:val="32"/>
          <w:lang w:eastAsia="zh-CN"/>
        </w:rPr>
        <w:t>职称</w:t>
      </w:r>
    </w:p>
    <w:p w14:paraId="3EB45EE7">
      <w:pPr>
        <w:pStyle w:val="3"/>
        <w:spacing w:after="0"/>
        <w:jc w:val="both"/>
        <w:rPr>
          <w:rFonts w:cs="Times New Roman"/>
          <w:sz w:val="32"/>
          <w:szCs w:val="32"/>
          <w:lang w:eastAsia="zh-CN"/>
        </w:rPr>
      </w:pPr>
      <w:r>
        <w:rPr>
          <w:rFonts w:hint="eastAsia" w:cs="Times New Roman"/>
          <w:sz w:val="32"/>
          <w:szCs w:val="32"/>
          <w:lang w:eastAsia="zh-CN"/>
        </w:rPr>
        <w:t>培</w:t>
      </w:r>
      <w:r>
        <w:rPr>
          <w:rFonts w:cs="Times New Roman"/>
          <w:sz w:val="32"/>
          <w:szCs w:val="32"/>
          <w:lang w:eastAsia="zh-CN"/>
        </w:rPr>
        <w:t xml:space="preserve"> </w:t>
      </w:r>
      <w:r>
        <w:rPr>
          <w:rFonts w:hint="eastAsia" w:cs="Times New Roman"/>
          <w:sz w:val="32"/>
          <w:szCs w:val="32"/>
          <w:lang w:eastAsia="zh-CN"/>
        </w:rPr>
        <w:t>养</w:t>
      </w:r>
      <w:r>
        <w:rPr>
          <w:rFonts w:cs="Times New Roman"/>
          <w:sz w:val="32"/>
          <w:szCs w:val="32"/>
          <w:lang w:eastAsia="zh-CN"/>
        </w:rPr>
        <w:t xml:space="preserve"> </w:t>
      </w:r>
      <w:r>
        <w:rPr>
          <w:rFonts w:hint="eastAsia" w:cs="Times New Roman"/>
          <w:sz w:val="32"/>
          <w:szCs w:val="32"/>
          <w:lang w:eastAsia="zh-CN"/>
        </w:rPr>
        <w:t>单</w:t>
      </w:r>
      <w:r>
        <w:rPr>
          <w:rFonts w:cs="Times New Roman"/>
          <w:sz w:val="32"/>
          <w:szCs w:val="32"/>
          <w:lang w:eastAsia="zh-CN"/>
        </w:rPr>
        <w:t xml:space="preserve"> </w:t>
      </w:r>
      <w:r>
        <w:rPr>
          <w:rFonts w:hint="eastAsia" w:cs="Times New Roman"/>
          <w:sz w:val="32"/>
          <w:szCs w:val="32"/>
          <w:lang w:eastAsia="zh-CN"/>
        </w:rPr>
        <w:t>位：</w:t>
      </w:r>
    </w:p>
    <w:p w14:paraId="2A668179">
      <w:pPr>
        <w:pStyle w:val="3"/>
        <w:spacing w:before="0" w:after="0"/>
        <w:jc w:val="both"/>
        <w:rPr>
          <w:rFonts w:cs="Times New Roman"/>
          <w:lang w:eastAsia="zh-CN"/>
        </w:rPr>
      </w:pPr>
      <w:r>
        <w:rPr>
          <w:rFonts w:hint="eastAsia" w:cs="Times New Roman"/>
          <w:sz w:val="32"/>
          <w:szCs w:val="32"/>
          <w:lang w:eastAsia="zh-CN"/>
        </w:rPr>
        <w:t>二○二六年五月</w:t>
      </w:r>
    </w:p>
    <w:p w14:paraId="3981C132">
      <w:pPr>
        <w:pStyle w:val="3"/>
        <w:spacing w:before="0" w:after="0"/>
        <w:jc w:val="both"/>
        <w:rPr>
          <w:rFonts w:cs="Times New Roman"/>
          <w:lang w:eastAsia="zh-CN"/>
        </w:rPr>
      </w:pPr>
    </w:p>
    <w:p w14:paraId="41DD6485">
      <w:pPr>
        <w:pStyle w:val="3"/>
        <w:spacing w:before="0" w:after="0"/>
        <w:jc w:val="both"/>
        <w:rPr>
          <w:rFonts w:cs="Times New Roman"/>
          <w:lang w:eastAsia="zh-CN"/>
        </w:rPr>
      </w:pPr>
    </w:p>
    <w:p w14:paraId="6566157C">
      <w:pPr>
        <w:pStyle w:val="3"/>
        <w:spacing w:before="0" w:after="0"/>
        <w:jc w:val="both"/>
        <w:rPr>
          <w:rFonts w:cs="Times New Roman"/>
          <w:lang w:eastAsia="zh-CN"/>
        </w:rPr>
      </w:pPr>
    </w:p>
    <w:p w14:paraId="185327B7">
      <w:pPr>
        <w:pStyle w:val="3"/>
        <w:spacing w:before="0" w:after="0"/>
        <w:jc w:val="both"/>
        <w:rPr>
          <w:rFonts w:cs="Times New Roman"/>
          <w:lang w:eastAsia="zh-CN"/>
        </w:rPr>
      </w:pPr>
    </w:p>
    <w:p w14:paraId="49276003">
      <w:pPr>
        <w:pStyle w:val="3"/>
        <w:spacing w:before="0" w:after="0"/>
        <w:jc w:val="both"/>
        <w:rPr>
          <w:rFonts w:cs="Times New Roman"/>
          <w:lang w:eastAsia="zh-CN"/>
        </w:rPr>
      </w:pPr>
    </w:p>
    <w:p w14:paraId="069B2657">
      <w:pPr>
        <w:pStyle w:val="3"/>
        <w:spacing w:before="0" w:after="0"/>
        <w:jc w:val="both"/>
        <w:rPr>
          <w:rFonts w:cs="Times New Roman"/>
          <w:lang w:eastAsia="zh-CN"/>
        </w:rPr>
      </w:pPr>
    </w:p>
    <w:p w14:paraId="091A8384">
      <w:pPr>
        <w:pStyle w:val="3"/>
        <w:spacing w:before="0" w:after="0"/>
        <w:jc w:val="both"/>
        <w:rPr>
          <w:rFonts w:cs="Times New Roman"/>
          <w:lang w:eastAsia="zh-CN"/>
        </w:rPr>
      </w:pPr>
    </w:p>
    <w:p w14:paraId="5934235D">
      <w:pPr>
        <w:pStyle w:val="3"/>
        <w:spacing w:before="0" w:after="0"/>
        <w:jc w:val="both"/>
        <w:rPr>
          <w:rFonts w:cs="Times New Roman"/>
          <w:lang w:eastAsia="zh-CN"/>
        </w:rPr>
      </w:pPr>
    </w:p>
    <w:p w14:paraId="403D7A68">
      <w:pPr>
        <w:pStyle w:val="3"/>
        <w:spacing w:before="0" w:after="0"/>
        <w:jc w:val="both"/>
        <w:rPr>
          <w:rFonts w:cs="Times New Roman"/>
          <w:lang w:eastAsia="zh-CN"/>
        </w:rPr>
      </w:pPr>
    </w:p>
    <w:p w14:paraId="118DB689">
      <w:pPr>
        <w:pStyle w:val="3"/>
        <w:spacing w:before="0" w:after="0"/>
        <w:jc w:val="both"/>
        <w:rPr>
          <w:rFonts w:cs="Times New Roman"/>
          <w:lang w:eastAsia="zh-CN"/>
        </w:rPr>
      </w:pPr>
    </w:p>
    <w:p w14:paraId="04A05594">
      <w:pPr>
        <w:pStyle w:val="3"/>
        <w:spacing w:before="0" w:after="0"/>
        <w:jc w:val="both"/>
        <w:rPr>
          <w:rFonts w:cs="Times New Roman"/>
          <w:lang w:eastAsia="zh-CN"/>
        </w:rPr>
      </w:pPr>
    </w:p>
    <w:p w14:paraId="15FFBDE6">
      <w:pPr>
        <w:pStyle w:val="3"/>
        <w:spacing w:before="0" w:after="0"/>
        <w:jc w:val="both"/>
        <w:rPr>
          <w:rFonts w:cs="Times New Roman"/>
          <w:lang w:eastAsia="zh-CN"/>
        </w:rPr>
      </w:pPr>
    </w:p>
    <w:p w14:paraId="0F24DDB3">
      <w:pPr>
        <w:pStyle w:val="3"/>
        <w:spacing w:before="0" w:after="0"/>
        <w:jc w:val="both"/>
        <w:rPr>
          <w:rFonts w:cs="Times New Roman"/>
          <w:lang w:eastAsia="zh-CN"/>
        </w:rPr>
      </w:pPr>
    </w:p>
    <w:p w14:paraId="1459D7E6">
      <w:pPr>
        <w:pStyle w:val="3"/>
        <w:spacing w:before="0" w:after="0"/>
        <w:jc w:val="both"/>
        <w:rPr>
          <w:rFonts w:cs="Times New Roman"/>
          <w:lang w:eastAsia="zh-CN"/>
        </w:rPr>
      </w:pPr>
    </w:p>
    <w:p w14:paraId="55BC4B0D">
      <w:pPr>
        <w:pStyle w:val="3"/>
        <w:spacing w:before="0" w:after="0"/>
        <w:jc w:val="both"/>
        <w:rPr>
          <w:rFonts w:cs="Times New Roman"/>
          <w:lang w:eastAsia="zh-CN"/>
        </w:rPr>
      </w:pPr>
    </w:p>
    <w:p w14:paraId="339809EA">
      <w:pPr>
        <w:pStyle w:val="3"/>
        <w:spacing w:before="0" w:after="0"/>
        <w:jc w:val="both"/>
        <w:rPr>
          <w:rFonts w:cs="Times New Roman"/>
          <w:lang w:eastAsia="zh-CN"/>
        </w:rPr>
      </w:pPr>
    </w:p>
    <w:p w14:paraId="6AC127D4">
      <w:pPr>
        <w:pStyle w:val="3"/>
        <w:spacing w:before="0" w:after="0"/>
        <w:jc w:val="both"/>
        <w:rPr>
          <w:rFonts w:cs="Times New Roman"/>
          <w:lang w:eastAsia="zh-CN"/>
        </w:rPr>
      </w:pPr>
    </w:p>
    <w:p w14:paraId="0F21D758">
      <w:pPr>
        <w:pStyle w:val="3"/>
        <w:spacing w:before="0" w:after="0"/>
        <w:jc w:val="both"/>
        <w:rPr>
          <w:rFonts w:cs="Times New Roman"/>
          <w:lang w:eastAsia="zh-CN"/>
        </w:rPr>
      </w:pPr>
      <w:r>
        <w:rPr>
          <w:rFonts w:cs="Times New Roman"/>
          <w:lang w:eastAsia="zh-CN"/>
        </w:rPr>
        <w:t>中国地质大学（武汉）学士学位论文原创性声明</w:t>
      </w:r>
    </w:p>
    <w:p w14:paraId="32D56A2F">
      <w:pPr>
        <w:pStyle w:val="3"/>
        <w:spacing w:before="0" w:after="0"/>
        <w:jc w:val="both"/>
        <w:rPr>
          <w:rFonts w:cs="Times New Roman"/>
          <w:lang w:eastAsia="zh-CN"/>
        </w:rPr>
      </w:pPr>
    </w:p>
    <w:p w14:paraId="39C69907">
      <w:pPr>
        <w:pStyle w:val="3"/>
        <w:spacing w:after="0"/>
        <w:jc w:val="both"/>
        <w:rPr>
          <w:rFonts w:cs="Times New Roman"/>
          <w:lang w:eastAsia="zh-CN"/>
        </w:rPr>
      </w:pPr>
      <w:r>
        <w:rPr>
          <w:rFonts w:hint="eastAsia" w:cs="Times New Roman"/>
          <w:lang w:eastAsia="zh-CN"/>
        </w:rPr>
        <w:t>本人郑重声明：本人所呈交的学士学位论文《×××××××》，是本</w:t>
      </w:r>
    </w:p>
    <w:p w14:paraId="12E962A9">
      <w:pPr>
        <w:pStyle w:val="3"/>
        <w:spacing w:after="0"/>
        <w:jc w:val="both"/>
        <w:rPr>
          <w:rFonts w:cs="Times New Roman"/>
          <w:lang w:eastAsia="zh-CN"/>
        </w:rPr>
      </w:pPr>
      <w:r>
        <w:rPr>
          <w:rFonts w:hint="eastAsia" w:cs="Times New Roman"/>
          <w:lang w:eastAsia="zh-CN"/>
        </w:rPr>
        <w:t>人在指导老师的指导下，在中国地质大学（武汉）攻读学士学位期间</w:t>
      </w:r>
    </w:p>
    <w:p w14:paraId="1E7A9AF4">
      <w:pPr>
        <w:pStyle w:val="3"/>
        <w:spacing w:after="0"/>
        <w:jc w:val="both"/>
        <w:rPr>
          <w:rFonts w:cs="Times New Roman"/>
          <w:lang w:eastAsia="zh-CN"/>
        </w:rPr>
      </w:pPr>
      <w:r>
        <w:rPr>
          <w:rFonts w:hint="eastAsia" w:cs="Times New Roman"/>
          <w:lang w:eastAsia="zh-CN"/>
        </w:rPr>
        <w:t>独立进行研究工作所取得的成果。论文中除已注明部分外不包含他人</w:t>
      </w:r>
    </w:p>
    <w:p w14:paraId="609746E6">
      <w:pPr>
        <w:pStyle w:val="3"/>
        <w:spacing w:after="0"/>
        <w:jc w:val="both"/>
        <w:rPr>
          <w:rFonts w:cs="Times New Roman"/>
          <w:lang w:eastAsia="zh-CN"/>
        </w:rPr>
      </w:pPr>
      <w:r>
        <w:rPr>
          <w:rFonts w:hint="eastAsia" w:cs="Times New Roman"/>
          <w:lang w:eastAsia="zh-CN"/>
        </w:rPr>
        <w:t>已发表或撰写过的研究成果，对论文的完成提供过帮助的有关人员已</w:t>
      </w:r>
    </w:p>
    <w:p w14:paraId="2687D19A">
      <w:pPr>
        <w:pStyle w:val="3"/>
        <w:spacing w:after="0"/>
        <w:jc w:val="both"/>
        <w:rPr>
          <w:rFonts w:cs="Times New Roman"/>
          <w:lang w:eastAsia="zh-CN"/>
        </w:rPr>
      </w:pPr>
      <w:r>
        <w:rPr>
          <w:rFonts w:hint="eastAsia" w:cs="Times New Roman"/>
          <w:lang w:eastAsia="zh-CN"/>
        </w:rPr>
        <w:t>在文中说明并致以谢意。</w:t>
      </w:r>
    </w:p>
    <w:p w14:paraId="4380D7F0">
      <w:pPr>
        <w:pStyle w:val="3"/>
        <w:spacing w:after="0"/>
        <w:jc w:val="both"/>
        <w:rPr>
          <w:rFonts w:cs="Times New Roman"/>
          <w:lang w:eastAsia="zh-CN"/>
        </w:rPr>
      </w:pPr>
      <w:r>
        <w:rPr>
          <w:rFonts w:hint="eastAsia" w:cs="Times New Roman"/>
          <w:lang w:eastAsia="zh-CN"/>
        </w:rPr>
        <w:t>本人所呈交的学士学位论文没有违反学术道德和学术规范，没有</w:t>
      </w:r>
    </w:p>
    <w:p w14:paraId="73DD5322">
      <w:pPr>
        <w:pStyle w:val="3"/>
        <w:spacing w:before="0" w:after="0"/>
        <w:jc w:val="both"/>
        <w:rPr>
          <w:rFonts w:cs="Times New Roman"/>
          <w:lang w:eastAsia="zh-CN"/>
        </w:rPr>
      </w:pPr>
      <w:r>
        <w:rPr>
          <w:rFonts w:hint="eastAsia" w:cs="Times New Roman"/>
          <w:lang w:eastAsia="zh-CN"/>
        </w:rPr>
        <w:t>侵权行为，并愿意承担由此而产生的法律责任和法律后果。</w:t>
      </w:r>
    </w:p>
    <w:p w14:paraId="14F5A1D3">
      <w:pPr>
        <w:pStyle w:val="3"/>
        <w:spacing w:before="0" w:after="0"/>
        <w:jc w:val="both"/>
        <w:rPr>
          <w:rFonts w:cs="Times New Roman"/>
          <w:lang w:eastAsia="zh-CN"/>
        </w:rPr>
      </w:pPr>
    </w:p>
    <w:p w14:paraId="7AC22EA3">
      <w:pPr>
        <w:pStyle w:val="3"/>
        <w:spacing w:before="0" w:after="0"/>
        <w:jc w:val="both"/>
        <w:rPr>
          <w:rFonts w:cs="Times New Roman"/>
          <w:lang w:eastAsia="zh-CN"/>
        </w:rPr>
      </w:pPr>
    </w:p>
    <w:p w14:paraId="7EB6904C">
      <w:pPr>
        <w:pStyle w:val="3"/>
        <w:spacing w:after="0"/>
        <w:jc w:val="both"/>
        <w:rPr>
          <w:rFonts w:cs="Times New Roman"/>
          <w:lang w:eastAsia="zh-CN"/>
        </w:rPr>
      </w:pPr>
      <w:r>
        <w:rPr>
          <w:rFonts w:hint="eastAsia" w:cs="Times New Roman"/>
          <w:lang w:eastAsia="zh-CN"/>
        </w:rPr>
        <w:t>学位论文作者签名：</w:t>
      </w:r>
    </w:p>
    <w:p w14:paraId="48E232FB">
      <w:pPr>
        <w:pStyle w:val="3"/>
        <w:spacing w:after="0"/>
        <w:jc w:val="both"/>
        <w:rPr>
          <w:rFonts w:cs="Times New Roman"/>
          <w:lang w:eastAsia="zh-CN"/>
        </w:rPr>
      </w:pPr>
      <w:r>
        <w:rPr>
          <w:rFonts w:hint="eastAsia" w:cs="Times New Roman"/>
          <w:lang w:eastAsia="zh-CN"/>
        </w:rPr>
        <w:t>日期：</w:t>
      </w:r>
    </w:p>
    <w:p w14:paraId="18327BE5">
      <w:pPr>
        <w:pStyle w:val="3"/>
        <w:spacing w:after="0"/>
        <w:jc w:val="both"/>
        <w:rPr>
          <w:rFonts w:cs="Times New Roman"/>
          <w:lang w:eastAsia="zh-CN"/>
        </w:rPr>
      </w:pPr>
      <w:r>
        <w:rPr>
          <w:rFonts w:hint="eastAsia" w:cs="Times New Roman"/>
          <w:lang w:eastAsia="zh-CN"/>
        </w:rPr>
        <w:t>年月日</w:t>
      </w:r>
    </w:p>
    <w:p w14:paraId="6D18A5E8">
      <w:pPr>
        <w:pStyle w:val="3"/>
        <w:spacing w:before="0" w:after="0"/>
        <w:jc w:val="both"/>
        <w:rPr>
          <w:rFonts w:cs="Times New Roman"/>
          <w:lang w:eastAsia="zh-CN"/>
        </w:rPr>
      </w:pPr>
      <w:r>
        <w:rPr>
          <w:rFonts w:cs="Times New Roman"/>
          <w:lang w:eastAsia="zh-CN"/>
        </w:rPr>
        <w:br w:type="page"/>
      </w:r>
    </w:p>
    <w:sdt>
      <w:sdtPr>
        <w:rPr>
          <w:rFonts w:ascii="宋体" w:hAnsi="宋体" w:eastAsia="宋体"/>
          <w:sz w:val="21"/>
        </w:rPr>
        <w:id w:val="147479611"/>
        <w15:color w:val="DBDBDB"/>
        <w:docPartObj>
          <w:docPartGallery w:val="Table of Contents"/>
          <w:docPartUnique/>
        </w:docPartObj>
      </w:sdtPr>
      <w:sdtEndPr>
        <w:rPr>
          <w:rFonts w:hint="eastAsia" w:ascii="Times New Roman" w:hAnsi="Times New Roman" w:eastAsia="宋体" w:cs="Times New Roman"/>
          <w:sz w:val="24"/>
        </w:rPr>
      </w:sdtEndPr>
      <w:sdtContent>
        <w:p w14:paraId="65A1B3FC">
          <w:pPr>
            <w:spacing w:after="0"/>
            <w:rPr>
              <w:sz w:val="32"/>
              <w:szCs w:val="32"/>
              <w:lang w:eastAsia="zh-CN"/>
            </w:rPr>
          </w:pPr>
          <w:r>
            <w:rPr>
              <w:rFonts w:ascii="宋体" w:hAnsi="宋体" w:eastAsia="宋体"/>
              <w:szCs w:val="32"/>
              <w:lang w:eastAsia="zh-CN"/>
            </w:rPr>
            <w:t>目录</w:t>
          </w:r>
        </w:p>
        <w:p w14:paraId="1DF5C6CB">
          <w:pPr>
            <w:pStyle w:val="22"/>
            <w:tabs>
              <w:tab w:val="right" w:leader="dot" w:pos="8630"/>
            </w:tabs>
            <w:rPr>
              <w:rFonts w:eastAsiaTheme="minorEastAsia"/>
              <w:kern w:val="2"/>
              <w:sz w:val="22"/>
              <w:lang w:eastAsia="zh-CN"/>
              <w14:ligatures w14:val="standardContextual"/>
            </w:rPr>
          </w:pPr>
          <w:r>
            <w:rPr>
              <w:rFonts w:cs="Times New Roman"/>
            </w:rPr>
            <w:fldChar w:fldCharType="begin"/>
          </w:r>
          <w:r>
            <w:rPr>
              <w:rFonts w:cs="Times New Roman"/>
            </w:rPr>
            <w:instrText xml:space="preserve"> TOC \o "1-2" \h \z \t "Abstract Title,1" </w:instrText>
          </w:r>
          <w:r>
            <w:rPr>
              <w:rFonts w:cs="Times New Roman"/>
            </w:rPr>
            <w:fldChar w:fldCharType="separate"/>
          </w:r>
          <w:r>
            <w:fldChar w:fldCharType="begin"/>
          </w:r>
          <w:r>
            <w:instrText xml:space="preserve"> HYPERLINK \l "_Toc229523224" </w:instrText>
          </w:r>
          <w:r>
            <w:fldChar w:fldCharType="separate"/>
          </w:r>
          <w:r>
            <w:rPr>
              <w:rStyle w:val="32"/>
              <w:rFonts w:ascii="宋体" w:hAnsi="宋体" w:eastAsia="宋体" w:cs="宋体"/>
              <w:lang w:eastAsia="zh-CN"/>
            </w:rPr>
            <w:t>摘要</w:t>
          </w:r>
          <w:r>
            <w:rPr>
              <w:rFonts w:hint="eastAsia"/>
            </w:rPr>
            <w:tab/>
          </w:r>
          <w:r>
            <w:rPr>
              <w:rFonts w:hint="eastAsia"/>
            </w:rPr>
            <w:fldChar w:fldCharType="begin"/>
          </w:r>
          <w:r>
            <w:rPr>
              <w:rFonts w:hint="eastAsia"/>
            </w:rPr>
            <w:instrText xml:space="preserve"> </w:instrText>
          </w:r>
          <w:r>
            <w:instrText xml:space="preserve">PAGEREF _Toc229523224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8D819A8">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"_Toc229523225" </w:instrText>
          </w:r>
          <w:r>
            <w:fldChar w:fldCharType="separate"/>
          </w:r>
          <w:r>
            <w:rPr>
              <w:rStyle w:val="32"/>
              <w:lang w:eastAsia="zh-CN"/>
            </w:rPr>
            <w:t>Abstract</w:t>
          </w:r>
          <w:r>
            <w:rPr>
              <w:rFonts w:hint="eastAsia"/>
            </w:rPr>
            <w:tab/>
          </w:r>
          <w:r>
            <w:rPr>
              <w:rFonts w:hint="eastAsia"/>
            </w:rPr>
            <w:fldChar w:fldCharType="begin"/>
          </w:r>
          <w:r>
            <w:rPr>
              <w:rFonts w:hint="eastAsia"/>
            </w:rPr>
            <w:instrText xml:space="preserve"> </w:instrText>
          </w:r>
          <w:r>
            <w:instrText xml:space="preserve">PAGEREF _Toc229523225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55D3FEA">
          <w:pPr>
            <w:pStyle w:val="22"/>
            <w:tabs>
              <w:tab w:val="left" w:pos="1260"/>
              <w:tab w:val="right" w:leader="dot" w:pos="8630"/>
            </w:tabs>
            <w:rPr>
              <w:rFonts w:eastAsiaTheme="minorEastAsia"/>
              <w:kern w:val="2"/>
              <w:sz w:val="22"/>
              <w:lang w:eastAsia="zh-CN"/>
              <w14:ligatures w14:val="standardContextual"/>
            </w:rPr>
          </w:pPr>
          <w:r>
            <w:fldChar w:fldCharType="begin"/>
          </w:r>
          <w:r>
            <w:instrText xml:space="preserve"> HYPERLINK \l "_Toc229523226" </w:instrText>
          </w:r>
          <w:r>
            <w:fldChar w:fldCharType="separate"/>
          </w:r>
          <w:r>
            <w:rPr>
              <w:rStyle w:val="32"/>
              <w:rFonts w:eastAsia="黑体" w:cs="Times New Roman"/>
              <w:lang w:eastAsia="zh-CN"/>
            </w:rPr>
            <w:t>第一章</w:t>
          </w:r>
          <w:r>
            <w:rPr>
              <w:rFonts w:hint="eastAsia" w:eastAsiaTheme="minorEastAsia"/>
              <w:kern w:val="2"/>
              <w:sz w:val="22"/>
              <w:lang w:eastAsia="zh-CN"/>
              <w14:ligatures w14:val="standardContextual"/>
            </w:rPr>
            <w:tab/>
          </w:r>
          <w:r>
            <w:rPr>
              <w:rStyle w:val="32"/>
              <w:rFonts w:eastAsia="黑体" w:cs="Times New Roman"/>
              <w:lang w:eastAsia="zh-CN"/>
            </w:rPr>
            <w:t>绪论</w:t>
          </w:r>
          <w:r>
            <w:rPr>
              <w:rFonts w:hint="eastAsia"/>
            </w:rPr>
            <w:tab/>
          </w:r>
          <w:r>
            <w:rPr>
              <w:rFonts w:hint="eastAsia"/>
            </w:rPr>
            <w:fldChar w:fldCharType="begin"/>
          </w:r>
          <w:r>
            <w:rPr>
              <w:rFonts w:hint="eastAsia"/>
            </w:rPr>
            <w:instrText xml:space="preserve"> </w:instrText>
          </w:r>
          <w:r>
            <w:instrText xml:space="preserve">PAGEREF _Toc229523226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569AD7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"_Toc229523227" </w:instrText>
          </w:r>
          <w:r>
            <w:fldChar w:fldCharType="separate"/>
          </w:r>
          <w:r>
            <w:rPr>
              <w:rStyle w:val="32"/>
              <w:rFonts w:eastAsia="黑体" w:cs="Times New Roman"/>
              <w:lang w:eastAsia="zh-CN"/>
            </w:rPr>
            <w:t>1.1</w:t>
          </w:r>
          <w:r>
            <w:rPr>
              <w:rFonts w:hint="eastAsia" w:eastAsiaTheme="minorEastAsia"/>
              <w:kern w:val="2"/>
              <w:sz w:val="22"/>
              <w:lang w:eastAsia="zh-CN"/>
              <w14:ligatures w14:val="standardContextual"/>
            </w:rPr>
            <w:tab/>
          </w:r>
          <w:r>
            <w:rPr>
              <w:rStyle w:val="32"/>
              <w:rFonts w:eastAsia="黑体" w:cs="Times New Roman"/>
              <w:lang w:eastAsia="zh-CN"/>
            </w:rPr>
            <w:t>研究背景</w:t>
          </w:r>
          <w:r>
            <w:rPr>
              <w:rFonts w:hint="eastAsia"/>
            </w:rPr>
            <w:tab/>
          </w:r>
          <w:r>
            <w:rPr>
              <w:rFonts w:hint="eastAsia"/>
            </w:rPr>
            <w:fldChar w:fldCharType="begin"/>
          </w:r>
          <w:r>
            <w:rPr>
              <w:rFonts w:hint="eastAsia"/>
            </w:rPr>
            <w:instrText xml:space="preserve"> </w:instrText>
          </w:r>
          <w:r>
            <w:instrText xml:space="preserve">PAGEREF _Toc229523227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310760">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"_Toc229523228" </w:instrText>
          </w:r>
          <w:r>
            <w:fldChar w:fldCharType="separate"/>
          </w:r>
          <w:r>
            <w:rPr>
              <w:rStyle w:val="32"/>
              <w:rFonts w:eastAsia="黑体" w:cs="Times New Roman"/>
              <w:lang w:eastAsia="zh-CN"/>
            </w:rPr>
            <w:t>1.2</w:t>
          </w:r>
          <w:r>
            <w:rPr>
              <w:rFonts w:hint="eastAsia" w:eastAsiaTheme="minorEastAsia"/>
              <w:kern w:val="2"/>
              <w:sz w:val="22"/>
              <w:lang w:eastAsia="zh-CN"/>
              <w14:ligatures w14:val="standardContextual"/>
            </w:rPr>
            <w:tab/>
          </w:r>
          <w:r>
            <w:rPr>
              <w:rStyle w:val="32"/>
              <w:rFonts w:eastAsia="黑体" w:cs="Times New Roman"/>
              <w:lang w:eastAsia="zh-CN"/>
            </w:rPr>
            <w:t>研究意义</w:t>
          </w:r>
          <w:r>
            <w:rPr>
              <w:rFonts w:hint="eastAsia"/>
            </w:rPr>
            <w:tab/>
          </w:r>
          <w:r>
            <w:rPr>
              <w:rFonts w:hint="eastAsia"/>
            </w:rPr>
            <w:fldChar w:fldCharType="begin"/>
          </w:r>
          <w:r>
            <w:rPr>
              <w:rFonts w:hint="eastAsia"/>
            </w:rPr>
            <w:instrText xml:space="preserve"> </w:instrText>
          </w:r>
          <w:r>
            <w:instrText xml:space="preserve">PAGEREF _Toc229523228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DF4B07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"_Toc229523229" </w:instrText>
          </w:r>
          <w:r>
            <w:fldChar w:fldCharType="separate"/>
          </w:r>
          <w:r>
            <w:rPr>
              <w:rStyle w:val="32"/>
              <w:rFonts w:eastAsia="黑体" w:cs="Times New Roman"/>
              <w:lang w:eastAsia="zh-CN"/>
            </w:rPr>
            <w:t>1.3</w:t>
          </w:r>
          <w:r>
            <w:rPr>
              <w:rFonts w:hint="eastAsia" w:eastAsiaTheme="minorEastAsia"/>
              <w:kern w:val="2"/>
              <w:sz w:val="22"/>
              <w:lang w:eastAsia="zh-CN"/>
              <w14:ligatures w14:val="standardContextual"/>
            </w:rPr>
            <w:tab/>
          </w:r>
          <w:r>
            <w:rPr>
              <w:rStyle w:val="32"/>
              <w:rFonts w:eastAsia="黑体" w:cs="Times New Roman"/>
              <w:lang w:eastAsia="zh-CN"/>
            </w:rPr>
            <w:t>国内外研究现状</w:t>
          </w:r>
          <w:r>
            <w:rPr>
              <w:rFonts w:hint="eastAsia"/>
            </w:rPr>
            <w:tab/>
          </w:r>
          <w:r>
            <w:rPr>
              <w:rFonts w:hint="eastAsia"/>
            </w:rPr>
            <w:fldChar w:fldCharType="begin"/>
          </w:r>
          <w:r>
            <w:rPr>
              <w:rFonts w:hint="eastAsia"/>
            </w:rPr>
            <w:instrText xml:space="preserve"> </w:instrText>
          </w:r>
          <w:r>
            <w:instrText xml:space="preserve">PAGEREF _Toc229523229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F23713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"_Toc229523230" </w:instrText>
          </w:r>
          <w:r>
            <w:fldChar w:fldCharType="separate"/>
          </w:r>
          <w:r>
            <w:rPr>
              <w:rStyle w:val="32"/>
              <w:rFonts w:eastAsia="黑体" w:cs="Times New Roman"/>
              <w:lang w:eastAsia="zh-CN"/>
            </w:rPr>
            <w:t>1.4</w:t>
          </w:r>
          <w:r>
            <w:rPr>
              <w:rFonts w:hint="eastAsia" w:eastAsiaTheme="minorEastAsia"/>
              <w:kern w:val="2"/>
              <w:sz w:val="22"/>
              <w:lang w:eastAsia="zh-CN"/>
              <w14:ligatures w14:val="standardContextual"/>
            </w:rPr>
            <w:tab/>
          </w:r>
          <w:r>
            <w:rPr>
              <w:rStyle w:val="32"/>
              <w:rFonts w:eastAsia="黑体" w:cs="Times New Roman"/>
              <w:lang w:eastAsia="zh-CN"/>
            </w:rPr>
            <w:t>研究内容与方法</w:t>
          </w:r>
          <w:r>
            <w:rPr>
              <w:rFonts w:hint="eastAsia"/>
            </w:rPr>
            <w:tab/>
          </w:r>
          <w:r>
            <w:rPr>
              <w:rFonts w:hint="eastAsia"/>
            </w:rPr>
            <w:fldChar w:fldCharType="begin"/>
          </w:r>
          <w:r>
            <w:rPr>
              <w:rFonts w:hint="eastAsia"/>
            </w:rPr>
            <w:instrText xml:space="preserve"> </w:instrText>
          </w:r>
          <w:r>
            <w:instrText xml:space="preserve">PAGEREF _Toc229523230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BC3C74">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"_Toc229523231" </w:instrText>
          </w:r>
          <w:r>
            <w:fldChar w:fldCharType="separate"/>
          </w:r>
          <w:r>
            <w:rPr>
              <w:rStyle w:val="32"/>
              <w:rFonts w:eastAsia="黑体" w:cs="Times New Roman"/>
              <w:lang w:eastAsia="zh-CN"/>
            </w:rPr>
            <w:t>1.5</w:t>
          </w:r>
          <w:r>
            <w:rPr>
              <w:rFonts w:hint="eastAsia" w:eastAsiaTheme="minorEastAsia"/>
              <w:kern w:val="2"/>
              <w:sz w:val="22"/>
              <w:lang w:eastAsia="zh-CN"/>
              <w14:ligatures w14:val="standardContextual"/>
            </w:rPr>
            <w:tab/>
          </w:r>
          <w:r>
            <w:rPr>
              <w:rStyle w:val="32"/>
              <w:rFonts w:eastAsia="黑体" w:cs="Times New Roman"/>
              <w:lang w:eastAsia="zh-CN"/>
            </w:rPr>
            <w:t>论文组织结构</w:t>
          </w:r>
          <w:r>
            <w:rPr>
              <w:rFonts w:hint="eastAsia"/>
            </w:rPr>
            <w:tab/>
          </w:r>
          <w:r>
            <w:rPr>
              <w:rFonts w:hint="eastAsia"/>
            </w:rPr>
            <w:fldChar w:fldCharType="begin"/>
          </w:r>
          <w:r>
            <w:rPr>
              <w:rFonts w:hint="eastAsia"/>
            </w:rPr>
            <w:instrText xml:space="preserve"> </w:instrText>
          </w:r>
          <w:r>
            <w:instrText xml:space="preserve">PAGEREF _Toc229523231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967FB51">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"_Toc229523232" </w:instrText>
          </w:r>
          <w:r>
            <w:fldChar w:fldCharType="separate"/>
          </w:r>
          <w:r>
            <w:rPr>
              <w:rStyle w:val="32"/>
              <w:rFonts w:eastAsia="黑体" w:cs="Times New Roman"/>
              <w:lang w:eastAsia="zh-CN"/>
            </w:rPr>
            <w:t>2.1</w:t>
          </w:r>
          <w:r>
            <w:rPr>
              <w:rFonts w:hint="eastAsia" w:eastAsiaTheme="minorEastAsia"/>
              <w:kern w:val="2"/>
              <w:sz w:val="22"/>
              <w:lang w:eastAsia="zh-CN"/>
              <w14:ligatures w14:val="standardContextual"/>
            </w:rPr>
            <w:tab/>
          </w:r>
          <w:r>
            <w:rPr>
              <w:rStyle w:val="32"/>
              <w:rFonts w:eastAsia="黑体" w:cs="Times New Roman"/>
              <w:lang w:eastAsia="zh-CN"/>
            </w:rPr>
            <w:t>多准则决策理论概述</w:t>
          </w:r>
          <w:r>
            <w:rPr>
              <w:rFonts w:hint="eastAsia"/>
            </w:rPr>
            <w:tab/>
          </w:r>
          <w:r>
            <w:rPr>
              <w:rFonts w:hint="eastAsia"/>
            </w:rPr>
            <w:fldChar w:fldCharType="begin"/>
          </w:r>
          <w:r>
            <w:rPr>
              <w:rFonts w:hint="eastAsia"/>
            </w:rPr>
            <w:instrText xml:space="preserve"> </w:instrText>
          </w:r>
          <w:r>
            <w:instrText xml:space="preserve">PAGEREF _Toc229523232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5212FB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"_Toc229523233" </w:instrText>
          </w:r>
          <w:r>
            <w:fldChar w:fldCharType="separate"/>
          </w:r>
          <w:r>
            <w:rPr>
              <w:rStyle w:val="32"/>
              <w:rFonts w:eastAsia="黑体" w:cs="Times New Roman"/>
              <w:lang w:eastAsia="zh-CN"/>
            </w:rPr>
            <w:t>2.2</w:t>
          </w:r>
          <w:r>
            <w:rPr>
              <w:rFonts w:hint="eastAsia" w:eastAsiaTheme="minorEastAsia"/>
              <w:kern w:val="2"/>
              <w:sz w:val="22"/>
              <w:lang w:eastAsia="zh-CN"/>
              <w14:ligatures w14:val="standardContextual"/>
            </w:rPr>
            <w:tab/>
          </w:r>
          <w:r>
            <w:rPr>
              <w:rStyle w:val="32"/>
              <w:rFonts w:eastAsia="黑体" w:cs="Times New Roman"/>
              <w:lang w:eastAsia="zh-CN"/>
            </w:rPr>
            <w:t>AHP–层次分析法</w:t>
          </w:r>
          <w:r>
            <w:rPr>
              <w:rFonts w:hint="eastAsia"/>
            </w:rPr>
            <w:tab/>
          </w:r>
          <w:r>
            <w:rPr>
              <w:rFonts w:hint="eastAsia"/>
            </w:rPr>
            <w:fldChar w:fldCharType="begin"/>
          </w:r>
          <w:r>
            <w:rPr>
              <w:rFonts w:hint="eastAsia"/>
            </w:rPr>
            <w:instrText xml:space="preserve"> </w:instrText>
          </w:r>
          <w:r>
            <w:instrText xml:space="preserve">PAGEREF _Toc229523233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530386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"_Toc229523234" </w:instrText>
          </w:r>
          <w:r>
            <w:fldChar w:fldCharType="separate"/>
          </w:r>
          <w:r>
            <w:rPr>
              <w:rStyle w:val="32"/>
              <w:rFonts w:eastAsia="黑体" w:cs="Times New Roman"/>
              <w:lang w:eastAsia="zh-CN"/>
            </w:rPr>
            <w:t>2.3</w:t>
          </w:r>
          <w:r>
            <w:rPr>
              <w:rFonts w:hint="eastAsia" w:eastAsiaTheme="minorEastAsia"/>
              <w:kern w:val="2"/>
              <w:sz w:val="22"/>
              <w:lang w:eastAsia="zh-CN"/>
              <w14:ligatures w14:val="standardContextual"/>
            </w:rPr>
            <w:tab/>
          </w:r>
          <w:r>
            <w:rPr>
              <w:rStyle w:val="32"/>
              <w:rFonts w:eastAsia="黑体" w:cs="Times New Roman"/>
              <w:lang w:eastAsia="zh-CN"/>
            </w:rPr>
            <w:t>EWM–熵权法</w:t>
          </w:r>
          <w:r>
            <w:rPr>
              <w:rFonts w:hint="eastAsia"/>
            </w:rPr>
            <w:tab/>
          </w:r>
          <w:r>
            <w:rPr>
              <w:rFonts w:hint="eastAsia"/>
            </w:rPr>
            <w:fldChar w:fldCharType="begin"/>
          </w:r>
          <w:r>
            <w:rPr>
              <w:rFonts w:hint="eastAsia"/>
            </w:rPr>
            <w:instrText xml:space="preserve"> </w:instrText>
          </w:r>
          <w:r>
            <w:instrText xml:space="preserve">PAGEREF _Toc229523234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5F1893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"_Toc229523235" </w:instrText>
          </w:r>
          <w:r>
            <w:fldChar w:fldCharType="separate"/>
          </w:r>
          <w:r>
            <w:rPr>
              <w:rStyle w:val="32"/>
              <w:rFonts w:eastAsia="黑体" w:cs="Times New Roman"/>
              <w:lang w:eastAsia="zh-CN"/>
            </w:rPr>
            <w:t>2.4</w:t>
          </w:r>
          <w:r>
            <w:rPr>
              <w:rFonts w:hint="eastAsia" w:eastAsiaTheme="minorEastAsia"/>
              <w:kern w:val="2"/>
              <w:sz w:val="22"/>
              <w:lang w:eastAsia="zh-CN"/>
              <w14:ligatures w14:val="standardContextual"/>
            </w:rPr>
            <w:tab/>
          </w:r>
          <w:r>
            <w:rPr>
              <w:rStyle w:val="32"/>
              <w:rFonts w:eastAsia="黑体" w:cs="Times New Roman"/>
              <w:lang w:eastAsia="zh-CN"/>
            </w:rPr>
            <w:t>混合权重模型</w:t>
          </w:r>
          <w:r>
            <w:rPr>
              <w:rFonts w:hint="eastAsia"/>
            </w:rPr>
            <w:tab/>
          </w:r>
          <w:r>
            <w:rPr>
              <w:rFonts w:hint="eastAsia"/>
            </w:rPr>
            <w:fldChar w:fldCharType="begin"/>
          </w:r>
          <w:r>
            <w:rPr>
              <w:rFonts w:hint="eastAsia"/>
            </w:rPr>
            <w:instrText xml:space="preserve"> </w:instrText>
          </w:r>
          <w:r>
            <w:instrText xml:space="preserve">PAGEREF _Toc229523235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E2AA242">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"_Toc229523236" </w:instrText>
          </w:r>
          <w:r>
            <w:fldChar w:fldCharType="separate"/>
          </w:r>
          <w:r>
            <w:rPr>
              <w:rStyle w:val="32"/>
              <w:rFonts w:eastAsia="黑体" w:cs="Times New Roman"/>
              <w:lang w:eastAsia="zh-CN"/>
            </w:rPr>
            <w:t>2.5</w:t>
          </w:r>
          <w:r>
            <w:rPr>
              <w:rFonts w:hint="eastAsia" w:eastAsiaTheme="minorEastAsia"/>
              <w:kern w:val="2"/>
              <w:sz w:val="22"/>
              <w:lang w:eastAsia="zh-CN"/>
              <w14:ligatures w14:val="standardContextual"/>
            </w:rPr>
            <w:tab/>
          </w:r>
          <w:r>
            <w:rPr>
              <w:rStyle w:val="32"/>
              <w:rFonts w:eastAsia="黑体" w:cs="Times New Roman"/>
              <w:lang w:eastAsia="zh-CN"/>
            </w:rPr>
            <w:t>奥运项目评估相关研究</w:t>
          </w:r>
          <w:r>
            <w:rPr>
              <w:rFonts w:hint="eastAsia"/>
            </w:rPr>
            <w:tab/>
          </w:r>
          <w:r>
            <w:rPr>
              <w:rFonts w:hint="eastAsia"/>
            </w:rPr>
            <w:fldChar w:fldCharType="begin"/>
          </w:r>
          <w:r>
            <w:rPr>
              <w:rFonts w:hint="eastAsia"/>
            </w:rPr>
            <w:instrText xml:space="preserve"> </w:instrText>
          </w:r>
          <w:r>
            <w:instrText xml:space="preserve">PAGEREF _Toc229523236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49F812F">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"_Toc229523237" </w:instrText>
          </w:r>
          <w:r>
            <w:fldChar w:fldCharType="separate"/>
          </w:r>
          <w:r>
            <w:rPr>
              <w:rStyle w:val="32"/>
              <w:rFonts w:eastAsia="黑体" w:cs="Times New Roman"/>
              <w:lang w:eastAsia="zh-CN"/>
            </w:rPr>
            <w:t>3</w:t>
          </w:r>
          <w:r>
            <w:rPr>
              <w:rFonts w:hint="eastAsia" w:eastAsiaTheme="minorEastAsia"/>
              <w:kern w:val="2"/>
              <w:sz w:val="22"/>
              <w:lang w:eastAsia="zh-CN"/>
              <w14:ligatures w14:val="standardContextual"/>
            </w:rPr>
            <w:tab/>
          </w:r>
          <w:r>
            <w:rPr>
              <w:rStyle w:val="32"/>
              <w:rFonts w:eastAsia="黑体" w:cs="Times New Roman"/>
              <w:lang w:eastAsia="zh-CN"/>
            </w:rPr>
            <w:t>混合权重评估模型构建</w:t>
          </w:r>
          <w:r>
            <w:rPr>
              <w:rFonts w:hint="eastAsia"/>
            </w:rPr>
            <w:tab/>
          </w:r>
          <w:r>
            <w:rPr>
              <w:rFonts w:hint="eastAsia"/>
            </w:rPr>
            <w:fldChar w:fldCharType="begin"/>
          </w:r>
          <w:r>
            <w:rPr>
              <w:rFonts w:hint="eastAsia"/>
            </w:rPr>
            <w:instrText xml:space="preserve"> </w:instrText>
          </w:r>
          <w:r>
            <w:instrText xml:space="preserve">PAGEREF _Toc229523237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62BE5A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"_Toc229523238" </w:instrText>
          </w:r>
          <w:r>
            <w:fldChar w:fldCharType="separate"/>
          </w:r>
          <w:r>
            <w:rPr>
              <w:rStyle w:val="32"/>
              <w:rFonts w:eastAsia="黑体" w:cs="Times New Roman"/>
              <w:lang w:eastAsia="zh-CN"/>
            </w:rPr>
            <w:t>3.1</w:t>
          </w:r>
          <w:r>
            <w:rPr>
              <w:rFonts w:hint="eastAsia" w:eastAsiaTheme="minorEastAsia"/>
              <w:kern w:val="2"/>
              <w:sz w:val="22"/>
              <w:lang w:eastAsia="zh-CN"/>
              <w14:ligatures w14:val="standardContextual"/>
            </w:rPr>
            <w:tab/>
          </w:r>
          <w:r>
            <w:rPr>
              <w:rStyle w:val="32"/>
              <w:rFonts w:eastAsia="黑体" w:cs="Times New Roman"/>
              <w:lang w:eastAsia="zh-CN"/>
            </w:rPr>
            <w:t>符号说明</w:t>
          </w:r>
          <w:r>
            <w:rPr>
              <w:rFonts w:hint="eastAsia"/>
            </w:rPr>
            <w:tab/>
          </w:r>
          <w:r>
            <w:rPr>
              <w:rFonts w:hint="eastAsia"/>
            </w:rPr>
            <w:fldChar w:fldCharType="begin"/>
          </w:r>
          <w:r>
            <w:rPr>
              <w:rFonts w:hint="eastAsia"/>
            </w:rPr>
            <w:instrText xml:space="preserve"> </w:instrText>
          </w:r>
          <w:r>
            <w:instrText xml:space="preserve">PAGEREF _Toc229523238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D1621F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"_Toc229523239" </w:instrText>
          </w:r>
          <w:r>
            <w:fldChar w:fldCharType="separate"/>
          </w:r>
          <w:r>
            <w:rPr>
              <w:rStyle w:val="32"/>
              <w:rFonts w:eastAsia="黑体" w:cs="Times New Roman"/>
              <w:lang w:eastAsia="zh-CN"/>
            </w:rPr>
            <w:t>3.2</w:t>
          </w:r>
          <w:r>
            <w:rPr>
              <w:rFonts w:hint="eastAsia" w:eastAsiaTheme="minorEastAsia"/>
              <w:kern w:val="2"/>
              <w:sz w:val="22"/>
              <w:lang w:eastAsia="zh-CN"/>
              <w14:ligatures w14:val="standardContextual"/>
            </w:rPr>
            <w:tab/>
          </w:r>
          <w:r>
            <w:rPr>
              <w:rStyle w:val="32"/>
              <w:rFonts w:eastAsia="黑体" w:cs="Times New Roman"/>
              <w:lang w:eastAsia="zh-CN"/>
            </w:rPr>
            <w:t>问题数学化建模</w:t>
          </w:r>
          <w:r>
            <w:rPr>
              <w:rFonts w:hint="eastAsia"/>
            </w:rPr>
            <w:tab/>
          </w:r>
          <w:r>
            <w:rPr>
              <w:rFonts w:hint="eastAsia"/>
            </w:rPr>
            <w:fldChar w:fldCharType="begin"/>
          </w:r>
          <w:r>
            <w:rPr>
              <w:rFonts w:hint="eastAsia"/>
            </w:rPr>
            <w:instrText xml:space="preserve"> </w:instrText>
          </w:r>
          <w:r>
            <w:instrText xml:space="preserve">PAGEREF _Toc229523239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522DD7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"_Toc229523240" </w:instrText>
          </w:r>
          <w:r>
            <w:fldChar w:fldCharType="separate"/>
          </w:r>
          <w:r>
            <w:rPr>
              <w:rStyle w:val="32"/>
              <w:rFonts w:eastAsia="黑体" w:cs="Times New Roman"/>
              <w:lang w:eastAsia="zh-CN"/>
            </w:rPr>
            <w:t>3.3</w:t>
          </w:r>
          <w:r>
            <w:rPr>
              <w:rFonts w:hint="eastAsia" w:eastAsiaTheme="minorEastAsia"/>
              <w:kern w:val="2"/>
              <w:sz w:val="22"/>
              <w:lang w:eastAsia="zh-CN"/>
              <w14:ligatures w14:val="standardContextual"/>
            </w:rPr>
            <w:tab/>
          </w:r>
          <w:r>
            <w:rPr>
              <w:rStyle w:val="32"/>
              <w:rFonts w:eastAsia="黑体" w:cs="Times New Roman"/>
              <w:lang w:eastAsia="zh-CN"/>
            </w:rPr>
            <w:t>六维评价指标体系</w:t>
          </w:r>
          <w:r>
            <w:rPr>
              <w:rFonts w:hint="eastAsia"/>
            </w:rPr>
            <w:tab/>
          </w:r>
          <w:r>
            <w:rPr>
              <w:rFonts w:hint="eastAsia"/>
            </w:rPr>
            <w:fldChar w:fldCharType="begin"/>
          </w:r>
          <w:r>
            <w:rPr>
              <w:rFonts w:hint="eastAsia"/>
            </w:rPr>
            <w:instrText xml:space="preserve"> </w:instrText>
          </w:r>
          <w:r>
            <w:instrText xml:space="preserve">PAGEREF _Toc229523240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596460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"_Toc229523241" </w:instrText>
          </w:r>
          <w:r>
            <w:fldChar w:fldCharType="separate"/>
          </w:r>
          <w:r>
            <w:rPr>
              <w:rStyle w:val="32"/>
              <w:rFonts w:eastAsia="黑体" w:cs="Times New Roman"/>
              <w:lang w:eastAsia="zh-CN"/>
            </w:rPr>
            <w:t>3.4</w:t>
          </w:r>
          <w:r>
            <w:rPr>
              <w:rFonts w:hint="eastAsia" w:eastAsiaTheme="minorEastAsia"/>
              <w:kern w:val="2"/>
              <w:sz w:val="22"/>
              <w:lang w:eastAsia="zh-CN"/>
              <w14:ligatures w14:val="standardContextual"/>
            </w:rPr>
            <w:tab/>
          </w:r>
          <w:r>
            <w:rPr>
              <w:rStyle w:val="32"/>
              <w:rFonts w:eastAsia="黑体" w:cs="Times New Roman"/>
              <w:lang w:eastAsia="zh-CN"/>
            </w:rPr>
            <w:t>AHP主观权重</w:t>
          </w:r>
          <w:r>
            <w:rPr>
              <w:rFonts w:hint="eastAsia"/>
            </w:rPr>
            <w:tab/>
          </w:r>
          <w:r>
            <w:rPr>
              <w:rFonts w:hint="eastAsia"/>
            </w:rPr>
            <w:fldChar w:fldCharType="begin"/>
          </w:r>
          <w:r>
            <w:rPr>
              <w:rFonts w:hint="eastAsia"/>
            </w:rPr>
            <w:instrText xml:space="preserve"> </w:instrText>
          </w:r>
          <w:r>
            <w:instrText xml:space="preserve">PAGEREF _Toc229523241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109CF7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"_Toc229523242" </w:instrText>
          </w:r>
          <w:r>
            <w:fldChar w:fldCharType="separate"/>
          </w:r>
          <w:r>
            <w:rPr>
              <w:rStyle w:val="32"/>
              <w:rFonts w:eastAsia="黑体" w:cs="Times New Roman"/>
              <w:lang w:eastAsia="zh-CN"/>
            </w:rPr>
            <w:t>3.5</w:t>
          </w:r>
          <w:r>
            <w:rPr>
              <w:rFonts w:hint="eastAsia" w:eastAsiaTheme="minorEastAsia"/>
              <w:kern w:val="2"/>
              <w:sz w:val="22"/>
              <w:lang w:eastAsia="zh-CN"/>
              <w14:ligatures w14:val="standardContextual"/>
            </w:rPr>
            <w:tab/>
          </w:r>
          <w:r>
            <w:rPr>
              <w:rStyle w:val="32"/>
              <w:rFonts w:eastAsia="黑体" w:cs="Times New Roman"/>
              <w:lang w:eastAsia="zh-CN"/>
            </w:rPr>
            <w:t>EWM客观权重</w:t>
          </w:r>
          <w:r>
            <w:rPr>
              <w:rFonts w:hint="eastAsia"/>
            </w:rPr>
            <w:tab/>
          </w:r>
          <w:r>
            <w:rPr>
              <w:rFonts w:hint="eastAsia"/>
            </w:rPr>
            <w:fldChar w:fldCharType="begin"/>
          </w:r>
          <w:r>
            <w:rPr>
              <w:rFonts w:hint="eastAsia"/>
            </w:rPr>
            <w:instrText xml:space="preserve"> </w:instrText>
          </w:r>
          <w:r>
            <w:instrText xml:space="preserve">PAGEREF _Toc229523242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69D0C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"_Toc229523243" </w:instrText>
          </w:r>
          <w:r>
            <w:fldChar w:fldCharType="separate"/>
          </w:r>
          <w:r>
            <w:rPr>
              <w:rStyle w:val="32"/>
              <w:rFonts w:eastAsia="黑体" w:cs="Times New Roman"/>
              <w:lang w:eastAsia="zh-CN"/>
            </w:rPr>
            <w:t>3.6</w:t>
          </w:r>
          <w:r>
            <w:rPr>
              <w:rFonts w:hint="eastAsia" w:eastAsiaTheme="minorEastAsia"/>
              <w:kern w:val="2"/>
              <w:sz w:val="22"/>
              <w:lang w:eastAsia="zh-CN"/>
              <w14:ligatures w14:val="standardContextual"/>
            </w:rPr>
            <w:tab/>
          </w:r>
          <w:r>
            <w:rPr>
              <w:rStyle w:val="32"/>
              <w:rFonts w:eastAsia="黑体" w:cs="Times New Roman"/>
              <w:lang w:eastAsia="zh-CN"/>
            </w:rPr>
            <w:t>混合权重组合</w:t>
          </w:r>
          <w:r>
            <w:rPr>
              <w:rFonts w:hint="eastAsia"/>
            </w:rPr>
            <w:tab/>
          </w:r>
          <w:r>
            <w:rPr>
              <w:rFonts w:hint="eastAsia"/>
            </w:rPr>
            <w:fldChar w:fldCharType="begin"/>
          </w:r>
          <w:r>
            <w:rPr>
              <w:rFonts w:hint="eastAsia"/>
            </w:rPr>
            <w:instrText xml:space="preserve"> </w:instrText>
          </w:r>
          <w:r>
            <w:instrText xml:space="preserve">PAGEREF _Toc229523243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67BC22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"_Toc229523244" </w:instrText>
          </w:r>
          <w:r>
            <w:fldChar w:fldCharType="separate"/>
          </w:r>
          <w:r>
            <w:rPr>
              <w:rStyle w:val="32"/>
              <w:rFonts w:eastAsia="黑体" w:cs="Times New Roman"/>
              <w:lang w:eastAsia="zh-CN"/>
            </w:rPr>
            <w:t>3.7</w:t>
          </w:r>
          <w:r>
            <w:rPr>
              <w:rFonts w:hint="eastAsia" w:eastAsiaTheme="minorEastAsia"/>
              <w:kern w:val="2"/>
              <w:sz w:val="22"/>
              <w:lang w:eastAsia="zh-CN"/>
              <w14:ligatures w14:val="standardContextual"/>
            </w:rPr>
            <w:tab/>
          </w:r>
          <w:r>
            <w:rPr>
              <w:rStyle w:val="32"/>
              <w:rFonts w:eastAsia="黑体" w:cs="Times New Roman"/>
              <w:lang w:eastAsia="zh-CN"/>
            </w:rPr>
            <w:t>模型有效性分析</w:t>
          </w:r>
          <w:r>
            <w:rPr>
              <w:rFonts w:hint="eastAsia"/>
            </w:rPr>
            <w:tab/>
          </w:r>
          <w:r>
            <w:rPr>
              <w:rFonts w:hint="eastAsia"/>
            </w:rPr>
            <w:fldChar w:fldCharType="begin"/>
          </w:r>
          <w:r>
            <w:rPr>
              <w:rFonts w:hint="eastAsia"/>
            </w:rPr>
            <w:instrText xml:space="preserve"> </w:instrText>
          </w:r>
          <w:r>
            <w:instrText xml:space="preserve">PAGEREF _Toc229523244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4D52EA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"_Toc229523245" </w:instrText>
          </w:r>
          <w:r>
            <w:fldChar w:fldCharType="separate"/>
          </w:r>
          <w:r>
            <w:rPr>
              <w:rStyle w:val="32"/>
              <w:rFonts w:eastAsia="黑体" w:cs="Times New Roman"/>
            </w:rPr>
            <w:t>3.8</w:t>
          </w:r>
          <w:r>
            <w:rPr>
              <w:rFonts w:hint="eastAsia" w:eastAsiaTheme="minorEastAsia"/>
              <w:kern w:val="2"/>
              <w:sz w:val="22"/>
              <w:lang w:eastAsia="zh-CN"/>
              <w14:ligatures w14:val="standardContextual"/>
            </w:rPr>
            <w:tab/>
          </w:r>
          <w:r>
            <w:rPr>
              <w:rStyle w:val="32"/>
              <w:rFonts w:eastAsia="黑体" w:cs="Times New Roman"/>
            </w:rPr>
            <w:t>本章小结</w:t>
          </w:r>
          <w:r>
            <w:rPr>
              <w:rFonts w:hint="eastAsia"/>
            </w:rPr>
            <w:tab/>
          </w:r>
          <w:r>
            <w:rPr>
              <w:rFonts w:hint="eastAsia"/>
            </w:rPr>
            <w:fldChar w:fldCharType="begin"/>
          </w:r>
          <w:r>
            <w:rPr>
              <w:rFonts w:hint="eastAsia"/>
            </w:rPr>
            <w:instrText xml:space="preserve"> </w:instrText>
          </w:r>
          <w:r>
            <w:instrText xml:space="preserve">PAGEREF _Toc229523245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16BDBF7">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"_Toc229523246" </w:instrText>
          </w:r>
          <w:r>
            <w:fldChar w:fldCharType="separate"/>
          </w:r>
          <w:r>
            <w:rPr>
              <w:rStyle w:val="32"/>
              <w:rFonts w:eastAsia="黑体" w:cs="Times New Roman"/>
              <w:lang w:eastAsia="zh-CN"/>
            </w:rPr>
            <w:t>4</w:t>
          </w:r>
          <w:r>
            <w:rPr>
              <w:rFonts w:hint="eastAsia" w:eastAsiaTheme="minorEastAsia"/>
              <w:kern w:val="2"/>
              <w:sz w:val="22"/>
              <w:lang w:eastAsia="zh-CN"/>
              <w14:ligatures w14:val="standardContextual"/>
            </w:rPr>
            <w:tab/>
          </w:r>
          <w:r>
            <w:rPr>
              <w:rStyle w:val="32"/>
              <w:rFonts w:eastAsia="黑体" w:cs="Times New Roman"/>
              <w:lang w:eastAsia="zh-CN"/>
            </w:rPr>
            <w:t>实验设计与数据分析</w:t>
          </w:r>
          <w:r>
            <w:rPr>
              <w:rFonts w:hint="eastAsia"/>
            </w:rPr>
            <w:tab/>
          </w:r>
          <w:r>
            <w:rPr>
              <w:rFonts w:hint="eastAsia"/>
            </w:rPr>
            <w:fldChar w:fldCharType="begin"/>
          </w:r>
          <w:r>
            <w:rPr>
              <w:rFonts w:hint="eastAsia"/>
            </w:rPr>
            <w:instrText xml:space="preserve"> </w:instrText>
          </w:r>
          <w:r>
            <w:instrText xml:space="preserve">PAGEREF _Toc229523246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1E2730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"_Toc229523247" </w:instrText>
          </w:r>
          <w:r>
            <w:fldChar w:fldCharType="separate"/>
          </w:r>
          <w:r>
            <w:rPr>
              <w:rStyle w:val="32"/>
              <w:rFonts w:eastAsia="黑体" w:cs="Times New Roman"/>
              <w:lang w:eastAsia="zh-CN"/>
            </w:rPr>
            <w:t>4.1</w:t>
          </w:r>
          <w:r>
            <w:rPr>
              <w:rFonts w:hint="eastAsia" w:eastAsiaTheme="minorEastAsia"/>
              <w:kern w:val="2"/>
              <w:sz w:val="22"/>
              <w:lang w:eastAsia="zh-CN"/>
              <w14:ligatures w14:val="standardContextual"/>
            </w:rPr>
            <w:tab/>
          </w:r>
          <w:r>
            <w:rPr>
              <w:rStyle w:val="32"/>
              <w:rFonts w:eastAsia="黑体" w:cs="Times New Roman"/>
              <w:lang w:eastAsia="zh-CN"/>
            </w:rPr>
            <w:t>数据来源与预处理</w:t>
          </w:r>
          <w:r>
            <w:rPr>
              <w:rFonts w:hint="eastAsia"/>
            </w:rPr>
            <w:tab/>
          </w:r>
          <w:r>
            <w:rPr>
              <w:rFonts w:hint="eastAsia"/>
            </w:rPr>
            <w:fldChar w:fldCharType="begin"/>
          </w:r>
          <w:r>
            <w:rPr>
              <w:rFonts w:hint="eastAsia"/>
            </w:rPr>
            <w:instrText xml:space="preserve"> </w:instrText>
          </w:r>
          <w:r>
            <w:instrText xml:space="preserve">PAGEREF _Toc229523247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763239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"_Toc229523248" </w:instrText>
          </w:r>
          <w:r>
            <w:fldChar w:fldCharType="separate"/>
          </w:r>
          <w:r>
            <w:rPr>
              <w:rStyle w:val="32"/>
              <w:rFonts w:eastAsia="黑体" w:cs="Times New Roman"/>
              <w:lang w:eastAsia="zh-CN"/>
            </w:rPr>
            <w:t>4.2</w:t>
          </w:r>
          <w:r>
            <w:rPr>
              <w:rFonts w:hint="eastAsia" w:eastAsiaTheme="minorEastAsia"/>
              <w:kern w:val="2"/>
              <w:sz w:val="22"/>
              <w:lang w:eastAsia="zh-CN"/>
              <w14:ligatures w14:val="standardContextual"/>
            </w:rPr>
            <w:tab/>
          </w:r>
          <w:r>
            <w:rPr>
              <w:rStyle w:val="32"/>
              <w:rFonts w:eastAsia="黑体" w:cs="Times New Roman"/>
              <w:lang w:eastAsia="zh-CN"/>
            </w:rPr>
            <w:t>模型求解</w:t>
          </w:r>
          <w:r>
            <w:rPr>
              <w:rFonts w:hint="eastAsia"/>
            </w:rPr>
            <w:tab/>
          </w:r>
          <w:r>
            <w:rPr>
              <w:rFonts w:hint="eastAsia"/>
            </w:rPr>
            <w:fldChar w:fldCharType="begin"/>
          </w:r>
          <w:r>
            <w:rPr>
              <w:rFonts w:hint="eastAsia"/>
            </w:rPr>
            <w:instrText xml:space="preserve"> </w:instrText>
          </w:r>
          <w:r>
            <w:instrText xml:space="preserve">PAGEREF _Toc229523248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159281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"_Toc229523249" </w:instrText>
          </w:r>
          <w:r>
            <w:fldChar w:fldCharType="separate"/>
          </w:r>
          <w:r>
            <w:rPr>
              <w:rStyle w:val="32"/>
              <w:rFonts w:eastAsia="黑体" w:cs="Times New Roman"/>
              <w:lang w:eastAsia="zh-CN"/>
            </w:rPr>
            <w:t>4.3</w:t>
          </w:r>
          <w:r>
            <w:rPr>
              <w:rFonts w:hint="eastAsia" w:eastAsiaTheme="minorEastAsia"/>
              <w:kern w:val="2"/>
              <w:sz w:val="22"/>
              <w:lang w:eastAsia="zh-CN"/>
              <w14:ligatures w14:val="standardContextual"/>
            </w:rPr>
            <w:tab/>
          </w:r>
          <w:r>
            <w:rPr>
              <w:rStyle w:val="32"/>
              <w:rFonts w:eastAsia="黑体" w:cs="Times New Roman"/>
              <w:lang w:eastAsia="zh-CN"/>
            </w:rPr>
            <w:t>历史奥运项目评估实验</w:t>
          </w:r>
          <w:r>
            <w:rPr>
              <w:rFonts w:hint="eastAsia"/>
            </w:rPr>
            <w:tab/>
          </w:r>
          <w:r>
            <w:rPr>
              <w:rFonts w:hint="eastAsia"/>
            </w:rPr>
            <w:fldChar w:fldCharType="begin"/>
          </w:r>
          <w:r>
            <w:rPr>
              <w:rFonts w:hint="eastAsia"/>
            </w:rPr>
            <w:instrText xml:space="preserve"> </w:instrText>
          </w:r>
          <w:r>
            <w:instrText xml:space="preserve">PAGEREF _Toc229523249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4645BE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"_Toc229523250" </w:instrText>
          </w:r>
          <w:r>
            <w:fldChar w:fldCharType="separate"/>
          </w:r>
          <w:r>
            <w:rPr>
              <w:rStyle w:val="32"/>
              <w:rFonts w:eastAsia="黑体" w:cs="Times New Roman"/>
              <w:lang w:eastAsia="zh-CN"/>
            </w:rPr>
            <w:t>4.4</w:t>
          </w:r>
          <w:r>
            <w:rPr>
              <w:rFonts w:hint="eastAsia" w:eastAsiaTheme="minorEastAsia"/>
              <w:kern w:val="2"/>
              <w:sz w:val="22"/>
              <w:lang w:eastAsia="zh-CN"/>
              <w14:ligatures w14:val="standardContextual"/>
            </w:rPr>
            <w:tab/>
          </w:r>
          <w:r>
            <w:rPr>
              <w:rStyle w:val="32"/>
              <w:rFonts w:eastAsia="黑体" w:cs="Times New Roman"/>
              <w:lang w:eastAsia="zh-CN"/>
            </w:rPr>
            <w:t>六维指标相关性分析</w:t>
          </w:r>
          <w:r>
            <w:rPr>
              <w:rFonts w:hint="eastAsia"/>
            </w:rPr>
            <w:tab/>
          </w:r>
          <w:r>
            <w:rPr>
              <w:rFonts w:hint="eastAsia"/>
            </w:rPr>
            <w:fldChar w:fldCharType="begin"/>
          </w:r>
          <w:r>
            <w:rPr>
              <w:rFonts w:hint="eastAsia"/>
            </w:rPr>
            <w:instrText xml:space="preserve"> </w:instrText>
          </w:r>
          <w:r>
            <w:instrText xml:space="preserve">PAGEREF _Toc229523250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2609A0">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"_Toc229523251" </w:instrText>
          </w:r>
          <w:r>
            <w:fldChar w:fldCharType="separate"/>
          </w:r>
          <w:r>
            <w:rPr>
              <w:rStyle w:val="32"/>
              <w:rFonts w:eastAsia="黑体" w:cs="Times New Roman"/>
              <w:lang w:eastAsia="zh-CN"/>
            </w:rPr>
            <w:t>4.5</w:t>
          </w:r>
          <w:r>
            <w:rPr>
              <w:rFonts w:hint="eastAsia" w:eastAsiaTheme="minorEastAsia"/>
              <w:kern w:val="2"/>
              <w:sz w:val="22"/>
              <w:lang w:eastAsia="zh-CN"/>
              <w14:ligatures w14:val="standardContextual"/>
            </w:rPr>
            <w:tab/>
          </w:r>
          <w:r>
            <w:rPr>
              <w:rStyle w:val="32"/>
              <w:rFonts w:eastAsia="黑体" w:cs="Times New Roman"/>
              <w:lang w:eastAsia="zh-CN"/>
            </w:rPr>
            <w:t>方法对比</w:t>
          </w:r>
          <w:r>
            <w:rPr>
              <w:rFonts w:hint="eastAsia"/>
            </w:rPr>
            <w:tab/>
          </w:r>
          <w:r>
            <w:rPr>
              <w:rFonts w:hint="eastAsia"/>
            </w:rPr>
            <w:fldChar w:fldCharType="begin"/>
          </w:r>
          <w:r>
            <w:rPr>
              <w:rFonts w:hint="eastAsia"/>
            </w:rPr>
            <w:instrText xml:space="preserve"> </w:instrText>
          </w:r>
          <w:r>
            <w:instrText xml:space="preserve">PAGEREF _Toc229523251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34C2A1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"_Toc229523252" </w:instrText>
          </w:r>
          <w:r>
            <w:fldChar w:fldCharType="separate"/>
          </w:r>
          <w:r>
            <w:rPr>
              <w:rStyle w:val="32"/>
              <w:rFonts w:eastAsia="黑体" w:cs="Times New Roman"/>
              <w:lang w:eastAsia="zh-CN"/>
            </w:rPr>
            <w:t>4.6</w:t>
          </w:r>
          <w:r>
            <w:rPr>
              <w:rFonts w:hint="eastAsia" w:eastAsiaTheme="minorEastAsia"/>
              <w:kern w:val="2"/>
              <w:sz w:val="22"/>
              <w:lang w:eastAsia="zh-CN"/>
              <w14:ligatures w14:val="standardContextual"/>
            </w:rPr>
            <w:tab/>
          </w:r>
          <w:r>
            <w:rPr>
              <w:rStyle w:val="32"/>
              <w:rFonts w:eastAsia="黑体" w:cs="Times New Roman"/>
              <w:lang w:eastAsia="zh-CN"/>
            </w:rPr>
            <w:t>灵敏度分析</w:t>
          </w:r>
          <w:r>
            <w:rPr>
              <w:rFonts w:hint="eastAsia"/>
            </w:rPr>
            <w:tab/>
          </w:r>
          <w:r>
            <w:rPr>
              <w:rFonts w:hint="eastAsia"/>
            </w:rPr>
            <w:fldChar w:fldCharType="begin"/>
          </w:r>
          <w:r>
            <w:rPr>
              <w:rFonts w:hint="eastAsia"/>
            </w:rPr>
            <w:instrText xml:space="preserve"> </w:instrText>
          </w:r>
          <w:r>
            <w:instrText xml:space="preserve">PAGEREF _Toc229523252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4BF8CFC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"_Toc229523253" </w:instrText>
          </w:r>
          <w:r>
            <w:fldChar w:fldCharType="separate"/>
          </w:r>
          <w:r>
            <w:rPr>
              <w:rStyle w:val="32"/>
              <w:rFonts w:eastAsia="黑体" w:cs="Times New Roman"/>
              <w:lang w:eastAsia="zh-CN"/>
            </w:rPr>
            <w:t>4.7</w:t>
          </w:r>
          <w:r>
            <w:rPr>
              <w:rFonts w:hint="eastAsia" w:eastAsiaTheme="minorEastAsia"/>
              <w:kern w:val="2"/>
              <w:sz w:val="22"/>
              <w:lang w:eastAsia="zh-CN"/>
              <w14:ligatures w14:val="standardContextual"/>
            </w:rPr>
            <w:tab/>
          </w:r>
          <w:r>
            <w:rPr>
              <w:rStyle w:val="32"/>
              <w:rFonts w:eastAsia="黑体" w:cs="Times New Roman"/>
              <w:lang w:eastAsia="zh-CN"/>
            </w:rPr>
            <w:t>2032年奥运项目预测</w:t>
          </w:r>
          <w:r>
            <w:rPr>
              <w:rFonts w:hint="eastAsia"/>
            </w:rPr>
            <w:tab/>
          </w:r>
          <w:r>
            <w:rPr>
              <w:rFonts w:hint="eastAsia"/>
            </w:rPr>
            <w:fldChar w:fldCharType="begin"/>
          </w:r>
          <w:r>
            <w:rPr>
              <w:rFonts w:hint="eastAsia"/>
            </w:rPr>
            <w:instrText xml:space="preserve"> </w:instrText>
          </w:r>
          <w:r>
            <w:instrText xml:space="preserve">PAGEREF _Toc229523253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23483AD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"_Toc229523254" </w:instrText>
          </w:r>
          <w:r>
            <w:fldChar w:fldCharType="separate"/>
          </w:r>
          <w:r>
            <w:rPr>
              <w:rStyle w:val="32"/>
              <w:rFonts w:eastAsia="黑体" w:cs="Times New Roman"/>
              <w:lang w:eastAsia="zh-CN"/>
            </w:rPr>
            <w:t>4.8</w:t>
          </w:r>
          <w:r>
            <w:rPr>
              <w:rFonts w:hint="eastAsia" w:eastAsiaTheme="minorEastAsia"/>
              <w:kern w:val="2"/>
              <w:sz w:val="22"/>
              <w:lang w:eastAsia="zh-CN"/>
              <w14:ligatures w14:val="standardContextual"/>
            </w:rPr>
            <w:tab/>
          </w:r>
          <w:r>
            <w:rPr>
              <w:rStyle w:val="32"/>
              <w:rFonts w:eastAsia="黑体" w:cs="Times New Roman"/>
              <w:lang w:eastAsia="zh-CN"/>
            </w:rPr>
            <w:t>结果讨论</w:t>
          </w:r>
          <w:r>
            <w:rPr>
              <w:rFonts w:hint="eastAsia"/>
            </w:rPr>
            <w:tab/>
          </w:r>
          <w:r>
            <w:rPr>
              <w:rFonts w:hint="eastAsia"/>
            </w:rPr>
            <w:fldChar w:fldCharType="begin"/>
          </w:r>
          <w:r>
            <w:rPr>
              <w:rFonts w:hint="eastAsia"/>
            </w:rPr>
            <w:instrText xml:space="preserve"> </w:instrText>
          </w:r>
          <w:r>
            <w:instrText xml:space="preserve">PAGEREF _Toc229523254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25064EB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"_Toc229523255" </w:instrText>
          </w:r>
          <w:r>
            <w:fldChar w:fldCharType="separate"/>
          </w:r>
          <w:r>
            <w:rPr>
              <w:rStyle w:val="32"/>
              <w:rFonts w:eastAsia="黑体" w:cs="Times New Roman"/>
              <w:lang w:eastAsia="zh-CN"/>
            </w:rPr>
            <w:t>4.9</w:t>
          </w:r>
          <w:r>
            <w:rPr>
              <w:rFonts w:hint="eastAsia" w:eastAsiaTheme="minorEastAsia"/>
              <w:kern w:val="2"/>
              <w:sz w:val="22"/>
              <w:lang w:eastAsia="zh-CN"/>
              <w14:ligatures w14:val="standardContextual"/>
            </w:rPr>
            <w:tab/>
          </w:r>
          <w:r>
            <w:rPr>
              <w:rStyle w:val="32"/>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_Toc229523255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E0722BD">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"_Toc229523256" </w:instrText>
          </w:r>
          <w:r>
            <w:fldChar w:fldCharType="separate"/>
          </w:r>
          <w:r>
            <w:rPr>
              <w:rStyle w:val="32"/>
              <w:rFonts w:eastAsia="黑体" w:cs="Times New Roman"/>
              <w:lang w:eastAsia="zh-CN"/>
            </w:rPr>
            <w:t>5</w:t>
          </w:r>
          <w:r>
            <w:rPr>
              <w:rFonts w:hint="eastAsia" w:eastAsiaTheme="minorEastAsia"/>
              <w:kern w:val="2"/>
              <w:sz w:val="22"/>
              <w:lang w:eastAsia="zh-CN"/>
              <w14:ligatures w14:val="standardContextual"/>
            </w:rPr>
            <w:tab/>
          </w:r>
          <w:r>
            <w:rPr>
              <w:rStyle w:val="32"/>
              <w:rFonts w:eastAsia="黑体" w:cs="Times New Roman"/>
              <w:lang w:eastAsia="zh-CN"/>
            </w:rPr>
            <w:t>系统设计与实现</w:t>
          </w:r>
          <w:r>
            <w:rPr>
              <w:rFonts w:hint="eastAsia"/>
            </w:rPr>
            <w:tab/>
          </w:r>
          <w:r>
            <w:rPr>
              <w:rFonts w:hint="eastAsia"/>
            </w:rPr>
            <w:fldChar w:fldCharType="begin"/>
          </w:r>
          <w:r>
            <w:rPr>
              <w:rFonts w:hint="eastAsia"/>
            </w:rPr>
            <w:instrText xml:space="preserve"> </w:instrText>
          </w:r>
          <w:r>
            <w:instrText xml:space="preserve">PAGEREF _Toc229523256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72CC9F7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"_Toc229523257" </w:instrText>
          </w:r>
          <w:r>
            <w:fldChar w:fldCharType="separate"/>
          </w:r>
          <w:r>
            <w:rPr>
              <w:rStyle w:val="32"/>
              <w:rFonts w:eastAsia="黑体" w:cs="Times New Roman"/>
              <w:lang w:eastAsia="zh-CN"/>
            </w:rPr>
            <w:t>5.1</w:t>
          </w:r>
          <w:r>
            <w:rPr>
              <w:rFonts w:hint="eastAsia" w:eastAsiaTheme="minorEastAsia"/>
              <w:kern w:val="2"/>
              <w:sz w:val="22"/>
              <w:lang w:eastAsia="zh-CN"/>
              <w14:ligatures w14:val="standardContextual"/>
            </w:rPr>
            <w:tab/>
          </w:r>
          <w:r>
            <w:rPr>
              <w:rStyle w:val="32"/>
              <w:rFonts w:eastAsia="黑体" w:cs="Times New Roman"/>
              <w:lang w:eastAsia="zh-CN"/>
            </w:rPr>
            <w:t>系统总体架构</w:t>
          </w:r>
          <w:r>
            <w:rPr>
              <w:rFonts w:hint="eastAsia"/>
            </w:rPr>
            <w:tab/>
          </w:r>
          <w:r>
            <w:rPr>
              <w:rFonts w:hint="eastAsia"/>
            </w:rPr>
            <w:fldChar w:fldCharType="begin"/>
          </w:r>
          <w:r>
            <w:rPr>
              <w:rFonts w:hint="eastAsia"/>
            </w:rPr>
            <w:instrText xml:space="preserve"> </w:instrText>
          </w:r>
          <w:r>
            <w:instrText xml:space="preserve">PAGEREF _Toc229523257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F0DE31C">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"_Toc229523258" </w:instrText>
          </w:r>
          <w:r>
            <w:fldChar w:fldCharType="separate"/>
          </w:r>
          <w:r>
            <w:rPr>
              <w:rStyle w:val="32"/>
              <w:rFonts w:eastAsia="黑体" w:cs="Times New Roman"/>
              <w:lang w:eastAsia="zh-CN"/>
            </w:rPr>
            <w:t>5.2</w:t>
          </w:r>
          <w:r>
            <w:rPr>
              <w:rFonts w:hint="eastAsia" w:eastAsiaTheme="minorEastAsia"/>
              <w:kern w:val="2"/>
              <w:sz w:val="22"/>
              <w:lang w:eastAsia="zh-CN"/>
              <w14:ligatures w14:val="standardContextual"/>
            </w:rPr>
            <w:tab/>
          </w:r>
          <w:r>
            <w:rPr>
              <w:rStyle w:val="32"/>
              <w:rFonts w:eastAsia="黑体" w:cs="Times New Roman"/>
              <w:lang w:eastAsia="zh-CN"/>
            </w:rPr>
            <w:t>核心算法模块</w:t>
          </w:r>
          <w:r>
            <w:rPr>
              <w:rFonts w:hint="eastAsia"/>
            </w:rPr>
            <w:tab/>
          </w:r>
          <w:r>
            <w:rPr>
              <w:rFonts w:hint="eastAsia"/>
            </w:rPr>
            <w:fldChar w:fldCharType="begin"/>
          </w:r>
          <w:r>
            <w:rPr>
              <w:rFonts w:hint="eastAsia"/>
            </w:rPr>
            <w:instrText xml:space="preserve"> </w:instrText>
          </w:r>
          <w:r>
            <w:instrText xml:space="preserve">PAGEREF _Toc229523258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2CE650A">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"_Toc229523259" </w:instrText>
          </w:r>
          <w:r>
            <w:fldChar w:fldCharType="separate"/>
          </w:r>
          <w:r>
            <w:rPr>
              <w:rStyle w:val="32"/>
              <w:rFonts w:eastAsia="黑体" w:cs="Times New Roman"/>
              <w:lang w:eastAsia="zh-CN"/>
            </w:rPr>
            <w:t>5.3</w:t>
          </w:r>
          <w:r>
            <w:rPr>
              <w:rFonts w:hint="eastAsia" w:eastAsiaTheme="minorEastAsia"/>
              <w:kern w:val="2"/>
              <w:sz w:val="22"/>
              <w:lang w:eastAsia="zh-CN"/>
              <w14:ligatures w14:val="standardContextual"/>
            </w:rPr>
            <w:tab/>
          </w:r>
          <w:r>
            <w:rPr>
              <w:rStyle w:val="32"/>
              <w:rFonts w:eastAsia="黑体" w:cs="Times New Roman"/>
              <w:lang w:eastAsia="zh-CN"/>
            </w:rPr>
            <w:t>项目评估与预测模块</w:t>
          </w:r>
          <w:r>
            <w:rPr>
              <w:rFonts w:hint="eastAsia"/>
            </w:rPr>
            <w:tab/>
          </w:r>
          <w:r>
            <w:rPr>
              <w:rFonts w:hint="eastAsia"/>
            </w:rPr>
            <w:fldChar w:fldCharType="begin"/>
          </w:r>
          <w:r>
            <w:rPr>
              <w:rFonts w:hint="eastAsia"/>
            </w:rPr>
            <w:instrText xml:space="preserve"> </w:instrText>
          </w:r>
          <w:r>
            <w:instrText xml:space="preserve">PAGEREF _Toc229523259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03070F7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"_Toc229523260" </w:instrText>
          </w:r>
          <w:r>
            <w:fldChar w:fldCharType="separate"/>
          </w:r>
          <w:r>
            <w:rPr>
              <w:rStyle w:val="32"/>
              <w:rFonts w:eastAsia="黑体" w:cs="Times New Roman"/>
              <w:lang w:eastAsia="zh-CN"/>
            </w:rPr>
            <w:t>5.4</w:t>
          </w:r>
          <w:r>
            <w:rPr>
              <w:rFonts w:hint="eastAsia" w:eastAsiaTheme="minorEastAsia"/>
              <w:kern w:val="2"/>
              <w:sz w:val="22"/>
              <w:lang w:eastAsia="zh-CN"/>
              <w14:ligatures w14:val="standardContextual"/>
            </w:rPr>
            <w:tab/>
          </w:r>
          <w:r>
            <w:rPr>
              <w:rStyle w:val="32"/>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_Toc229523260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0EA2CF7">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"_Toc229523261" </w:instrText>
          </w:r>
          <w:r>
            <w:fldChar w:fldCharType="separate"/>
          </w:r>
          <w:r>
            <w:rPr>
              <w:rStyle w:val="32"/>
              <w:rFonts w:eastAsia="黑体" w:cs="Times New Roman"/>
              <w:lang w:eastAsia="zh-CN"/>
            </w:rPr>
            <w:t>6</w:t>
          </w:r>
          <w:r>
            <w:rPr>
              <w:rFonts w:hint="eastAsia" w:eastAsiaTheme="minorEastAsia"/>
              <w:kern w:val="2"/>
              <w:sz w:val="22"/>
              <w:lang w:eastAsia="zh-CN"/>
              <w14:ligatures w14:val="standardContextual"/>
            </w:rPr>
            <w:tab/>
          </w:r>
          <w:r>
            <w:rPr>
              <w:rStyle w:val="32"/>
              <w:rFonts w:eastAsia="黑体" w:cs="Times New Roman"/>
              <w:lang w:eastAsia="zh-CN"/>
            </w:rPr>
            <w:t>总结与展望</w:t>
          </w:r>
          <w:r>
            <w:rPr>
              <w:rFonts w:hint="eastAsia"/>
            </w:rPr>
            <w:tab/>
          </w:r>
          <w:r>
            <w:rPr>
              <w:rFonts w:hint="eastAsia"/>
            </w:rPr>
            <w:fldChar w:fldCharType="begin"/>
          </w:r>
          <w:r>
            <w:rPr>
              <w:rFonts w:hint="eastAsia"/>
            </w:rPr>
            <w:instrText xml:space="preserve"> </w:instrText>
          </w:r>
          <w:r>
            <w:instrText xml:space="preserve">PAGEREF _Toc229523261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2CBD18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"_Toc229523262" </w:instrText>
          </w:r>
          <w:r>
            <w:fldChar w:fldCharType="separate"/>
          </w:r>
          <w:r>
            <w:rPr>
              <w:rStyle w:val="32"/>
              <w:rFonts w:eastAsia="黑体" w:cs="Times New Roman"/>
              <w:lang w:eastAsia="zh-CN"/>
            </w:rPr>
            <w:t>6.1</w:t>
          </w:r>
          <w:r>
            <w:rPr>
              <w:rFonts w:hint="eastAsia" w:eastAsiaTheme="minorEastAsia"/>
              <w:kern w:val="2"/>
              <w:sz w:val="22"/>
              <w:lang w:eastAsia="zh-CN"/>
              <w14:ligatures w14:val="standardContextual"/>
            </w:rPr>
            <w:tab/>
          </w:r>
          <w:r>
            <w:rPr>
              <w:rStyle w:val="32"/>
              <w:rFonts w:eastAsia="黑体" w:cs="Times New Roman"/>
              <w:lang w:eastAsia="zh-CN"/>
            </w:rPr>
            <w:t>研究总结</w:t>
          </w:r>
          <w:r>
            <w:rPr>
              <w:rFonts w:hint="eastAsia"/>
            </w:rPr>
            <w:tab/>
          </w:r>
          <w:r>
            <w:rPr>
              <w:rFonts w:hint="eastAsia"/>
            </w:rPr>
            <w:fldChar w:fldCharType="begin"/>
          </w:r>
          <w:r>
            <w:rPr>
              <w:rFonts w:hint="eastAsia"/>
            </w:rPr>
            <w:instrText xml:space="preserve"> </w:instrText>
          </w:r>
          <w:r>
            <w:instrText xml:space="preserve">PAGEREF _Toc229523262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0330C8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"_Toc229523263" </w:instrText>
          </w:r>
          <w:r>
            <w:fldChar w:fldCharType="separate"/>
          </w:r>
          <w:r>
            <w:rPr>
              <w:rStyle w:val="32"/>
              <w:rFonts w:eastAsia="黑体" w:cs="Times New Roman"/>
              <w:lang w:eastAsia="zh-CN"/>
            </w:rPr>
            <w:t>6.2</w:t>
          </w:r>
          <w:r>
            <w:rPr>
              <w:rFonts w:hint="eastAsia" w:eastAsiaTheme="minorEastAsia"/>
              <w:kern w:val="2"/>
              <w:sz w:val="22"/>
              <w:lang w:eastAsia="zh-CN"/>
              <w14:ligatures w14:val="standardContextual"/>
            </w:rPr>
            <w:tab/>
          </w:r>
          <w:r>
            <w:rPr>
              <w:rStyle w:val="32"/>
              <w:rFonts w:eastAsia="黑体" w:cs="Times New Roman"/>
              <w:lang w:eastAsia="zh-CN"/>
            </w:rPr>
            <w:t>主要创新点</w:t>
          </w:r>
          <w:r>
            <w:rPr>
              <w:rFonts w:hint="eastAsia"/>
            </w:rPr>
            <w:tab/>
          </w:r>
          <w:r>
            <w:rPr>
              <w:rFonts w:hint="eastAsia"/>
            </w:rPr>
            <w:fldChar w:fldCharType="begin"/>
          </w:r>
          <w:r>
            <w:rPr>
              <w:rFonts w:hint="eastAsia"/>
            </w:rPr>
            <w:instrText xml:space="preserve"> </w:instrText>
          </w:r>
          <w:r>
            <w:instrText xml:space="preserve">PAGEREF _Toc229523263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17560A8">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"_Toc229523264" </w:instrText>
          </w:r>
          <w:r>
            <w:fldChar w:fldCharType="separate"/>
          </w:r>
          <w:r>
            <w:rPr>
              <w:rStyle w:val="32"/>
              <w:rFonts w:eastAsia="黑体" w:cs="Times New Roman"/>
              <w:lang w:eastAsia="zh-CN"/>
            </w:rPr>
            <w:t>6.3</w:t>
          </w:r>
          <w:r>
            <w:rPr>
              <w:rFonts w:hint="eastAsia" w:eastAsiaTheme="minorEastAsia"/>
              <w:kern w:val="2"/>
              <w:sz w:val="22"/>
              <w:lang w:eastAsia="zh-CN"/>
              <w14:ligatures w14:val="standardContextual"/>
            </w:rPr>
            <w:tab/>
          </w:r>
          <w:r>
            <w:rPr>
              <w:rStyle w:val="32"/>
              <w:rFonts w:eastAsia="黑体" w:cs="Times New Roman"/>
              <w:lang w:eastAsia="zh-CN"/>
            </w:rPr>
            <w:t>研究局限性</w:t>
          </w:r>
          <w:r>
            <w:rPr>
              <w:rFonts w:hint="eastAsia"/>
            </w:rPr>
            <w:tab/>
          </w:r>
          <w:r>
            <w:rPr>
              <w:rFonts w:hint="eastAsia"/>
            </w:rPr>
            <w:fldChar w:fldCharType="begin"/>
          </w:r>
          <w:r>
            <w:rPr>
              <w:rFonts w:hint="eastAsia"/>
            </w:rPr>
            <w:instrText xml:space="preserve"> </w:instrText>
          </w:r>
          <w:r>
            <w:instrText xml:space="preserve">PAGEREF _Toc229523264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09C1E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"_Toc229523265" </w:instrText>
          </w:r>
          <w:r>
            <w:fldChar w:fldCharType="separate"/>
          </w:r>
          <w:r>
            <w:rPr>
              <w:rStyle w:val="32"/>
              <w:rFonts w:eastAsia="黑体" w:cs="Times New Roman"/>
              <w:lang w:eastAsia="zh-CN"/>
            </w:rPr>
            <w:t>6.4</w:t>
          </w:r>
          <w:r>
            <w:rPr>
              <w:rFonts w:hint="eastAsia" w:eastAsiaTheme="minorEastAsia"/>
              <w:kern w:val="2"/>
              <w:sz w:val="22"/>
              <w:lang w:eastAsia="zh-CN"/>
              <w14:ligatures w14:val="standardContextual"/>
            </w:rPr>
            <w:tab/>
          </w:r>
          <w:r>
            <w:rPr>
              <w:rStyle w:val="32"/>
              <w:rFonts w:eastAsia="黑体" w:cs="Times New Roman"/>
              <w:lang w:eastAsia="zh-CN"/>
            </w:rPr>
            <w:t>未来研究方向</w:t>
          </w:r>
          <w:r>
            <w:rPr>
              <w:rFonts w:hint="eastAsia"/>
            </w:rPr>
            <w:tab/>
          </w:r>
          <w:r>
            <w:rPr>
              <w:rFonts w:hint="eastAsia"/>
            </w:rPr>
            <w:fldChar w:fldCharType="begin"/>
          </w:r>
          <w:r>
            <w:rPr>
              <w:rFonts w:hint="eastAsia"/>
            </w:rPr>
            <w:instrText xml:space="preserve"> </w:instrText>
          </w:r>
          <w:r>
            <w:instrText xml:space="preserve">PAGEREF _Toc229523265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461AA72">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"_Toc229523266" </w:instrText>
          </w:r>
          <w:r>
            <w:fldChar w:fldCharType="separate"/>
          </w:r>
          <w:r>
            <w:rPr>
              <w:rStyle w:val="32"/>
              <w:rFonts w:eastAsia="黑体" w:cs="Times New Roman"/>
              <w:lang w:eastAsia="zh-CN"/>
            </w:rPr>
            <w:t>6.5</w:t>
          </w:r>
          <w:r>
            <w:rPr>
              <w:rFonts w:hint="eastAsia" w:eastAsiaTheme="minorEastAsia"/>
              <w:kern w:val="2"/>
              <w:sz w:val="22"/>
              <w:lang w:eastAsia="zh-CN"/>
              <w14:ligatures w14:val="standardContextual"/>
            </w:rPr>
            <w:tab/>
          </w:r>
          <w:r>
            <w:rPr>
              <w:rStyle w:val="32"/>
              <w:rFonts w:eastAsia="黑体" w:cs="Times New Roman"/>
              <w:lang w:eastAsia="zh-CN"/>
            </w:rPr>
            <w:t>结语</w:t>
          </w:r>
          <w:r>
            <w:rPr>
              <w:rFonts w:hint="eastAsia"/>
            </w:rPr>
            <w:tab/>
          </w:r>
          <w:r>
            <w:rPr>
              <w:rFonts w:hint="eastAsia"/>
            </w:rPr>
            <w:fldChar w:fldCharType="begin"/>
          </w:r>
          <w:r>
            <w:rPr>
              <w:rFonts w:hint="eastAsia"/>
            </w:rPr>
            <w:instrText xml:space="preserve"> </w:instrText>
          </w:r>
          <w:r>
            <w:instrText xml:space="preserve">PAGEREF _Toc229523266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01D488DF">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"_Toc229523267" </w:instrText>
          </w:r>
          <w:r>
            <w:fldChar w:fldCharType="separate"/>
          </w:r>
          <w:r>
            <w:rPr>
              <w:rStyle w:val="32"/>
              <w:rFonts w:eastAsia="黑体" w:cs="Times New Roman"/>
              <w:lang w:eastAsia="zh-CN"/>
            </w:rPr>
            <w:t>致谢</w:t>
          </w:r>
          <w:r>
            <w:rPr>
              <w:rFonts w:hint="eastAsia"/>
            </w:rPr>
            <w:tab/>
          </w:r>
          <w:r>
            <w:rPr>
              <w:rFonts w:hint="eastAsia"/>
            </w:rPr>
            <w:fldChar w:fldCharType="begin"/>
          </w:r>
          <w:r>
            <w:rPr>
              <w:rFonts w:hint="eastAsia"/>
            </w:rPr>
            <w:instrText xml:space="preserve"> </w:instrText>
          </w:r>
          <w:r>
            <w:instrText xml:space="preserve">PAGEREF _Toc229523267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9EFAE63">
          <w:pPr>
            <w:pStyle w:val="35"/>
            <w:spacing w:before="180" w:after="180"/>
            <w:ind w:firstLine="480"/>
            <w:jc w:val="left"/>
            <w:rPr>
              <w:rFonts w:cs="Times New Roman"/>
            </w:rPr>
            <w:sectPr>
              <w:headerReference r:id="rId4" w:type="default"/>
              <w:footerReference r:id="rId6" w:type="default"/>
              <w:headerReference r:id="rId5" w:type="even"/>
              <w:footnotePr>
                <w:numRestart w:val="eachSect"/>
              </w:footnotePr>
              <w:pgSz w:w="12240" w:h="15840"/>
              <w:pgMar w:top="1440" w:right="1800" w:bottom="1440" w:left="1800" w:header="720" w:footer="720" w:gutter="0"/>
              <w:cols w:space="720" w:num="1"/>
              <w:titlePg/>
              <w:docGrid w:linePitch="326" w:charSpace="0"/>
            </w:sectPr>
          </w:pPr>
          <w:r>
            <w:rPr>
              <w:rFonts w:cs="Times New Roman" w:asciiTheme="minorHAnsi" w:hAnsiTheme="minorHAnsi" w:eastAsiaTheme="minorHAnsi"/>
            </w:rPr>
            <w:fldChar w:fldCharType="end"/>
          </w:r>
        </w:p>
      </w:sdtContent>
    </w:sdt>
    <w:p w14:paraId="64D72D2B">
      <w:pPr>
        <w:pStyle w:val="40"/>
        <w:jc w:val="left"/>
        <w:rPr>
          <w:lang w:eastAsia="zh-CN"/>
        </w:rPr>
      </w:pPr>
      <w:bookmarkStart w:id="0" w:name="_Toc229523224"/>
      <w:r>
        <w:rPr>
          <w:rFonts w:hint="eastAsia" w:ascii="宋体" w:hAnsi="宋体" w:eastAsia="宋体" w:cs="宋体"/>
          <w:lang w:eastAsia="zh-CN"/>
        </w:rPr>
        <w:t>摘要</w:t>
      </w:r>
      <w:bookmarkEnd w:id="0"/>
    </w:p>
    <w:p w14:paraId="2DECBF5C">
      <w:pPr>
        <w:pStyle w:val="35"/>
        <w:ind w:firstLine="480"/>
        <w:rPr>
          <w:lang w:eastAsia="zh-CN"/>
        </w:rPr>
      </w:pPr>
      <w:r>
        <w:rPr>
          <w:rFonts w:hint="eastAsia" w:eastAsia="仿宋" w:cs="Times New Roman"/>
          <w:lang w:eastAsia="zh-CN"/>
        </w:rPr>
        <w:t>奥林匹克运动会的项目设置直接影响全球体育运动的发展方向。</w:t>
      </w:r>
      <w:r>
        <w:rPr>
          <w:rFonts w:eastAsia="仿宋" w:cs="Times New Roman"/>
          <w:lang w:eastAsia="zh-CN"/>
        </w:rPr>
        <w:t xml:space="preserve"> </w:t>
      </w:r>
      <w:r>
        <w:rPr>
          <w:rFonts w:hint="eastAsia" w:eastAsia="仿宋" w:cs="Times New Roman"/>
          <w:lang w:eastAsia="zh-CN"/>
        </w:rPr>
        <w:t>当前奥运项目的评估主要依赖专家委员会的主观判断，缺乏系统化的定量决策工具。</w:t>
      </w:r>
      <w:r>
        <w:rPr>
          <w:rFonts w:eastAsia="仿宋" w:cs="Times New Roman"/>
          <w:lang w:eastAsia="zh-CN"/>
        </w:rPr>
        <w:t xml:space="preserve"> </w:t>
      </w:r>
      <w:r>
        <w:rPr>
          <w:rFonts w:hint="eastAsia" w:eastAsia="仿宋" w:cs="Times New Roman"/>
          <w:lang w:eastAsia="zh-CN"/>
        </w:rPr>
        <w:t>本研究基于HiMCM</w:t>
      </w:r>
      <w:r>
        <w:rPr>
          <w:rFonts w:eastAsia="仿宋" w:cs="Times New Roman"/>
          <w:lang w:eastAsia="zh-CN"/>
        </w:rPr>
        <w:t xml:space="preserve"> </w:t>
      </w:r>
      <w:r>
        <w:rPr>
          <w:rFonts w:hint="eastAsia" w:eastAsia="仿宋" w:cs="Times New Roman"/>
          <w:lang w:eastAsia="zh-CN"/>
        </w:rPr>
        <w:t>2024大赛提供的76个奥运项目百年历史数据，</w:t>
      </w:r>
      <w:r>
        <w:rPr>
          <w:rFonts w:eastAsia="仿宋" w:cs="Times New Roman"/>
          <w:lang w:eastAsia="zh-CN"/>
        </w:rPr>
        <w:t xml:space="preserve"> </w:t>
      </w:r>
      <w:r>
        <w:rPr>
          <w:rFonts w:hint="eastAsia" w:eastAsia="仿宋" w:cs="Times New Roman"/>
          <w:lang w:eastAsia="zh-CN"/>
        </w:rPr>
        <w:t>结合层次分析法AHP与熵权法EWM，</w:t>
      </w:r>
      <w:r>
        <w:rPr>
          <w:rFonts w:eastAsia="仿宋" w:cs="Times New Roman"/>
          <w:lang w:eastAsia="zh-CN"/>
        </w:rPr>
        <w:t xml:space="preserve"> </w:t>
      </w:r>
      <w:r>
        <w:rPr>
          <w:rFonts w:hint="eastAsia" w:eastAsia="仿宋" w:cs="Times New Roman"/>
          <w:lang w:eastAsia="zh-CN"/>
        </w:rPr>
        <w:t>构建了一种AHP-EWM混合权重评估模型。</w:t>
      </w:r>
      <w:r>
        <w:rPr>
          <w:rFonts w:eastAsia="仿宋" w:cs="Times New Roman"/>
          <w:lang w:eastAsia="zh-CN"/>
        </w:rPr>
        <w:t xml:space="preserve"> </w:t>
      </w:r>
      <w:r>
        <w:rPr>
          <w:rFonts w:hint="eastAsia" w:eastAsia="仿宋" w:cs="Times New Roman"/>
          <w:lang w:eastAsia="zh-CN"/>
        </w:rPr>
        <w:t>同时引入国际单项体育联合会IF会员国数量作为流行度补充间接变量，</w:t>
      </w:r>
      <w:r>
        <w:rPr>
          <w:rFonts w:eastAsia="仿宋" w:cs="Times New Roman"/>
          <w:lang w:eastAsia="zh-CN"/>
        </w:rPr>
        <w:t xml:space="preserve"> </w:t>
      </w:r>
      <w:r>
        <w:rPr>
          <w:rFonts w:hint="eastAsia" w:eastAsia="仿宋" w:cs="Times New Roman"/>
          <w:lang w:eastAsia="zh-CN"/>
        </w:rPr>
        <w:t>以弥补HiMCM数据集中部分运动仅含分项设项记录的局限性。</w:t>
      </w:r>
    </w:p>
    <w:p w14:paraId="6E76061C">
      <w:pPr>
        <w:pStyle w:val="3"/>
        <w:spacing w:before="0" w:after="0"/>
        <w:ind w:firstLine="480"/>
        <w:jc w:val="both"/>
        <w:rPr>
          <w:lang w:eastAsia="zh-CN"/>
        </w:rPr>
      </w:pPr>
      <w:r>
        <w:rPr>
          <w:rFonts w:hint="eastAsia" w:cs="Times New Roman"/>
          <w:lang w:eastAsia="zh-CN"/>
        </w:rPr>
        <w:t>首先，基于国际奥委会的评估标准，</w:t>
      </w:r>
      <w:r>
        <w:rPr>
          <w:rFonts w:cs="Times New Roman"/>
          <w:lang w:eastAsia="zh-CN"/>
        </w:rPr>
        <w:t xml:space="preserve"> </w:t>
      </w:r>
      <w:r>
        <w:rPr>
          <w:rFonts w:hint="eastAsia" w:cs="Times New Roman"/>
          <w:lang w:eastAsia="zh-CN"/>
        </w:rPr>
        <w:t>建立了包含流行度、性别平等、可持续性、包容性、创新性、安全性的六维评价指标体系，</w:t>
      </w:r>
      <w:r>
        <w:rPr>
          <w:rFonts w:cs="Times New Roman"/>
          <w:lang w:eastAsia="zh-CN"/>
        </w:rPr>
        <w:t xml:space="preserve"> </w:t>
      </w:r>
      <w:r>
        <w:rPr>
          <w:rFonts w:hint="eastAsia" w:cs="Times New Roman"/>
          <w:lang w:eastAsia="zh-CN"/>
        </w:rPr>
        <w:t>每个维度下设若干可量化的子指标，形成两层指标结构。</w:t>
      </w:r>
      <w:r>
        <w:rPr>
          <w:rFonts w:cs="Times New Roman"/>
          <w:lang w:eastAsia="zh-CN"/>
        </w:rPr>
        <w:t xml:space="preserve"> </w:t>
      </w:r>
      <w:r>
        <w:rPr>
          <w:rFonts w:hint="eastAsia" w:cs="Times New Roman"/>
          <w:lang w:eastAsia="zh-CN"/>
        </w:rPr>
        <w:t>其次，通过AHP构建五位专家的综合判断矩阵计算主观权重，</w:t>
      </w:r>
      <w:r>
        <w:rPr>
          <w:rFonts w:cs="Times New Roman"/>
          <w:lang w:eastAsia="zh-CN"/>
        </w:rPr>
        <w:t xml:space="preserve"> </w:t>
      </w:r>
      <w:r>
        <w:rPr>
          <w:rFonts w:hint="eastAsia" w:cs="Times New Roman"/>
          <w:lang w:eastAsia="zh-CN"/>
        </w:rPr>
        <w:t>利用EWM从12个代表性项目的六维评分数据中提取客观权重，</w:t>
      </w:r>
      <w:r>
        <w:rPr>
          <w:rFonts w:cs="Times New Roman"/>
          <w:lang w:eastAsia="zh-CN"/>
        </w:rPr>
        <w:t xml:space="preserve"> </w:t>
      </w:r>
      <w:r>
        <w:rPr>
          <w:rFonts w:hint="eastAsia" w:cs="Times New Roman"/>
          <w:lang w:eastAsia="zh-CN"/>
        </w:rPr>
        <w:t>并讨论了EWM权重对样本构成依赖性的方法学特征。</w:t>
      </w:r>
      <w:r>
        <w:rPr>
          <w:rFonts w:cs="Times New Roman"/>
          <w:lang w:eastAsia="zh-CN"/>
        </w:rPr>
        <w:t xml:space="preserve"> </w:t>
      </w:r>
      <w:r>
        <w:rPr>
          <w:rFonts w:hint="eastAsia" w:cs="Times New Roman"/>
          <w:lang w:eastAsia="zh-CN"/>
        </w:rPr>
        <w:t>然后，采用线性加权方式组合主客观权重，</w:t>
      </w:r>
      <w:r>
        <w:rPr>
          <w:rFonts w:cs="Times New Roman"/>
          <w:lang w:eastAsia="zh-CN"/>
        </w:rPr>
        <w:t xml:space="preserve"> </w:t>
      </w:r>
      <w:r>
        <w:rPr>
          <w:rFonts w:hint="eastAsia" w:cs="Times New Roman"/>
          <w:lang w:eastAsia="zh-CN"/>
        </w:rPr>
        <w:t>以组合系数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得到综合两种信息来源的混合权重。</w:t>
      </w:r>
    </w:p>
    <w:p w14:paraId="40D54A45">
      <w:pPr>
        <w:pStyle w:val="3"/>
        <w:spacing w:before="0" w:after="0"/>
        <w:ind w:firstLine="480"/>
        <w:jc w:val="both"/>
        <w:rPr>
          <w:lang w:eastAsia="zh-CN"/>
        </w:rPr>
      </w:pPr>
      <w:r>
        <w:rPr>
          <w:rFonts w:hint="eastAsia" w:cs="Times New Roman"/>
          <w:lang w:eastAsia="zh-CN"/>
        </w:rPr>
        <w:t>在实证验证方面，</w:t>
      </w:r>
      <w:r>
        <w:rPr>
          <w:rFonts w:cs="Times New Roman"/>
          <w:lang w:eastAsia="zh-CN"/>
        </w:rPr>
        <w:t xml:space="preserve"> </w:t>
      </w:r>
      <w:r>
        <w:rPr>
          <w:rFonts w:hint="eastAsia" w:cs="Times New Roman"/>
          <w:lang w:eastAsia="zh-CN"/>
        </w:rPr>
        <w:t>利用HiMCM历史数据及IOC官方报告、PubMed受伤率文献等外部资料，</w:t>
      </w:r>
      <w:r>
        <w:rPr>
          <w:rFonts w:cs="Times New Roman"/>
          <w:lang w:eastAsia="zh-CN"/>
        </w:rPr>
        <w:t xml:space="preserve"> </w:t>
      </w:r>
      <w:r>
        <w:rPr>
          <w:rFonts w:hint="eastAsia" w:cs="Times New Roman"/>
          <w:lang w:eastAsia="zh-CN"/>
        </w:rPr>
        <w:t>对涵盖核心、新增、候选、已移除四种类型的12个代表性项目进行了综合评分与排名。</w:t>
      </w:r>
      <w:r>
        <w:rPr>
          <w:rFonts w:cs="Times New Roman"/>
          <w:lang w:eastAsia="zh-CN"/>
        </w:rPr>
        <w:t xml:space="preserve"> </w:t>
      </w:r>
      <w:r>
        <w:rPr>
          <w:rFonts w:hint="eastAsia" w:cs="Times New Roman"/>
          <w:lang w:eastAsia="zh-CN"/>
        </w:rPr>
        <w:t>结果表明，田径以0.748分位列第一，电子竞技以0.743分紧随其后，</w:t>
      </w:r>
      <w:r>
        <w:rPr>
          <w:rFonts w:cs="Times New Roman"/>
          <w:lang w:eastAsia="zh-CN"/>
        </w:rPr>
        <w:t xml:space="preserve"> </w:t>
      </w:r>
      <w:r>
        <w:rPr>
          <w:rFonts w:hint="eastAsia" w:cs="Times New Roman"/>
          <w:lang w:eastAsia="zh-CN"/>
        </w:rPr>
        <w:t>传统核心项目整体排名靠前，已移除项目排名靠后，</w:t>
      </w:r>
      <w:r>
        <w:rPr>
          <w:rFonts w:cs="Times New Roman"/>
          <w:lang w:eastAsia="zh-CN"/>
        </w:rPr>
        <w:t xml:space="preserve"> </w:t>
      </w:r>
      <w:r>
        <w:rPr>
          <w:rFonts w:hint="eastAsia" w:cs="Times New Roman"/>
          <w:lang w:eastAsia="zh-CN"/>
        </w:rPr>
        <w:t>与实际奥运决策高度一致。</w:t>
      </w:r>
      <w:r>
        <w:rPr>
          <w:rFonts w:cs="Times New Roman"/>
          <w:lang w:eastAsia="zh-CN"/>
        </w:rPr>
        <w:t xml:space="preserve"> </w:t>
      </w:r>
      <w:r>
        <w:rPr>
          <w:rFonts w:hint="eastAsia" w:cs="Times New Roman"/>
          <w:lang w:eastAsia="zh-CN"/>
        </w:rPr>
        <w:t>对比分析显示，</w:t>
      </w:r>
      <w:r>
        <w:rPr>
          <w:rFonts w:ascii="Cambria Math" w:hAnsi="Cambria Math"/>
          <w:i/>
          <w:lang w:eastAsia="zh-CN"/>
        </w:rPr>
        <w:t xml:space="preserve"> </w:t>
      </w:r>
      <m:oMath>
        <m:r>
          <m:rPr/>
          <w:rPr>
            <w:rFonts w:ascii="Cambria Math" w:hAnsi="Cambria Math"/>
            <w:lang w:eastAsia="zh-CN"/>
          </w:rPr>
          <m:t>α=1</m:t>
        </m:r>
      </m:oMath>
      <w:r>
        <w:rPr>
          <w:rFonts w:hint="eastAsia" w:ascii="Cambria Math" w:hAnsi="Cambria Math"/>
          <w:i/>
          <w:lang w:eastAsia="zh-CN"/>
        </w:rPr>
        <w:t>时即</w:t>
      </w:r>
      <w:r>
        <w:rPr>
          <w:rFonts w:hint="eastAsia" w:cs="Times New Roman"/>
          <w:lang w:eastAsia="zh-CN"/>
        </w:rPr>
        <w:t>纯AHP方法过度依赖流行度，</w:t>
      </w:r>
      <w:r>
        <w:rPr>
          <w:rFonts w:cs="Times New Roman"/>
          <w:lang w:eastAsia="zh-CN"/>
        </w:rPr>
        <w:t xml:space="preserve"> </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m:t>
        </m:r>
      </m:oMath>
      <w:r>
        <w:rPr>
          <w:rFonts w:hint="eastAsia" w:cs="Times New Roman"/>
          <w:lang w:eastAsia="zh-CN"/>
        </w:rPr>
        <w:t>纯时即EWM方法赋予可持续性最高权重为0.272，</w:t>
      </w:r>
      <w:r>
        <w:rPr>
          <w:rFonts w:cs="Times New Roman"/>
          <w:lang w:eastAsia="zh-CN"/>
        </w:rPr>
        <w:t xml:space="preserve"> </w:t>
      </w:r>
      <w:r>
        <w:rPr>
          <w:rFonts w:hint="eastAsia" w:cs="Times New Roman"/>
          <w:lang w:eastAsia="zh-CN"/>
        </w:rPr>
        <w:t xml:space="preserve">而混合权重即 </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 xml:space="preserve"> 有效综合了两者优势，</w:t>
      </w:r>
      <w:r>
        <w:rPr>
          <w:rFonts w:cs="Times New Roman"/>
          <w:lang w:eastAsia="zh-CN"/>
        </w:rPr>
        <w:t xml:space="preserve"> </w:t>
      </w:r>
      <w:r>
        <w:rPr>
          <w:rFonts w:hint="eastAsia" w:cs="Times New Roman"/>
          <w:lang w:eastAsia="zh-CN"/>
        </w:rPr>
        <w:t>权重分布更为平衡合理。</w:t>
      </w:r>
      <w:r>
        <w:rPr>
          <w:rFonts w:cs="Times New Roman"/>
          <w:lang w:eastAsia="zh-CN"/>
        </w:rPr>
        <w:t xml:space="preserve"> </w:t>
      </w:r>
      <w:r>
        <w:rPr>
          <w:rFonts w:hint="eastAsia" w:cs="Times New Roman"/>
          <w:lang w:eastAsia="zh-CN"/>
        </w:rPr>
        <w:t xml:space="preserve">灵敏度分析验证了 </w:t>
      </w:r>
      <m:oMath>
        <m:r>
          <m:rPr/>
          <w:rPr>
            <w:rFonts w:ascii="Cambria Math" w:hAnsi="Cambria Math"/>
            <w:lang w:eastAsia="zh-CN"/>
          </w:rPr>
          <m:t>α</m:t>
        </m:r>
      </m:oMath>
      <w:r>
        <w:rPr>
          <w:rFonts w:hint="eastAsia" w:cs="Times New Roman"/>
          <w:lang w:eastAsia="zh-CN"/>
        </w:rPr>
        <w:t xml:space="preserve"> 在 </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r>
          <m:rPr/>
          <w:rPr>
            <w:rFonts w:ascii="Cambria Math" w:hAnsi="Cambria Math"/>
            <w:lang w:eastAsia="zh-CN"/>
          </w:rPr>
          <m:t xml:space="preserve"> </m:t>
        </m:r>
      </m:oMath>
      <w:r>
        <w:rPr>
          <w:rFonts w:hint="eastAsia" w:cs="Times New Roman"/>
          <w:lang w:eastAsia="zh-CN"/>
        </w:rPr>
        <w:t>区间内排名结果保持稳定。</w:t>
      </w:r>
    </w:p>
    <w:p w14:paraId="518F1AB2">
      <w:pPr>
        <w:pStyle w:val="3"/>
        <w:spacing w:before="0" w:after="0"/>
        <w:ind w:firstLine="480"/>
        <w:jc w:val="both"/>
        <w:rPr>
          <w:lang w:eastAsia="zh-CN"/>
        </w:rPr>
      </w:pPr>
      <w:r>
        <w:rPr>
          <w:rFonts w:hint="eastAsia" w:cs="Times New Roman"/>
          <w:lang w:eastAsia="zh-CN"/>
        </w:rPr>
        <w:t>基于验证后的模型，</w:t>
      </w:r>
      <w:r>
        <w:rPr>
          <w:rFonts w:cs="Times New Roman"/>
          <w:lang w:eastAsia="zh-CN"/>
        </w:rPr>
        <w:t xml:space="preserve"> </w:t>
      </w:r>
      <w:r>
        <w:rPr>
          <w:rFonts w:hint="eastAsia" w:cs="Times New Roman"/>
          <w:lang w:eastAsia="zh-CN"/>
        </w:rPr>
        <w:t>对2032年布里斯班奥运会的潜在新增项目进行了预测分析。</w:t>
      </w:r>
      <w:r>
        <w:rPr>
          <w:rFonts w:cs="Times New Roman"/>
          <w:lang w:eastAsia="zh-CN"/>
        </w:rPr>
        <w:t xml:space="preserve"> </w:t>
      </w:r>
      <w:r>
        <w:rPr>
          <w:rFonts w:hint="eastAsia" w:cs="Times New Roman"/>
          <w:lang w:eastAsia="zh-CN"/>
        </w:rPr>
        <w:t>模型推荐电子竞技（0.743）、板球和匹克球作为重点候选项目，</w:t>
      </w:r>
      <w:r>
        <w:rPr>
          <w:rFonts w:cs="Times New Roman"/>
          <w:lang w:eastAsia="zh-CN"/>
        </w:rPr>
        <w:t xml:space="preserve"> </w:t>
      </w:r>
      <w:r>
        <w:rPr>
          <w:rFonts w:hint="eastAsia" w:cs="Times New Roman"/>
          <w:lang w:eastAsia="zh-CN"/>
        </w:rPr>
        <w:t>其中电子竞技在流行度和创新性方面具有突出优势。</w:t>
      </w:r>
    </w:p>
    <w:p w14:paraId="7A001280">
      <w:pPr>
        <w:pStyle w:val="3"/>
        <w:spacing w:before="0" w:after="0"/>
        <w:ind w:firstLine="480"/>
        <w:jc w:val="both"/>
        <w:rPr>
          <w:rFonts w:cs="Times New Roman"/>
          <w:lang w:eastAsia="zh-CN"/>
        </w:rPr>
      </w:pPr>
      <w:r>
        <w:rPr>
          <w:rFonts w:hint="eastAsia" w:cs="Times New Roman"/>
          <w:lang w:eastAsia="zh-CN"/>
        </w:rPr>
        <w:t>本研究将多准则决策方法应用于奥运项目评估领域，</w:t>
      </w:r>
      <w:r>
        <w:rPr>
          <w:rFonts w:cs="Times New Roman"/>
          <w:lang w:eastAsia="zh-CN"/>
        </w:rPr>
        <w:t xml:space="preserve"> </w:t>
      </w:r>
      <w:r>
        <w:rPr>
          <w:rFonts w:hint="eastAsia" w:cs="Times New Roman"/>
          <w:lang w:eastAsia="zh-CN"/>
        </w:rPr>
        <w:t>提供了一个可量化、可复现的评估框架。</w:t>
      </w:r>
      <w:r>
        <w:rPr>
          <w:rFonts w:cs="Times New Roman"/>
          <w:lang w:eastAsia="zh-CN"/>
        </w:rPr>
        <w:t xml:space="preserve"> </w:t>
      </w:r>
      <w:r>
        <w:rPr>
          <w:rFonts w:hint="eastAsia" w:cs="Times New Roman"/>
          <w:lang w:eastAsia="zh-CN"/>
        </w:rPr>
        <w:t>结果表明混合权重模型能够综合主客观信息，</w:t>
      </w:r>
      <w:r>
        <w:rPr>
          <w:rFonts w:cs="Times New Roman"/>
          <w:lang w:eastAsia="zh-CN"/>
        </w:rPr>
        <w:t xml:space="preserve"> </w:t>
      </w:r>
      <w:r>
        <w:rPr>
          <w:rFonts w:hint="eastAsia" w:cs="Times New Roman"/>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时排名结果稳定，</w:t>
      </w:r>
      <w:r>
        <w:rPr>
          <w:rFonts w:cs="Times New Roman"/>
          <w:lang w:eastAsia="zh-CN"/>
        </w:rPr>
        <w:t xml:space="preserve"> </w:t>
      </w:r>
      <w:r>
        <w:rPr>
          <w:rFonts w:hint="eastAsia" w:cs="Times New Roman"/>
          <w:lang w:eastAsia="zh-CN"/>
        </w:rPr>
        <w:t>可为国际奥委会的项目筛选决策提供科学参考。</w:t>
      </w:r>
    </w:p>
    <w:p w14:paraId="75523559">
      <w:pPr>
        <w:pStyle w:val="3"/>
        <w:spacing w:before="0" w:after="0"/>
        <w:ind w:firstLine="480"/>
        <w:jc w:val="both"/>
        <w:rPr>
          <w:rFonts w:cs="Times New Roman"/>
          <w:lang w:eastAsia="zh-CN"/>
        </w:rPr>
      </w:pPr>
    </w:p>
    <w:p w14:paraId="6FD2B1A8">
      <w:pPr>
        <w:pStyle w:val="35"/>
        <w:ind w:firstLine="482"/>
        <w:rPr>
          <w:rFonts w:cs="Times New Roman"/>
          <w:lang w:eastAsia="zh-CN"/>
        </w:rPr>
      </w:pPr>
      <w:r>
        <w:rPr>
          <w:rFonts w:hint="eastAsia" w:cs="Times New Roman"/>
          <w:b/>
          <w:bCs/>
          <w:lang w:eastAsia="zh-CN"/>
        </w:rPr>
        <w:t>关键词</w:t>
      </w:r>
      <w:r>
        <w:rPr>
          <w:rFonts w:hint="eastAsia" w:cs="Times New Roman"/>
          <w:lang w:eastAsia="zh-CN"/>
        </w:rPr>
        <w:t>：</w:t>
      </w:r>
      <w:r>
        <w:rPr>
          <w:rFonts w:hint="eastAsia" w:eastAsia="仿宋" w:cs="Times New Roman"/>
          <w:lang w:eastAsia="zh-CN"/>
        </w:rPr>
        <w:t>AHP-EWM混合权重；奥运项目评估；多准则决策；六维指标体系；EWM（熵权法）</w:t>
      </w:r>
      <w:r>
        <w:rPr>
          <w:rFonts w:eastAsia="仿宋" w:cs="Times New Roman"/>
          <w:lang w:eastAsia="zh-CN"/>
        </w:rPr>
        <w:t xml:space="preserve"> </w:t>
      </w:r>
    </w:p>
    <w:p w14:paraId="00F66F4C">
      <w:pPr>
        <w:pStyle w:val="40"/>
        <w:rPr>
          <w:lang w:eastAsia="zh-CN"/>
        </w:rPr>
      </w:pPr>
      <w:r>
        <w:rPr>
          <w:lang w:eastAsia="zh-CN"/>
        </w:rPr>
        <w:br w:type="page"/>
      </w:r>
      <w:bookmarkStart w:id="1" w:name="_Toc229523225"/>
      <w:r>
        <w:rPr>
          <w:rFonts w:hint="eastAsia"/>
          <w:lang w:eastAsia="zh-CN"/>
        </w:rPr>
        <w:t>Abstract</w:t>
      </w:r>
      <w:bookmarkEnd w:id="1"/>
    </w:p>
    <w:p w14:paraId="0918746E">
      <w:pPr>
        <w:pStyle w:val="3"/>
        <w:spacing w:before="0" w:after="0"/>
        <w:ind w:firstLine="480"/>
        <w:jc w:val="both"/>
      </w:pPr>
      <w:r>
        <w:rPr>
          <w:rFonts w:cs="Times New Roman"/>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0A374DD2">
      <w:pPr>
        <w:pStyle w:val="3"/>
        <w:spacing w:before="0" w:after="0"/>
        <w:ind w:firstLine="480"/>
        <w:jc w:val="both"/>
      </w:pPr>
      <w:r>
        <w:rPr>
          <w:rFonts w:cs="Times New Roman"/>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to produce the hybrid weights.</w:t>
      </w:r>
    </w:p>
    <w:p w14:paraId="06B13690">
      <w:pPr>
        <w:pStyle w:val="3"/>
        <w:spacing w:before="0" w:after="0"/>
        <w:ind w:firstLine="480"/>
        <w:jc w:val="both"/>
      </w:pPr>
      <w:r>
        <w:rPr>
          <w:rFonts w:cs="Times New Roman"/>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w:rPr>
            <w:rFonts w:ascii="Cambria Math" w:hAnsi="Cambria Math"/>
          </w:rPr>
          <m:t>α</m:t>
        </m:r>
        <m:r>
          <m:rPr>
            <m:sty m:val="p"/>
          </m:rPr>
          <w:rPr>
            <w:rFonts w:ascii="Cambria Math" w:hAnsi="Cambria Math"/>
          </w:rPr>
          <m:t>=</m:t>
        </m:r>
        <m:r>
          <m:rPr/>
          <w:rPr>
            <w:rFonts w:ascii="Cambria Math" w:hAnsi="Cambria Math"/>
          </w:rPr>
          <m:t>1</m:t>
        </m:r>
      </m:oMath>
      <w:r>
        <w:rPr>
          <w:rFonts w:cs="Times New Roman"/>
        </w:rPr>
        <w:t>) overemphasizes popularity, pure EWM (</w:t>
      </w:r>
      <m:oMath>
        <m:r>
          <m:rPr/>
          <w:rPr>
            <w:rFonts w:ascii="Cambria Math" w:hAnsi="Cambria Math"/>
          </w:rPr>
          <m:t>α</m:t>
        </m:r>
        <m:r>
          <m:rPr>
            <m:sty m:val="p"/>
          </m:rPr>
          <w:rPr>
            <w:rFonts w:ascii="Cambria Math" w:hAnsi="Cambria Math"/>
          </w:rPr>
          <m:t>=</m:t>
        </m:r>
        <m:r>
          <m:rPr/>
          <w:rPr>
            <w:rFonts w:ascii="Cambria Math" w:hAnsi="Cambria Math"/>
          </w:rPr>
          <m:t>0</m:t>
        </m:r>
      </m:oMath>
      <w:r>
        <w:rPr>
          <w:rFonts w:cs="Times New Roman"/>
        </w:rPr>
        <w:t>) assigns the highest weight to sustainability (0.272), while the hybrid model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achieves a balanced weight distribution. Sensitivity analysis confirms stable rankings within </w:t>
      </w:r>
      <m:oMath>
        <m:r>
          <m:rPr/>
          <w:rPr>
            <w:rFonts w:ascii="Cambria Math" w:hAnsi="Cambria Math"/>
          </w:rPr>
          <m:t>α</m:t>
        </m:r>
        <m:r>
          <m:rPr>
            <m:sty m:val="p"/>
          </m:rPr>
          <w:rPr>
            <w:rFonts w:ascii="Cambria Math" w:hAnsi="Cambria Math"/>
          </w:rPr>
          <m:t>∈</m:t>
        </m:r>
        <m:d>
          <m:dPr>
            <m:begChr m:val="["/>
            <m:endChr m:val="]"/>
            <m:ctrlPr>
              <w:rPr>
                <w:rFonts w:ascii="Cambria Math" w:hAnsi="Cambria Math"/>
              </w:rPr>
            </m:ctrlPr>
          </m:dPr>
          <m:e>
            <m:r>
              <m:rPr/>
              <w:rPr>
                <w:rFonts w:ascii="Cambria Math" w:hAnsi="Cambria Math"/>
              </w:rPr>
              <m:t>0.4</m:t>
            </m:r>
            <m:r>
              <m:rPr>
                <m:sty m:val="p"/>
              </m:rPr>
              <w:rPr>
                <w:rFonts w:ascii="Cambria Math" w:hAnsi="Cambria Math"/>
              </w:rPr>
              <m:t>,</m:t>
            </m:r>
            <m:r>
              <m:rPr/>
              <w:rPr>
                <w:rFonts w:ascii="Cambria Math" w:hAnsi="Cambria Math"/>
              </w:rPr>
              <m:t>0.6</m:t>
            </m:r>
            <m:ctrlPr>
              <w:rPr>
                <w:rFonts w:ascii="Cambria Math" w:hAnsi="Cambria Math"/>
              </w:rPr>
            </m:ctrlPr>
          </m:e>
        </m:d>
      </m:oMath>
      <w:r>
        <w:rPr>
          <w:rFonts w:cs="Times New Roman"/>
        </w:rPr>
        <w:t>.</w:t>
      </w:r>
    </w:p>
    <w:p w14:paraId="5786F629">
      <w:pPr>
        <w:pStyle w:val="3"/>
        <w:spacing w:before="0" w:after="0"/>
        <w:ind w:firstLine="480"/>
        <w:jc w:val="both"/>
      </w:pPr>
      <w:r>
        <w:rPr>
          <w:rFonts w:cs="Times New Roman"/>
        </w:rPr>
        <w:t>The validated model is applied to predict potential new sports for the 2032 Brisbane Olympics, recommending esports (0.743), cricket, and pickleball as top candidates.</w:t>
      </w:r>
    </w:p>
    <w:p w14:paraId="6F9E5BCB">
      <w:pPr>
        <w:pStyle w:val="3"/>
        <w:spacing w:before="0" w:after="0"/>
        <w:ind w:firstLine="480"/>
        <w:jc w:val="both"/>
        <w:rPr>
          <w:rFonts w:cs="Times New Roman"/>
        </w:rPr>
      </w:pPr>
      <w:r>
        <w:rPr>
          <w:rFonts w:cs="Times New Roman"/>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offering scientific support for IOC decision-making.</w:t>
      </w:r>
    </w:p>
    <w:p w14:paraId="449C0551">
      <w:pPr>
        <w:pStyle w:val="3"/>
        <w:spacing w:before="0" w:after="0"/>
        <w:ind w:firstLine="480"/>
        <w:jc w:val="both"/>
      </w:pPr>
    </w:p>
    <w:p w14:paraId="29347BA0">
      <w:pPr>
        <w:pStyle w:val="3"/>
        <w:spacing w:before="0" w:after="0"/>
        <w:ind w:firstLine="480"/>
        <w:jc w:val="both"/>
        <w:rPr>
          <w:rFonts w:cs="Times New Roman"/>
        </w:rPr>
      </w:pPr>
      <w:r>
        <w:rPr>
          <w:rFonts w:cs="Times New Roman"/>
        </w:rPr>
        <w:t xml:space="preserve">AHP-EWM hybrid weight; Olympic event evaluation; multi-criteria decision making; six-dimensional indicator system; entropy weight method </w:t>
      </w:r>
    </w:p>
    <w:p w14:paraId="2ADA760E">
      <w:pPr>
        <w:pStyle w:val="3"/>
        <w:rPr>
          <w:rStyle w:val="62"/>
          <w:rFonts w:eastAsia="黑体" w:cs="Times New Roman"/>
          <w:szCs w:val="32"/>
          <w:lang w:eastAsia="zh-CN"/>
        </w:rPr>
        <w:sectPr>
          <w:footerReference r:id="rId7" w:type="even"/>
          <w:footnotePr>
            <w:numRestart w:val="eachSect"/>
          </w:footnotePr>
          <w:pgSz w:w="12240" w:h="15840"/>
          <w:pgMar w:top="1440" w:right="1800" w:bottom="1440" w:left="1800" w:header="720" w:footer="720" w:gutter="0"/>
          <w:cols w:space="720" w:num="1"/>
          <w:titlePg/>
          <w:docGrid w:linePitch="326" w:charSpace="0"/>
        </w:sectPr>
      </w:pPr>
      <w:bookmarkStart w:id="2" w:name="_Toc229523226"/>
      <w:bookmarkStart w:id="3" w:name="绪论"/>
    </w:p>
    <w:p w14:paraId="5D776CC9">
      <w:pPr>
        <w:pStyle w:val="2"/>
        <w:rPr>
          <w:lang w:eastAsia="zh-CN"/>
        </w:rPr>
      </w:pPr>
      <w:r>
        <w:rPr>
          <w:rStyle w:val="62"/>
          <w:rFonts w:eastAsia="黑体" w:asciiTheme="majorHAnsi" w:hAnsiTheme="majorHAnsi"/>
          <w:sz w:val="32"/>
          <w:szCs w:val="40"/>
          <w:lang w:eastAsia="zh-CN"/>
        </w:rPr>
        <w:t>第一章</w:t>
      </w:r>
      <w:r>
        <w:rPr>
          <w:rFonts w:hint="eastAsia"/>
          <w:lang w:eastAsia="zh-CN"/>
        </w:rPr>
        <w:t xml:space="preserve">    </w:t>
      </w:r>
      <w:r>
        <w:rPr>
          <w:lang w:eastAsia="zh-CN"/>
        </w:rPr>
        <w:t>绪论</w:t>
      </w:r>
      <w:bookmarkEnd w:id="2"/>
    </w:p>
    <w:bookmarkEnd w:id="3"/>
    <w:p w14:paraId="499535AF">
      <w:pPr>
        <w:pStyle w:val="4"/>
        <w:rPr>
          <w:rFonts w:hint="eastAsia"/>
          <w:lang w:eastAsia="zh-CN"/>
        </w:rPr>
      </w:pPr>
      <w:bookmarkStart w:id="4" w:name="_Toc229523227"/>
      <w:bookmarkStart w:id="5" w:name="研究背景"/>
      <w:r>
        <w:rPr>
          <w:rStyle w:val="62"/>
          <w:rFonts w:ascii="黑体" w:hAnsi="黑体" w:eastAsia="黑体"/>
          <w:sz w:val="28"/>
          <w:szCs w:val="28"/>
          <w:lang w:eastAsia="zh-CN"/>
        </w:rPr>
        <w:t>1.1</w:t>
      </w:r>
      <w:r>
        <w:rPr>
          <w:rStyle w:val="62"/>
          <w:rFonts w:hint="eastAsia" w:ascii="黑体" w:hAnsi="黑体" w:eastAsia="黑体"/>
          <w:sz w:val="28"/>
          <w:szCs w:val="28"/>
          <w:lang w:eastAsia="zh-CN"/>
        </w:rPr>
        <w:t xml:space="preserve">  </w:t>
      </w:r>
      <w:r>
        <w:rPr>
          <w:lang w:eastAsia="zh-CN"/>
        </w:rPr>
        <w:t>研究背景</w:t>
      </w:r>
      <w:bookmarkEnd w:id="4"/>
    </w:p>
    <w:p w14:paraId="7C394C2B">
      <w:pPr>
        <w:pStyle w:val="35"/>
        <w:ind w:firstLine="480"/>
        <w:rPr>
          <w:lang w:eastAsia="zh-CN"/>
        </w:rPr>
      </w:pPr>
      <w:r>
        <w:rPr>
          <w:rFonts w:hint="eastAsia"/>
          <w:lang w:eastAsia="zh-CN"/>
        </w:rPr>
        <w:t>奥林匹克运动会作为全球最具影响力的体育赛事，</w:t>
      </w:r>
      <w:r>
        <w:rPr>
          <w:lang w:eastAsia="zh-CN"/>
        </w:rPr>
        <w:t xml:space="preserve"> </w:t>
      </w:r>
      <w:r>
        <w:rPr>
          <w:rFonts w:hint="eastAsia"/>
          <w:lang w:eastAsia="zh-CN"/>
        </w:rPr>
        <w:t>其项目设置不仅关系到竞技层面的公平性，</w:t>
      </w:r>
      <w:r>
        <w:rPr>
          <w:lang w:eastAsia="zh-CN"/>
        </w:rPr>
        <w:t xml:space="preserve"> </w:t>
      </w:r>
      <w:r>
        <w:rPr>
          <w:rFonts w:hint="eastAsia"/>
          <w:lang w:eastAsia="zh-CN"/>
        </w:rPr>
        <w:t>也影响着全球体育运动的整体发展方向</w:t>
      </w:r>
      <w:r>
        <w:rPr>
          <w:vertAlign w:val="superscript"/>
          <w:lang w:eastAsia="zh-CN"/>
        </w:rPr>
        <w:t>[1]</w:t>
      </w:r>
      <w:r>
        <w:rPr>
          <w:lang w:eastAsia="zh-CN"/>
        </w:rPr>
        <w:t xml:space="preserve">。 </w:t>
      </w:r>
      <w:r>
        <w:rPr>
          <w:rFonts w:hint="eastAsia"/>
          <w:lang w:eastAsia="zh-CN"/>
        </w:rPr>
        <w:t>近年来奥运项目的调整十分频繁。</w:t>
      </w:r>
      <w:r>
        <w:rPr>
          <w:lang w:eastAsia="zh-CN"/>
        </w:rPr>
        <w:t xml:space="preserve"> </w:t>
      </w:r>
      <w:r>
        <w:rPr>
          <w:rFonts w:hint="eastAsia"/>
          <w:lang w:eastAsia="zh-CN"/>
        </w:rPr>
        <w:t>2020年东京奥运会新增了攀岩、</w:t>
      </w:r>
      <w:r>
        <w:rPr>
          <w:lang w:eastAsia="zh-CN"/>
        </w:rPr>
        <w:t xml:space="preserve"> </w:t>
      </w:r>
      <w:r>
        <w:rPr>
          <w:rFonts w:hint="eastAsia"/>
          <w:lang w:eastAsia="zh-CN"/>
        </w:rPr>
        <w:t>冲浪、</w:t>
      </w:r>
      <w:r>
        <w:rPr>
          <w:lang w:eastAsia="zh-CN"/>
        </w:rPr>
        <w:t xml:space="preserve"> </w:t>
      </w:r>
      <w:r>
        <w:rPr>
          <w:rFonts w:hint="eastAsia"/>
          <w:lang w:eastAsia="zh-CN"/>
        </w:rPr>
        <w:t>滑板，</w:t>
      </w:r>
      <w:r>
        <w:rPr>
          <w:lang w:eastAsia="zh-CN"/>
        </w:rPr>
        <w:t xml:space="preserve"> </w:t>
      </w:r>
      <w:r>
        <w:rPr>
          <w:rFonts w:hint="eastAsia"/>
          <w:lang w:eastAsia="zh-CN"/>
        </w:rPr>
        <w:t>2024年巴黎奥运会引入了霹雳舞，</w:t>
      </w:r>
      <w:r>
        <w:rPr>
          <w:lang w:eastAsia="zh-CN"/>
        </w:rPr>
        <w:t xml:space="preserve"> </w:t>
      </w:r>
      <w:r>
        <w:rPr>
          <w:rFonts w:hint="eastAsia"/>
          <w:lang w:eastAsia="zh-CN"/>
        </w:rPr>
        <w:t>2028年洛杉矶奥运会也计划加入板球和腰旗橄榄球。</w:t>
      </w:r>
      <w:r>
        <w:rPr>
          <w:lang w:eastAsia="zh-CN"/>
        </w:rPr>
        <w:t xml:space="preserve"> </w:t>
      </w:r>
      <w:r>
        <w:rPr>
          <w:rFonts w:hint="eastAsia"/>
          <w:lang w:eastAsia="zh-CN"/>
        </w:rPr>
        <w:t>与此同时，空手道在2020年首次亮相后，到2024年就被排除出了赛程。</w:t>
      </w:r>
      <w:r>
        <w:rPr>
          <w:lang w:eastAsia="zh-CN"/>
        </w:rPr>
        <w:t xml:space="preserve"> </w:t>
      </w:r>
      <w:r>
        <w:rPr>
          <w:rFonts w:hint="eastAsia"/>
          <w:lang w:eastAsia="zh-CN"/>
        </w:rPr>
        <w:t>棒球和垒球也经历了反复进出，2008年被移除，2020年又得以回归。</w:t>
      </w:r>
      <w:r>
        <w:rPr>
          <w:lang w:eastAsia="zh-CN"/>
        </w:rPr>
        <w:t xml:space="preserve"> </w:t>
      </w:r>
      <w:r>
        <w:rPr>
          <w:rFonts w:hint="eastAsia"/>
          <w:lang w:eastAsia="zh-CN"/>
        </w:rPr>
        <w:t>这些变动反映出国际奥委会正在传统与创新之间寻找平衡点。</w:t>
      </w:r>
    </w:p>
    <w:p w14:paraId="3D2C0668">
      <w:pPr>
        <w:pStyle w:val="35"/>
        <w:ind w:firstLine="480"/>
        <w:rPr>
          <w:lang w:eastAsia="zh-CN"/>
        </w:rPr>
      </w:pPr>
      <w:r>
        <w:rPr>
          <w:rFonts w:hint="eastAsia"/>
          <w:lang w:eastAsia="zh-CN"/>
        </w:rPr>
        <w:t>国际奥委会在《奥林匹克2020+5议程》中提出了15项改革建议</w:t>
      </w:r>
      <w:r>
        <w:rPr>
          <w:vertAlign w:val="superscript"/>
          <w:lang w:eastAsia="zh-CN"/>
        </w:rPr>
        <w:t>[2]</w:t>
      </w:r>
      <w:r>
        <w:rPr>
          <w:rFonts w:hint="eastAsia"/>
          <w:lang w:eastAsia="zh-CN"/>
        </w:rPr>
        <w:t>，</w:t>
      </w:r>
      <w:r>
        <w:rPr>
          <w:lang w:eastAsia="zh-CN"/>
        </w:rPr>
        <w:t xml:space="preserve"> </w:t>
      </w:r>
      <w:r>
        <w:rPr>
          <w:rFonts w:hint="eastAsia"/>
          <w:lang w:eastAsia="zh-CN"/>
        </w:rPr>
        <w:t>包括增强奥运独特性、</w:t>
      </w:r>
      <w:r>
        <w:rPr>
          <w:lang w:eastAsia="zh-CN"/>
        </w:rPr>
        <w:t xml:space="preserve"> </w:t>
      </w:r>
      <w:r>
        <w:rPr>
          <w:rFonts w:hint="eastAsia"/>
          <w:lang w:eastAsia="zh-CN"/>
        </w:rPr>
        <w:t>促进可持续发展、</w:t>
      </w:r>
      <w:r>
        <w:rPr>
          <w:lang w:eastAsia="zh-CN"/>
        </w:rPr>
        <w:t xml:space="preserve"> </w:t>
      </w:r>
      <w:r>
        <w:rPr>
          <w:rFonts w:hint="eastAsia"/>
          <w:lang w:eastAsia="zh-CN"/>
        </w:rPr>
        <w:t>加强与年轻观众的数字化互动以及鼓励虚拟运动等。</w:t>
      </w:r>
      <w:r>
        <w:rPr>
          <w:lang w:eastAsia="zh-CN"/>
        </w:rPr>
        <w:t xml:space="preserve"> </w:t>
      </w:r>
      <w:r>
        <w:rPr>
          <w:rFonts w:hint="eastAsia"/>
          <w:lang w:eastAsia="zh-CN"/>
        </w:rPr>
        <w:t>这些改革方向说明，奥运项目的选择需要更加科学化的方法，而非仅仅依靠经验判断。</w:t>
      </w:r>
    </w:p>
    <w:p w14:paraId="5CFE9620">
      <w:pPr>
        <w:pStyle w:val="35"/>
        <w:ind w:firstLine="480"/>
        <w:rPr>
          <w:lang w:eastAsia="zh-CN"/>
        </w:rPr>
      </w:pPr>
      <w:r>
        <w:rPr>
          <w:rFonts w:hint="eastAsia"/>
          <w:lang w:eastAsia="zh-CN"/>
        </w:rPr>
        <w:t>在数据基础层面，近年来运动医学领域已积累了较为丰富的各项目安全性数据。</w:t>
      </w:r>
      <w:r>
        <w:rPr>
          <w:lang w:eastAsia="zh-CN"/>
        </w:rPr>
        <w:t xml:space="preserve"> </w:t>
      </w:r>
      <w:r>
        <w:rPr>
          <w:rFonts w:hint="eastAsia"/>
          <w:lang w:eastAsia="zh-CN"/>
        </w:rPr>
        <w:t>足球</w:t>
      </w:r>
      <w:r>
        <w:rPr>
          <w:vertAlign w:val="superscript"/>
          <w:lang w:eastAsia="zh-CN"/>
        </w:rPr>
        <w:t>[3]</w:t>
      </w:r>
      <w:r>
        <w:rPr>
          <w:rFonts w:hint="eastAsia"/>
          <w:lang w:eastAsia="zh-CN"/>
        </w:rPr>
        <w:t>、篮球</w:t>
      </w:r>
      <w:r>
        <w:rPr>
          <w:vertAlign w:val="superscript"/>
          <w:lang w:eastAsia="zh-CN"/>
        </w:rPr>
        <w:t>[4]</w:t>
      </w:r>
      <w:r>
        <w:rPr>
          <w:rFonts w:hint="eastAsia"/>
          <w:lang w:eastAsia="zh-CN"/>
        </w:rPr>
        <w:t>、田径</w:t>
      </w:r>
      <w:r>
        <w:rPr>
          <w:vertAlign w:val="superscript"/>
          <w:lang w:eastAsia="zh-CN"/>
        </w:rPr>
        <w:t>[5]</w:t>
      </w:r>
      <w:r>
        <w:rPr>
          <w:rFonts w:hint="eastAsia"/>
          <w:lang w:eastAsia="zh-CN"/>
        </w:rPr>
        <w:t>、游泳</w:t>
      </w:r>
      <w:r>
        <w:rPr>
          <w:vertAlign w:val="superscript"/>
          <w:lang w:eastAsia="zh-CN"/>
        </w:rPr>
        <w:t>[6]</w:t>
      </w:r>
      <w:r>
        <w:rPr>
          <w:rFonts w:hint="eastAsia"/>
          <w:lang w:eastAsia="zh-CN"/>
        </w:rPr>
        <w:t>、攀岩</w:t>
      </w:r>
      <w:r>
        <w:rPr>
          <w:vertAlign w:val="superscript"/>
          <w:lang w:eastAsia="zh-CN"/>
        </w:rPr>
        <w:t>[7]</w:t>
      </w:r>
      <w:r>
        <w:rPr>
          <w:rFonts w:hint="eastAsia"/>
          <w:lang w:eastAsia="zh-CN"/>
        </w:rPr>
        <w:t>、冲浪</w:t>
      </w:r>
      <w:r>
        <w:rPr>
          <w:vertAlign w:val="superscript"/>
          <w:lang w:eastAsia="zh-CN"/>
        </w:rPr>
        <w:t>[8]</w:t>
      </w:r>
      <w:r>
        <w:rPr>
          <w:rFonts w:hint="eastAsia"/>
          <w:lang w:eastAsia="zh-CN"/>
        </w:rPr>
        <w:t>、板球</w:t>
      </w:r>
      <w:r>
        <w:rPr>
          <w:vertAlign w:val="superscript"/>
          <w:lang w:eastAsia="zh-CN"/>
        </w:rPr>
        <w:t>[9]</w:t>
      </w:r>
      <w:r>
        <w:rPr>
          <w:rFonts w:hint="eastAsia"/>
          <w:lang w:eastAsia="zh-CN"/>
        </w:rPr>
        <w:t>、空手道</w:t>
      </w:r>
      <w:r>
        <w:rPr>
          <w:vertAlign w:val="superscript"/>
          <w:lang w:eastAsia="zh-CN"/>
        </w:rPr>
        <w:t>[10]</w:t>
      </w:r>
      <w:r>
        <w:rPr>
          <w:rFonts w:hint="eastAsia"/>
          <w:lang w:eastAsia="zh-CN"/>
        </w:rPr>
        <w:t>、棒球</w:t>
      </w:r>
      <w:r>
        <w:rPr>
          <w:vertAlign w:val="superscript"/>
          <w:lang w:eastAsia="zh-CN"/>
        </w:rPr>
        <w:t>[11]</w:t>
      </w:r>
      <w:r>
        <w:rPr>
          <w:rFonts w:hint="eastAsia"/>
          <w:lang w:eastAsia="zh-CN"/>
        </w:rPr>
        <w:t>以及电子竞技</w:t>
      </w:r>
      <w:r>
        <w:rPr>
          <w:vertAlign w:val="superscript"/>
          <w:lang w:eastAsia="zh-CN"/>
        </w:rPr>
        <w:t>[12]</w:t>
      </w:r>
      <w:r>
        <w:rPr>
          <w:rFonts w:hint="eastAsia"/>
          <w:lang w:eastAsia="zh-CN"/>
        </w:rPr>
        <w:t>等项目的标准化受伤率均已有系统综述和综合定量分析提供参考。</w:t>
      </w:r>
      <w:r>
        <w:rPr>
          <w:lang w:eastAsia="zh-CN"/>
        </w:rPr>
        <w:t xml:space="preserve"> </w:t>
      </w:r>
      <w:r>
        <w:rPr>
          <w:rFonts w:hint="eastAsia"/>
          <w:lang w:eastAsia="zh-CN"/>
        </w:rPr>
        <w:t>国际奥委会</w:t>
      </w:r>
      <w:r>
        <w:rPr>
          <w:vertAlign w:val="superscript"/>
          <w:lang w:eastAsia="zh-CN"/>
        </w:rPr>
        <w:t>[13]</w:t>
      </w:r>
      <w:r>
        <w:rPr>
          <w:rFonts w:hint="eastAsia"/>
          <w:lang w:eastAsia="zh-CN"/>
        </w:rPr>
        <w:t>和国际残奥委会</w:t>
      </w:r>
      <w:r>
        <w:rPr>
          <w:vertAlign w:val="superscript"/>
          <w:lang w:eastAsia="zh-CN"/>
        </w:rPr>
        <w:t>[14]</w:t>
      </w:r>
      <w:r>
        <w:rPr>
          <w:rFonts w:hint="eastAsia"/>
          <w:lang w:eastAsia="zh-CN"/>
        </w:rPr>
        <w:t>亦公布了各项目的运动员配额与残奥对应关系，</w:t>
      </w:r>
      <w:r>
        <w:rPr>
          <w:lang w:eastAsia="zh-CN"/>
        </w:rPr>
        <w:t xml:space="preserve"> </w:t>
      </w:r>
      <w:r>
        <w:rPr>
          <w:rFonts w:hint="eastAsia"/>
          <w:lang w:eastAsia="zh-CN"/>
        </w:rPr>
        <w:t>为多维度的定量评估提供了可获取的外部数据。</w:t>
      </w:r>
    </w:p>
    <w:p w14:paraId="2DD23B5E">
      <w:pPr>
        <w:pStyle w:val="35"/>
        <w:ind w:firstLine="480"/>
        <w:rPr>
          <w:lang w:eastAsia="zh-CN"/>
        </w:rPr>
      </w:pPr>
      <w:r>
        <w:rPr>
          <w:rFonts w:hint="eastAsia"/>
          <w:lang w:eastAsia="zh-CN"/>
        </w:rPr>
        <w:t>然而，当前奥运项目的评估仍然主要依赖专家委员会的主观判断，缺乏系统化的量化工具。</w:t>
      </w:r>
      <w:r>
        <w:rPr>
          <w:lang w:eastAsia="zh-CN"/>
        </w:rPr>
        <w:t xml:space="preserve"> </w:t>
      </w:r>
      <w:r>
        <w:rPr>
          <w:rFonts w:hint="eastAsia"/>
          <w:lang w:eastAsia="zh-CN"/>
        </w:rPr>
        <w:t>由于专家背景各不相同，对同一项目可能产生截然不同的看法，标准不统一，难以达成共识。</w:t>
      </w:r>
      <w:r>
        <w:rPr>
          <w:lang w:eastAsia="zh-CN"/>
        </w:rPr>
        <w:t xml:space="preserve"> </w:t>
      </w:r>
      <w:r>
        <w:rPr>
          <w:rFonts w:hint="eastAsia"/>
          <w:lang w:eastAsia="zh-CN"/>
        </w:rPr>
        <w:t>评估标准较为模糊，外界很难追踪某个项目入选或淘汰的具体原因。</w:t>
      </w:r>
      <w:r>
        <w:rPr>
          <w:lang w:eastAsia="zh-CN"/>
        </w:rPr>
        <w:t xml:space="preserve"> </w:t>
      </w:r>
      <w:r>
        <w:rPr>
          <w:rFonts w:hint="eastAsia"/>
          <w:lang w:eastAsia="zh-CN"/>
        </w:rPr>
        <w:t>HiMCM数据集中包含了大量有价值的历史信息，</w:t>
      </w:r>
      <w:r>
        <w:rPr>
          <w:lang w:eastAsia="zh-CN"/>
        </w:rPr>
        <w:t xml:space="preserve"> </w:t>
      </w:r>
      <w:r>
        <w:rPr>
          <w:rFonts w:hint="eastAsia"/>
          <w:lang w:eastAsia="zh-CN"/>
        </w:rPr>
        <w:t>例如项目连续参赛的届数、</w:t>
      </w:r>
      <w:r>
        <w:rPr>
          <w:lang w:eastAsia="zh-CN"/>
        </w:rPr>
        <w:t xml:space="preserve"> </w:t>
      </w:r>
      <w:r>
        <w:rPr>
          <w:rFonts w:hint="eastAsia"/>
          <w:lang w:eastAsia="zh-CN"/>
        </w:rPr>
        <w:t>设项规模的增长趋势以及在各地的普及程度，</w:t>
      </w:r>
      <w:r>
        <w:rPr>
          <w:lang w:eastAsia="zh-CN"/>
        </w:rPr>
        <w:t xml:space="preserve"> </w:t>
      </w:r>
      <w:r>
        <w:rPr>
          <w:rFonts w:hint="eastAsia"/>
          <w:lang w:eastAsia="zh-CN"/>
        </w:rPr>
        <w:t>但这些信息在现有评估体系中尚未被充分利用。</w:t>
      </w:r>
      <w:r>
        <w:rPr>
          <w:lang w:eastAsia="zh-CN"/>
        </w:rPr>
        <w:t xml:space="preserve"> </w:t>
      </w:r>
      <w:r>
        <w:rPr>
          <w:rFonts w:hint="eastAsia"/>
          <w:lang w:eastAsia="zh-CN"/>
        </w:rPr>
        <w:t>Song等</w:t>
      </w:r>
      <w:r>
        <w:rPr>
          <w:vertAlign w:val="superscript"/>
          <w:lang w:eastAsia="zh-CN"/>
        </w:rPr>
        <w:t>[15]</w:t>
      </w:r>
      <w:r>
        <w:rPr>
          <w:rFonts w:hint="eastAsia"/>
          <w:lang w:eastAsia="zh-CN"/>
        </w:rPr>
        <w:t>也指出，</w:t>
      </w:r>
      <w:r>
        <w:rPr>
          <w:lang w:eastAsia="zh-CN"/>
        </w:rPr>
        <w:t xml:space="preserve"> </w:t>
      </w:r>
      <w:r>
        <w:rPr>
          <w:rFonts w:hint="eastAsia"/>
          <w:lang w:eastAsia="zh-CN"/>
        </w:rPr>
        <w:t>奥运项目的选择过程本身具有较强的主观性，</w:t>
      </w:r>
      <w:r>
        <w:rPr>
          <w:lang w:eastAsia="zh-CN"/>
        </w:rPr>
        <w:t xml:space="preserve"> </w:t>
      </w:r>
      <w:r>
        <w:rPr>
          <w:rFonts w:hint="eastAsia"/>
          <w:lang w:eastAsia="zh-CN"/>
        </w:rPr>
        <w:t>霹雳舞入选2024巴黎奥运却未能进入2028洛杉矶奥运即为典型案例。</w:t>
      </w:r>
    </w:p>
    <w:p w14:paraId="753C54A5">
      <w:pPr>
        <w:pStyle w:val="35"/>
        <w:ind w:firstLine="480"/>
        <w:rPr>
          <w:lang w:eastAsia="zh-CN"/>
        </w:rPr>
      </w:pPr>
      <w:r>
        <w:rPr>
          <w:rFonts w:hint="eastAsia"/>
          <w:lang w:eastAsia="zh-CN"/>
        </w:rPr>
        <w:t>要解决这些问题，需要有可获取的历史数据作为基础，并借助定量方法进行分析。</w:t>
      </w:r>
      <w:r>
        <w:rPr>
          <w:lang w:eastAsia="zh-CN"/>
        </w:rPr>
        <w:t xml:space="preserve"> </w:t>
      </w:r>
      <w:r>
        <w:rPr>
          <w:rFonts w:hint="eastAsia"/>
          <w:lang w:eastAsia="zh-CN"/>
        </w:rPr>
        <w:t>本研究采用的HiMCM大赛奥运项目历史数据集，涵盖了76个项目从1896年至2028年的设项数。</w:t>
      </w:r>
      <w:r>
        <w:rPr>
          <w:lang w:eastAsia="zh-CN"/>
        </w:rPr>
        <w:t xml:space="preserve"> </w:t>
      </w:r>
      <w:r>
        <w:rPr>
          <w:rFonts w:hint="eastAsia"/>
          <w:lang w:eastAsia="zh-CN"/>
        </w:rPr>
        <w:t>在获取数据后，</w:t>
      </w:r>
      <w:r>
        <w:rPr>
          <w:lang w:eastAsia="zh-CN"/>
        </w:rPr>
        <w:t xml:space="preserve"> </w:t>
      </w:r>
      <w:r>
        <w:rPr>
          <w:rFonts w:hint="eastAsia"/>
          <w:lang w:eastAsia="zh-CN"/>
        </w:rPr>
        <w:t>首先进行预处理，</w:t>
      </w:r>
      <w:r>
        <w:rPr>
          <w:lang w:eastAsia="zh-CN"/>
        </w:rPr>
        <w:t xml:space="preserve"> </w:t>
      </w:r>
      <w:r>
        <w:rPr>
          <w:rFonts w:hint="eastAsia"/>
          <w:lang w:eastAsia="zh-CN"/>
        </w:rPr>
        <w:t>包括格式统一、</w:t>
      </w:r>
      <w:r>
        <w:rPr>
          <w:lang w:eastAsia="zh-CN"/>
        </w:rPr>
        <w:t xml:space="preserve"> </w:t>
      </w:r>
      <w:r>
        <w:rPr>
          <w:rFonts w:hint="eastAsia"/>
          <w:lang w:eastAsia="zh-CN"/>
        </w:rPr>
        <w:t>缺失值标注、</w:t>
      </w:r>
      <w:r>
        <w:rPr>
          <w:lang w:eastAsia="zh-CN"/>
        </w:rPr>
        <w:t xml:space="preserve"> </w:t>
      </w:r>
      <w:r>
        <w:rPr>
          <w:rFonts w:hint="eastAsia"/>
          <w:lang w:eastAsia="zh-CN"/>
        </w:rPr>
        <w:t>去除冬夏季项目重复记录等步骤，</w:t>
      </w:r>
      <w:r>
        <w:rPr>
          <w:lang w:eastAsia="zh-CN"/>
        </w:rPr>
        <w:t xml:space="preserve"> </w:t>
      </w:r>
      <w:r>
        <w:rPr>
          <w:rFonts w:hint="eastAsia"/>
          <w:lang w:eastAsia="zh-CN"/>
        </w:rPr>
        <w:t>在此基础上计算出每个项目的参赛届数、</w:t>
      </w:r>
      <w:r>
        <w:rPr>
          <w:lang w:eastAsia="zh-CN"/>
        </w:rPr>
        <w:t xml:space="preserve"> </w:t>
      </w:r>
      <w:r>
        <w:rPr>
          <w:rFonts w:hint="eastAsia"/>
          <w:lang w:eastAsia="zh-CN"/>
        </w:rPr>
        <w:t>设项规模和增长趋势等特征指标。</w:t>
      </w:r>
      <w:r>
        <w:rPr>
          <w:lang w:eastAsia="zh-CN"/>
        </w:rPr>
        <w:t xml:space="preserve"> </w:t>
      </w:r>
      <w:r>
        <w:rPr>
          <w:rFonts w:hint="eastAsia"/>
          <w:lang w:eastAsia="zh-CN"/>
        </w:rPr>
        <w:t>最后，</w:t>
      </w:r>
      <w:r>
        <w:rPr>
          <w:lang w:eastAsia="zh-CN"/>
        </w:rPr>
        <w:t xml:space="preserve"> </w:t>
      </w:r>
      <w:r>
        <w:rPr>
          <w:rFonts w:hint="eastAsia"/>
          <w:lang w:eastAsia="zh-CN"/>
        </w:rPr>
        <w:t>结合层次分析法(AHP)</w:t>
      </w:r>
      <w:r>
        <w:rPr>
          <w:vertAlign w:val="superscript"/>
          <w:lang w:eastAsia="zh-CN"/>
        </w:rPr>
        <w:t>[16]</w:t>
      </w:r>
      <w:r>
        <w:rPr>
          <w:rFonts w:hint="eastAsia"/>
          <w:lang w:eastAsia="zh-CN"/>
        </w:rPr>
        <w:t>与EWM</w:t>
      </w:r>
      <w:r>
        <w:rPr>
          <w:vertAlign w:val="superscript"/>
          <w:lang w:eastAsia="zh-CN"/>
        </w:rPr>
        <w:t>[17,18]</w:t>
      </w:r>
      <w:r>
        <w:rPr>
          <w:rFonts w:hint="eastAsia"/>
          <w:lang w:eastAsia="zh-CN"/>
        </w:rPr>
        <w:t>，</w:t>
      </w:r>
      <w:r>
        <w:rPr>
          <w:lang w:eastAsia="zh-CN"/>
        </w:rPr>
        <w:t xml:space="preserve"> </w:t>
      </w:r>
      <w:r>
        <w:rPr>
          <w:rFonts w:hint="eastAsia"/>
          <w:lang w:eastAsia="zh-CN"/>
        </w:rPr>
        <w:t>构建了AHP-EWM混合权重评估模型，</w:t>
      </w:r>
      <w:r>
        <w:rPr>
          <w:lang w:eastAsia="zh-CN"/>
        </w:rPr>
        <w:t xml:space="preserve"> </w:t>
      </w:r>
      <w:r>
        <w:rPr>
          <w:rFonts w:hint="eastAsia"/>
          <w:lang w:eastAsia="zh-CN"/>
        </w:rPr>
        <w:t>以期为奥运项目的量化评估提供一种相对科学且透明的方法。</w:t>
      </w:r>
    </w:p>
    <w:bookmarkEnd w:id="5"/>
    <w:p w14:paraId="2688336E">
      <w:pPr>
        <w:pStyle w:val="4"/>
        <w:rPr>
          <w:rFonts w:hint="eastAsia"/>
          <w:lang w:eastAsia="zh-CN"/>
        </w:rPr>
      </w:pPr>
      <w:bookmarkStart w:id="6" w:name="_Toc229523228"/>
      <w:bookmarkStart w:id="7" w:name="研究意义"/>
      <w:r>
        <w:rPr>
          <w:rStyle w:val="62"/>
          <w:rFonts w:ascii="黑体" w:hAnsi="黑体" w:eastAsia="黑体"/>
          <w:sz w:val="28"/>
          <w:szCs w:val="28"/>
          <w:lang w:eastAsia="zh-CN"/>
        </w:rPr>
        <w:t>1.2</w:t>
      </w:r>
      <w:r>
        <w:rPr>
          <w:rFonts w:hint="eastAsia"/>
          <w:lang w:eastAsia="zh-CN"/>
        </w:rPr>
        <w:t xml:space="preserve">  </w:t>
      </w:r>
      <w:r>
        <w:rPr>
          <w:lang w:eastAsia="zh-CN"/>
        </w:rPr>
        <w:t>研究意义</w:t>
      </w:r>
      <w:bookmarkEnd w:id="6"/>
    </w:p>
    <w:p w14:paraId="5229D59B">
      <w:pPr>
        <w:pStyle w:val="5"/>
        <w:rPr>
          <w:rFonts w:hint="eastAsia"/>
          <w:lang w:eastAsia="zh-CN"/>
        </w:rPr>
      </w:pPr>
      <w:bookmarkStart w:id="8" w:name="理论意义"/>
      <w:r>
        <w:rPr>
          <w:rStyle w:val="62"/>
          <w:rFonts w:ascii="黑体" w:hAnsi="黑体" w:eastAsia="黑体"/>
          <w:lang w:eastAsia="zh-CN"/>
        </w:rPr>
        <w:t>1.2.1</w:t>
      </w:r>
      <w:r>
        <w:rPr>
          <w:lang w:eastAsia="zh-CN"/>
        </w:rPr>
        <w:t xml:space="preserve"> </w:t>
      </w:r>
      <w:r>
        <w:rPr>
          <w:rFonts w:hint="eastAsia"/>
          <w:lang w:eastAsia="zh-CN"/>
        </w:rPr>
        <w:t xml:space="preserve"> </w:t>
      </w:r>
      <w:r>
        <w:rPr>
          <w:lang w:eastAsia="zh-CN"/>
        </w:rPr>
        <w:t>理论意义</w:t>
      </w:r>
    </w:p>
    <w:p w14:paraId="29F48290">
      <w:pPr>
        <w:pStyle w:val="35"/>
        <w:ind w:firstLine="480"/>
        <w:rPr>
          <w:lang w:eastAsia="zh-CN"/>
        </w:rPr>
      </w:pPr>
      <w:r>
        <w:rPr>
          <w:rFonts w:hint="eastAsia"/>
          <w:lang w:eastAsia="zh-CN"/>
        </w:rPr>
        <w:t>此前关于奥运项目评估的研究大多以定性分析或经验总结为主，定量方法的运用相对有限。</w:t>
      </w:r>
      <w:r>
        <w:rPr>
          <w:lang w:eastAsia="zh-CN"/>
        </w:rPr>
        <w:t xml:space="preserve"> </w:t>
      </w:r>
      <w:r>
        <w:rPr>
          <w:rFonts w:hint="eastAsia"/>
          <w:lang w:eastAsia="zh-CN"/>
        </w:rPr>
        <w:t>本研究将AHP与EWM进行结合</w:t>
      </w:r>
      <w:r>
        <w:rPr>
          <w:vertAlign w:val="superscript"/>
          <w:lang w:eastAsia="zh-CN"/>
        </w:rPr>
        <w:t>[19,20]</w:t>
      </w:r>
      <w:r>
        <w:rPr>
          <w:rFonts w:hint="eastAsia"/>
          <w:lang w:eastAsia="zh-CN"/>
        </w:rPr>
        <w:t>，</w:t>
      </w:r>
      <w:r>
        <w:rPr>
          <w:lang w:eastAsia="zh-CN"/>
        </w:rPr>
        <w:t xml:space="preserve"> </w:t>
      </w:r>
      <w:r>
        <w:rPr>
          <w:rFonts w:hint="eastAsia"/>
          <w:lang w:eastAsia="zh-CN"/>
        </w:rPr>
        <w:t>将多准则决策方法引入了奥运项目评估领域。</w:t>
      </w:r>
      <w:r>
        <w:rPr>
          <w:lang w:eastAsia="zh-CN"/>
        </w:rPr>
        <w:t xml:space="preserve"> </w:t>
      </w:r>
      <w:r>
        <w:rPr>
          <w:rFonts w:hint="eastAsia"/>
          <w:lang w:eastAsia="zh-CN"/>
        </w:rPr>
        <w:t>本研究的理论贡献主要体现在两个方面。</w:t>
      </w:r>
      <w:r>
        <w:rPr>
          <w:lang w:eastAsia="zh-CN"/>
        </w:rPr>
        <w:t xml:space="preserve"> </w:t>
      </w:r>
      <w:r>
        <w:rPr>
          <w:rFonts w:hint="eastAsia"/>
          <w:lang w:eastAsia="zh-CN"/>
        </w:rPr>
        <w:t>一是展示了如何将专家经验转化为可量化的权重，同时从数据中提取客观信息，相较于单纯的定性分析更具备严谨性。</w:t>
      </w:r>
      <w:r>
        <w:rPr>
          <w:lang w:eastAsia="zh-CN"/>
        </w:rPr>
        <w:t xml:space="preserve"> </w:t>
      </w:r>
      <w:r>
        <w:rPr>
          <w:rFonts w:hint="eastAsia"/>
          <w:lang w:eastAsia="zh-CN"/>
        </w:rPr>
        <w:t>二是构建了一套涵盖六个维度的指标体系，为后续研究者提供了一个可参考的分析框架。</w:t>
      </w:r>
    </w:p>
    <w:bookmarkEnd w:id="8"/>
    <w:p w14:paraId="24418D54">
      <w:pPr>
        <w:pStyle w:val="5"/>
        <w:rPr>
          <w:rFonts w:hint="eastAsia"/>
          <w:lang w:eastAsia="zh-CN"/>
        </w:rPr>
      </w:pPr>
      <w:bookmarkStart w:id="9" w:name="实践意义"/>
      <w:r>
        <w:rPr>
          <w:rStyle w:val="62"/>
          <w:rFonts w:ascii="黑体" w:hAnsi="黑体" w:eastAsia="黑体"/>
          <w:lang w:eastAsia="zh-CN"/>
        </w:rPr>
        <w:t>1.2.2</w:t>
      </w:r>
      <w:r>
        <w:rPr>
          <w:lang w:eastAsia="zh-CN"/>
        </w:rPr>
        <w:tab/>
      </w:r>
      <w:r>
        <w:rPr>
          <w:rFonts w:hint="eastAsia"/>
          <w:lang w:eastAsia="zh-CN"/>
        </w:rPr>
        <w:t xml:space="preserve"> </w:t>
      </w:r>
      <w:r>
        <w:rPr>
          <w:lang w:eastAsia="zh-CN"/>
        </w:rPr>
        <w:t>实践意义</w:t>
      </w:r>
    </w:p>
    <w:p w14:paraId="01D7A025">
      <w:pPr>
        <w:pStyle w:val="35"/>
        <w:ind w:firstLine="480"/>
        <w:rPr>
          <w:lang w:eastAsia="zh-CN"/>
        </w:rPr>
      </w:pPr>
      <w:r>
        <w:rPr>
          <w:rFonts w:hint="eastAsia"/>
          <w:lang w:eastAsia="zh-CN"/>
        </w:rPr>
        <w:t>除了理论层面的价值，本研究在实际应用中也具有一定的意义。</w:t>
      </w:r>
      <w:r>
        <w:rPr>
          <w:lang w:eastAsia="zh-CN"/>
        </w:rPr>
        <w:t xml:space="preserve"> </w:t>
      </w:r>
      <w:r>
        <w:rPr>
          <w:rFonts w:hint="eastAsia"/>
          <w:lang w:eastAsia="zh-CN"/>
        </w:rPr>
        <w:t>对于国际奥委会而言，一个量化的评估工具能够在项目筛选中提供辅助参考，减少单纯依赖主观判断带来的不确定性。</w:t>
      </w:r>
      <w:r>
        <w:rPr>
          <w:lang w:eastAsia="zh-CN"/>
        </w:rPr>
        <w:t xml:space="preserve"> </w:t>
      </w:r>
      <w:r>
        <w:rPr>
          <w:rFonts w:hint="eastAsia"/>
          <w:lang w:eastAsia="zh-CN"/>
        </w:rPr>
        <w:t>对于各国奥委会而言，可以利用评分结果识别自身具有竞争优势的项目，并在申办过程中制定更具针对性的策略。</w:t>
      </w:r>
      <w:r>
        <w:rPr>
          <w:lang w:eastAsia="zh-CN"/>
        </w:rPr>
        <w:t xml:space="preserve"> </w:t>
      </w:r>
      <w:r>
        <w:rPr>
          <w:rFonts w:hint="eastAsia"/>
          <w:lang w:eastAsia="zh-CN"/>
        </w:rPr>
        <w:t>对于各国际体育联合会而言，可以根据评估结果明确项目推广的努力方向。</w:t>
      </w:r>
      <w:r>
        <w:rPr>
          <w:lang w:eastAsia="zh-CN"/>
        </w:rPr>
        <w:t xml:space="preserve"> </w:t>
      </w:r>
      <w:r>
        <w:rPr>
          <w:rFonts w:hint="eastAsia"/>
          <w:lang w:eastAsia="zh-CN"/>
        </w:rPr>
        <w:t>此外，该模型的框架也可以作为体育管理教育的教学案例，用于促进学生理解和掌握量化决策方法。</w:t>
      </w:r>
    </w:p>
    <w:bookmarkEnd w:id="7"/>
    <w:bookmarkEnd w:id="9"/>
    <w:p w14:paraId="482749A3">
      <w:pPr>
        <w:pStyle w:val="4"/>
        <w:rPr>
          <w:rFonts w:hint="eastAsia"/>
          <w:lang w:eastAsia="zh-CN"/>
        </w:rPr>
      </w:pPr>
      <w:bookmarkStart w:id="10" w:name="_Toc229523229"/>
      <w:bookmarkStart w:id="11" w:name="国内外研究现状"/>
      <w:r>
        <w:rPr>
          <w:rStyle w:val="62"/>
          <w:rFonts w:ascii="黑体" w:hAnsi="黑体" w:eastAsia="黑体"/>
          <w:sz w:val="28"/>
          <w:szCs w:val="28"/>
          <w:lang w:eastAsia="zh-CN"/>
        </w:rPr>
        <w:t>1.3</w:t>
      </w:r>
      <w:r>
        <w:rPr>
          <w:rFonts w:hint="eastAsia"/>
          <w:lang w:eastAsia="zh-CN"/>
        </w:rPr>
        <w:t xml:space="preserve">  </w:t>
      </w:r>
      <w:r>
        <w:rPr>
          <w:lang w:eastAsia="zh-CN"/>
        </w:rPr>
        <w:t>国内外研究现状</w:t>
      </w:r>
      <w:bookmarkEnd w:id="10"/>
    </w:p>
    <w:p w14:paraId="2640D3C7">
      <w:pPr>
        <w:pStyle w:val="5"/>
        <w:rPr>
          <w:rFonts w:hint="eastAsia"/>
          <w:lang w:eastAsia="zh-CN"/>
        </w:rPr>
      </w:pPr>
      <w:bookmarkStart w:id="12" w:name="多准则决策方法研究"/>
      <w:r>
        <w:rPr>
          <w:rStyle w:val="62"/>
          <w:rFonts w:ascii="黑体" w:hAnsi="黑体" w:eastAsia="黑体"/>
          <w:lang w:eastAsia="zh-CN"/>
        </w:rPr>
        <w:t>1.3.1</w:t>
      </w:r>
      <w:r>
        <w:rPr>
          <w:rStyle w:val="62"/>
          <w:rFonts w:hint="eastAsia" w:ascii="黑体" w:hAnsi="黑体" w:eastAsia="黑体"/>
          <w:lang w:eastAsia="zh-CN"/>
        </w:rPr>
        <w:t xml:space="preserve">  </w:t>
      </w:r>
      <w:r>
        <w:rPr>
          <w:lang w:eastAsia="zh-CN"/>
        </w:rPr>
        <w:t>多准则决策方法研究</w:t>
      </w:r>
    </w:p>
    <w:p w14:paraId="37991A0D">
      <w:pPr>
        <w:pStyle w:val="35"/>
        <w:ind w:firstLine="480"/>
        <w:rPr>
          <w:lang w:eastAsia="zh-CN"/>
        </w:rPr>
      </w:pPr>
      <w:r>
        <w:rPr>
          <w:rFonts w:hint="eastAsia"/>
          <w:lang w:eastAsia="zh-CN"/>
        </w:rPr>
        <w:t>多准则决策研究的是如何在多个可能相互冲突的指标中选出最优方案。</w:t>
      </w:r>
      <w:r>
        <w:rPr>
          <w:lang w:eastAsia="zh-CN"/>
        </w:rPr>
        <w:t xml:space="preserve"> </w:t>
      </w:r>
      <w:r>
        <w:rPr>
          <w:rFonts w:hint="eastAsia"/>
          <w:lang w:eastAsia="zh-CN"/>
        </w:rPr>
        <w:t>Hwang和Yoon</w:t>
      </w:r>
      <w:r>
        <w:rPr>
          <w:vertAlign w:val="superscript"/>
          <w:lang w:eastAsia="zh-CN"/>
        </w:rPr>
        <w:t>[21]</w:t>
      </w:r>
      <w:r>
        <w:rPr>
          <w:rFonts w:hint="eastAsia"/>
          <w:lang w:eastAsia="zh-CN"/>
        </w:rPr>
        <w:t>系统总结了多属性决策方法的理论基础，</w:t>
      </w:r>
      <w:r>
        <w:rPr>
          <w:lang w:eastAsia="zh-CN"/>
        </w:rPr>
        <w:t xml:space="preserve"> </w:t>
      </w:r>
      <w:r>
        <w:rPr>
          <w:rFonts w:hint="eastAsia"/>
          <w:lang w:eastAsia="zh-CN"/>
        </w:rPr>
        <w:t>奠定了该领域的方法论框架。</w:t>
      </w:r>
      <w:r>
        <w:rPr>
          <w:lang w:eastAsia="zh-CN"/>
        </w:rPr>
        <w:t xml:space="preserve"> </w:t>
      </w:r>
      <w:r>
        <w:rPr>
          <w:rFonts w:hint="eastAsia"/>
          <w:lang w:eastAsia="zh-CN"/>
        </w:rPr>
        <w:t>实际决策时，不同指标的相对重要性往往很难直接比较，所以需要一种系统的方法把主观判断转化为可计算的权重。</w:t>
      </w:r>
      <w:r>
        <w:rPr>
          <w:lang w:eastAsia="zh-CN"/>
        </w:rPr>
        <w:t xml:space="preserve"> Saaty</w:t>
      </w:r>
      <w:r>
        <w:rPr>
          <w:vertAlign w:val="superscript"/>
          <w:lang w:eastAsia="zh-CN"/>
        </w:rPr>
        <w:t>[16]</w:t>
      </w:r>
      <w:r>
        <w:rPr>
          <w:rFonts w:hint="eastAsia"/>
          <w:lang w:eastAsia="zh-CN"/>
        </w:rPr>
        <w:t>提出的层次分析法AHP就是用来解决这个问题的。</w:t>
      </w:r>
      <w:r>
        <w:rPr>
          <w:lang w:eastAsia="zh-CN"/>
        </w:rPr>
        <w:t xml:space="preserve"> </w:t>
      </w:r>
      <w:r>
        <w:rPr>
          <w:rFonts w:hint="eastAsia"/>
          <w:lang w:eastAsia="zh-CN"/>
        </w:rPr>
        <w:t>它让专家把指标两两拿出来比较，用1到9打分，然后通过求解特征值得出各指标的权重。</w:t>
      </w:r>
      <w:r>
        <w:rPr>
          <w:lang w:eastAsia="zh-CN"/>
        </w:rPr>
        <w:t xml:space="preserve"> </w:t>
      </w:r>
      <w:r>
        <w:rPr>
          <w:rFonts w:hint="eastAsia"/>
          <w:lang w:eastAsia="zh-CN"/>
        </w:rPr>
        <w:t>这样就把一个复杂的决策问题拆成了很多简单的两两比较，降低了决策难度，判断起来也更一致。</w:t>
      </w:r>
      <w:r>
        <w:rPr>
          <w:lang w:eastAsia="zh-CN"/>
        </w:rPr>
        <w:t xml:space="preserve"> </w:t>
      </w:r>
      <w:r>
        <w:rPr>
          <w:rFonts w:hint="eastAsia"/>
          <w:lang w:eastAsia="zh-CN"/>
        </w:rPr>
        <w:t>不过纯AHP方法太依赖专家的主观判断，如果专家水平不够或者意见不统一，结果的可靠性就会打折扣。</w:t>
      </w:r>
    </w:p>
    <w:p w14:paraId="1B942CE7">
      <w:pPr>
        <w:pStyle w:val="35"/>
        <w:ind w:firstLine="480"/>
        <w:rPr>
          <w:lang w:eastAsia="zh-CN"/>
        </w:rPr>
      </w:pPr>
      <w:r>
        <w:rPr>
          <w:rFonts w:hint="eastAsia"/>
        </w:rPr>
        <w:t>EWM的思路完全不同。</w:t>
      </w:r>
      <w:r>
        <w:t xml:space="preserve"> </w:t>
      </w:r>
      <w:r>
        <w:rPr>
          <w:rFonts w:hint="eastAsia"/>
          <w:lang w:eastAsia="zh-CN"/>
        </w:rPr>
        <w:t>它不靠专家打分，而是基于信息熵理论</w:t>
      </w:r>
      <w:r>
        <w:rPr>
          <w:vertAlign w:val="superscript"/>
          <w:lang w:eastAsia="zh-CN"/>
        </w:rPr>
        <w:t>[18]</w:t>
      </w:r>
      <w:r>
        <w:rPr>
          <w:rFonts w:hint="eastAsia"/>
          <w:lang w:eastAsia="zh-CN"/>
        </w:rPr>
        <w:t>，通过分析各指标在不同方案之间的差异程度来确定权重</w:t>
      </w:r>
      <w:r>
        <w:rPr>
          <w:vertAlign w:val="superscript"/>
          <w:lang w:eastAsia="zh-CN"/>
        </w:rPr>
        <w:t>[17,21]</w:t>
      </w:r>
      <w:r>
        <w:rPr>
          <w:lang w:eastAsia="zh-CN"/>
        </w:rPr>
        <w:t xml:space="preserve">。 </w:t>
      </w:r>
      <w:r>
        <w:rPr>
          <w:rFonts w:hint="eastAsia"/>
          <w:lang w:eastAsia="zh-CN"/>
        </w:rPr>
        <w:t>如果某个指标在各个方案之间差异很大，说明这个指标区分能力强，应该给更高的权重。</w:t>
      </w:r>
      <w:r>
        <w:rPr>
          <w:lang w:eastAsia="zh-CN"/>
        </w:rPr>
        <w:t xml:space="preserve"> </w:t>
      </w:r>
      <w:r>
        <w:rPr>
          <w:rFonts w:hint="eastAsia"/>
          <w:lang w:eastAsia="zh-CN"/>
        </w:rPr>
        <w:t>反过来，如果所有方案在某指标上差不多，那这个指标对决策帮助不大，权重就应该低一些。</w:t>
      </w:r>
      <w:r>
        <w:rPr>
          <w:lang w:eastAsia="zh-CN"/>
        </w:rPr>
        <w:t xml:space="preserve"> </w:t>
      </w:r>
      <w:r>
        <w:rPr>
          <w:rFonts w:hint="eastAsia"/>
          <w:lang w:eastAsia="zh-CN"/>
        </w:rPr>
        <w:t>这种方法的好处是完全由数据驱动，不受主观因素影响。</w:t>
      </w:r>
      <w:r>
        <w:rPr>
          <w:lang w:eastAsia="zh-CN"/>
        </w:rPr>
        <w:t xml:space="preserve"> </w:t>
      </w:r>
      <w:r>
        <w:rPr>
          <w:rFonts w:hint="eastAsia"/>
          <w:lang w:eastAsia="zh-CN"/>
        </w:rPr>
        <w:t>但问题在于它可能忽略领域知识，数据差异大的指标不一定在实际决策中就更重要。</w:t>
      </w:r>
      <w:r>
        <w:rPr>
          <w:lang w:eastAsia="zh-CN"/>
        </w:rPr>
        <w:t xml:space="preserve"> </w:t>
      </w:r>
      <w:r>
        <w:rPr>
          <w:rFonts w:hint="eastAsia"/>
          <w:lang w:eastAsia="zh-CN"/>
        </w:rPr>
        <w:t>拿安全性来说，各运动项目的安全性数据差异可能不大，但对国际奥委会而言，安全性仍然是必须优先考虑的因素。</w:t>
      </w:r>
    </w:p>
    <w:p w14:paraId="1E8B6932">
      <w:pPr>
        <w:pStyle w:val="35"/>
        <w:ind w:firstLine="480"/>
        <w:rPr>
          <w:lang w:eastAsia="zh-CN"/>
        </w:rPr>
      </w:pPr>
      <w:r>
        <w:rPr>
          <w:rFonts w:hint="eastAsia"/>
          <w:lang w:eastAsia="zh-CN"/>
        </w:rPr>
        <w:t>AHP和EWM各有优劣，很自然就会想到把两者结合起来。</w:t>
      </w:r>
      <w:r>
        <w:rPr>
          <w:lang w:eastAsia="zh-CN"/>
        </w:rPr>
        <w:t xml:space="preserve"> </w:t>
      </w:r>
      <w:r>
        <w:rPr>
          <w:rFonts w:hint="eastAsia"/>
          <w:lang w:eastAsia="zh-CN"/>
        </w:rPr>
        <w:t>近年来AHP-EWM组合已经在很多领域得到了应用。</w:t>
      </w:r>
      <w:r>
        <w:rPr>
          <w:lang w:eastAsia="zh-CN"/>
        </w:rPr>
        <w:t xml:space="preserve"> </w:t>
      </w:r>
      <w:r>
        <w:rPr>
          <w:rFonts w:hint="eastAsia"/>
          <w:lang w:eastAsia="zh-CN"/>
        </w:rPr>
        <w:t>Zhang等</w:t>
      </w:r>
      <w:r>
        <w:rPr>
          <w:vertAlign w:val="superscript"/>
          <w:lang w:eastAsia="zh-CN"/>
        </w:rPr>
        <w:t>[19]</w:t>
      </w:r>
      <w:r>
        <w:rPr>
          <w:rFonts w:hint="eastAsia"/>
          <w:lang w:eastAsia="zh-CN"/>
        </w:rPr>
        <w:t>在煤矿动力灾害风险评估中用AHP和EWM结合模糊综合评价，</w:t>
      </w:r>
      <w:r>
        <w:rPr>
          <w:lang w:eastAsia="zh-CN"/>
        </w:rPr>
        <w:t xml:space="preserve"> </w:t>
      </w:r>
      <w:r>
        <w:rPr>
          <w:rFonts w:hint="eastAsia"/>
          <w:lang w:eastAsia="zh-CN"/>
        </w:rPr>
        <w:t>发现混合权重比单独使用一种方法更准确。</w:t>
      </w:r>
      <w:r>
        <w:rPr>
          <w:lang w:eastAsia="zh-CN"/>
        </w:rPr>
        <w:t xml:space="preserve"> </w:t>
      </w:r>
      <w:r>
        <w:rPr>
          <w:rFonts w:hint="eastAsia"/>
          <w:lang w:eastAsia="zh-CN"/>
        </w:rPr>
        <w:t>Liang等</w:t>
      </w:r>
      <w:r>
        <w:rPr>
          <w:vertAlign w:val="superscript"/>
          <w:lang w:eastAsia="zh-CN"/>
        </w:rPr>
        <w:t>[20]</w:t>
      </w:r>
      <w:r>
        <w:rPr>
          <w:rFonts w:hint="eastAsia"/>
          <w:lang w:eastAsia="zh-CN"/>
        </w:rPr>
        <w:t>在矿区治理模型选择中也用了AHP-EWM，</w:t>
      </w:r>
      <w:r>
        <w:rPr>
          <w:lang w:eastAsia="zh-CN"/>
        </w:rPr>
        <w:t xml:space="preserve"> </w:t>
      </w:r>
      <w:r>
        <w:rPr>
          <w:rFonts w:hint="eastAsia"/>
          <w:lang w:eastAsia="zh-CN"/>
        </w:rPr>
        <w:t>验证了三层指标体系下混合权重的稳定性。</w:t>
      </w:r>
      <w:r>
        <w:rPr>
          <w:lang w:eastAsia="zh-CN"/>
        </w:rPr>
        <w:t xml:space="preserve"> </w:t>
      </w:r>
      <w:r>
        <w:rPr>
          <w:rFonts w:hint="eastAsia"/>
          <w:lang w:eastAsia="zh-CN"/>
        </w:rPr>
        <w:t>He等</w:t>
      </w:r>
      <w:r>
        <w:rPr>
          <w:vertAlign w:val="superscript"/>
          <w:lang w:eastAsia="zh-CN"/>
        </w:rPr>
        <w:t>[22]</w:t>
      </w:r>
      <w:r>
        <w:rPr>
          <w:rFonts w:hint="eastAsia"/>
          <w:lang w:eastAsia="zh-CN"/>
        </w:rPr>
        <w:t>在中央商务区经济发展评估中进一步比较了线性组合与乘法组合两种混合策略，</w:t>
      </w:r>
      <w:r>
        <w:rPr>
          <w:lang w:eastAsia="zh-CN"/>
        </w:rPr>
        <w:t xml:space="preserve"> </w:t>
      </w:r>
      <w:r>
        <w:rPr>
          <w:rFonts w:hint="eastAsia"/>
          <w:lang w:eastAsia="zh-CN"/>
        </w:rPr>
        <w:t>指出线性组合在可解释性和稳健性方面更具优势。</w:t>
      </w:r>
      <w:r>
        <w:rPr>
          <w:lang w:eastAsia="zh-CN"/>
        </w:rPr>
        <w:t xml:space="preserve"> </w:t>
      </w:r>
      <w:r>
        <w:rPr>
          <w:rFonts w:hint="eastAsia"/>
          <w:lang w:eastAsia="zh-CN"/>
        </w:rPr>
        <w:t>Chen等</w:t>
      </w:r>
      <w:r>
        <w:rPr>
          <w:vertAlign w:val="superscript"/>
          <w:lang w:eastAsia="zh-CN"/>
        </w:rPr>
        <w:t>[23]</w:t>
      </w:r>
      <w:r>
        <w:rPr>
          <w:rFonts w:hint="eastAsia"/>
          <w:lang w:eastAsia="zh-CN"/>
        </w:rPr>
        <w:t>在福建省农业气象灾害风险区划中用AHP-EWM结合GIS做了空间可视化。</w:t>
      </w:r>
      <w:r>
        <w:rPr>
          <w:lang w:eastAsia="zh-CN"/>
        </w:rPr>
        <w:t xml:space="preserve"> </w:t>
      </w:r>
      <w:r>
        <w:rPr>
          <w:rFonts w:hint="eastAsia"/>
          <w:lang w:eastAsia="zh-CN"/>
        </w:rPr>
        <w:t>Shang等</w:t>
      </w:r>
      <w:r>
        <w:rPr>
          <w:vertAlign w:val="superscript"/>
          <w:lang w:eastAsia="zh-CN"/>
        </w:rPr>
        <w:t>[24]</w:t>
      </w:r>
      <w:r>
        <w:rPr>
          <w:rFonts w:hint="eastAsia"/>
          <w:lang w:eastAsia="zh-CN"/>
        </w:rPr>
        <w:t>在城市土地集约利用评价中用EWM改进AHP权重，提出了一种组合权重的方法。</w:t>
      </w:r>
      <w:r>
        <w:rPr>
          <w:lang w:eastAsia="zh-CN"/>
        </w:rPr>
        <w:t xml:space="preserve"> </w:t>
      </w:r>
      <w:r>
        <w:rPr>
          <w:rFonts w:hint="eastAsia"/>
          <w:lang w:eastAsia="zh-CN"/>
        </w:rPr>
        <w:t>Hou和Huang</w:t>
      </w:r>
      <w:r>
        <w:rPr>
          <w:vertAlign w:val="superscript"/>
          <w:lang w:eastAsia="zh-CN"/>
        </w:rPr>
        <w:t>[25]</w:t>
      </w:r>
      <w:r>
        <w:rPr>
          <w:rFonts w:hint="eastAsia"/>
          <w:lang w:eastAsia="zh-CN"/>
        </w:rPr>
        <w:t>把AHP-EWM模型用于旅游地社区参与度评价，效果也不错。</w:t>
      </w:r>
      <w:r>
        <w:rPr>
          <w:lang w:eastAsia="zh-CN"/>
        </w:rPr>
        <w:t xml:space="preserve"> </w:t>
      </w:r>
      <w:r>
        <w:rPr>
          <w:rFonts w:hint="eastAsia"/>
          <w:lang w:eastAsia="zh-CN"/>
        </w:rPr>
        <w:t>这些研究都表明，综合主客观信息的混合方法比单一方法更具优势。</w:t>
      </w:r>
    </w:p>
    <w:bookmarkEnd w:id="12"/>
    <w:p w14:paraId="654F5D62">
      <w:pPr>
        <w:pStyle w:val="5"/>
        <w:rPr>
          <w:rFonts w:hint="eastAsia"/>
          <w:lang w:eastAsia="zh-CN"/>
        </w:rPr>
      </w:pPr>
      <w:bookmarkStart w:id="13" w:name="奥运项目评估研究"/>
      <w:r>
        <w:rPr>
          <w:rStyle w:val="62"/>
          <w:rFonts w:ascii="黑体" w:hAnsi="黑体" w:eastAsia="黑体"/>
          <w:lang w:eastAsia="zh-CN"/>
        </w:rPr>
        <w:t>1.3.2</w:t>
      </w:r>
      <w:r>
        <w:rPr>
          <w:rFonts w:hint="eastAsia"/>
          <w:lang w:eastAsia="zh-CN"/>
        </w:rPr>
        <w:t xml:space="preserve">  </w:t>
      </w:r>
      <w:r>
        <w:rPr>
          <w:lang w:eastAsia="zh-CN"/>
        </w:rPr>
        <w:t>奥运项目评估研究</w:t>
      </w:r>
    </w:p>
    <w:p w14:paraId="30BE579D">
      <w:pPr>
        <w:pStyle w:val="35"/>
        <w:ind w:firstLine="480"/>
        <w:rPr>
          <w:lang w:eastAsia="zh-CN"/>
        </w:rPr>
      </w:pPr>
      <w:r>
        <w:rPr>
          <w:rFonts w:hint="eastAsia"/>
          <w:lang w:eastAsia="zh-CN"/>
        </w:rPr>
        <w:t>专门针对奥运项目评估的量化研究目前还不多见。</w:t>
      </w:r>
      <w:r>
        <w:rPr>
          <w:lang w:eastAsia="zh-CN"/>
        </w:rPr>
        <w:t xml:space="preserve"> </w:t>
      </w:r>
      <w:r>
        <w:rPr>
          <w:rFonts w:hint="eastAsia"/>
          <w:lang w:eastAsia="zh-CN"/>
        </w:rPr>
        <w:t>国际奥委会自身有一套六个维度的评估标准，但尚未完全量化。</w:t>
      </w:r>
      <w:r>
        <w:rPr>
          <w:lang w:eastAsia="zh-CN"/>
        </w:rPr>
        <w:t xml:space="preserve"> </w:t>
      </w:r>
      <w:r>
        <w:rPr>
          <w:rFonts w:hint="eastAsia"/>
          <w:lang w:eastAsia="zh-CN"/>
        </w:rPr>
        <w:t>李凤梅</w:t>
      </w:r>
      <w:r>
        <w:rPr>
          <w:vertAlign w:val="superscript"/>
          <w:lang w:eastAsia="zh-CN"/>
        </w:rPr>
        <w:t>[1]</w:t>
      </w:r>
      <w:r>
        <w:rPr>
          <w:rFonts w:hint="eastAsia"/>
          <w:lang w:eastAsia="zh-CN"/>
        </w:rPr>
        <w:t>从人文、经济、社会等角度分析了奥运项目的设置标准，提出了一些改革原则。</w:t>
      </w:r>
    </w:p>
    <w:p w14:paraId="1133E1CD">
      <w:pPr>
        <w:pStyle w:val="35"/>
        <w:ind w:firstLine="480"/>
        <w:rPr>
          <w:lang w:eastAsia="zh-CN"/>
        </w:rPr>
      </w:pPr>
      <w:r>
        <w:rPr>
          <w:rFonts w:hint="eastAsia"/>
          <w:lang w:eastAsia="zh-CN"/>
        </w:rPr>
        <w:t>Song等</w:t>
      </w:r>
      <w:r>
        <w:rPr>
          <w:vertAlign w:val="superscript"/>
          <w:lang w:eastAsia="zh-CN"/>
        </w:rPr>
        <w:t>[15]</w:t>
      </w:r>
      <w:r>
        <w:rPr>
          <w:rFonts w:hint="eastAsia"/>
          <w:lang w:eastAsia="zh-CN"/>
        </w:rPr>
        <w:t>的工作与本研究最为相关。</w:t>
      </w:r>
      <w:r>
        <w:rPr>
          <w:lang w:eastAsia="zh-CN"/>
        </w:rPr>
        <w:t xml:space="preserve"> </w:t>
      </w:r>
      <w:r>
        <w:rPr>
          <w:rFonts w:hint="eastAsia"/>
          <w:lang w:eastAsia="zh-CN"/>
        </w:rPr>
        <w:t>他们提出了一个基于AHP评分、</w:t>
      </w:r>
      <w:r>
        <w:rPr>
          <w:lang w:eastAsia="zh-CN"/>
        </w:rPr>
        <w:t xml:space="preserve"> </w:t>
      </w:r>
      <w:r>
        <w:rPr>
          <w:rFonts w:hint="eastAsia"/>
          <w:lang w:eastAsia="zh-CN"/>
        </w:rPr>
        <w:t>PCA特征提取和KNN分类器的框架，</w:t>
      </w:r>
      <w:r>
        <w:rPr>
          <w:lang w:eastAsia="zh-CN"/>
        </w:rPr>
        <w:t xml:space="preserve"> </w:t>
      </w:r>
      <w:r>
        <w:rPr>
          <w:rFonts w:hint="eastAsia"/>
          <w:lang w:eastAsia="zh-CN"/>
        </w:rPr>
        <w:t>对电子竞技、</w:t>
      </w:r>
      <w:r>
        <w:rPr>
          <w:lang w:eastAsia="zh-CN"/>
        </w:rPr>
        <w:t xml:space="preserve"> </w:t>
      </w:r>
      <w:r>
        <w:rPr>
          <w:rFonts w:hint="eastAsia"/>
          <w:lang w:eastAsia="zh-CN"/>
        </w:rPr>
        <w:t>澳式足球等项目进入2032年布里斯班奥运会的可能性进行了预测。</w:t>
      </w:r>
      <w:r>
        <w:rPr>
          <w:lang w:eastAsia="zh-CN"/>
        </w:rPr>
        <w:t xml:space="preserve"> </w:t>
      </w:r>
      <w:r>
        <w:rPr>
          <w:rFonts w:hint="eastAsia"/>
          <w:lang w:eastAsia="zh-CN"/>
        </w:rPr>
        <w:t>该研究证明了定量方法可以用于奥运项目评估，</w:t>
      </w:r>
      <w:r>
        <w:rPr>
          <w:lang w:eastAsia="zh-CN"/>
        </w:rPr>
        <w:t xml:space="preserve"> </w:t>
      </w:r>
      <w:r>
        <w:rPr>
          <w:rFonts w:hint="eastAsia"/>
          <w:lang w:eastAsia="zh-CN"/>
        </w:rPr>
        <w:t>但其侧重于分类问题而非评分排序，</w:t>
      </w:r>
      <w:r>
        <w:rPr>
          <w:lang w:eastAsia="zh-CN"/>
        </w:rPr>
        <w:t xml:space="preserve"> </w:t>
      </w:r>
      <w:r>
        <w:rPr>
          <w:rFonts w:hint="eastAsia"/>
          <w:lang w:eastAsia="zh-CN"/>
        </w:rPr>
        <w:t>且权重仅采用AHP方法，</w:t>
      </w:r>
      <w:r>
        <w:rPr>
          <w:lang w:eastAsia="zh-CN"/>
        </w:rPr>
        <w:t xml:space="preserve"> </w:t>
      </w:r>
      <w:r>
        <w:rPr>
          <w:rFonts w:hint="eastAsia"/>
          <w:lang w:eastAsia="zh-CN"/>
        </w:rPr>
        <w:t>未引入客观数据进行修正。</w:t>
      </w:r>
      <w:r>
        <w:rPr>
          <w:lang w:eastAsia="zh-CN"/>
        </w:rPr>
        <w:t>本研究在Song等人工作的基础上进行了两项改进，其一为引入EWM提供客观权重，与AHP形成互补，其二是将分类问题转化为评分排序问题，从而提供更精细化的评估结果</w:t>
      </w:r>
      <w:r>
        <w:rPr>
          <w:rFonts w:hint="eastAsia"/>
          <w:lang w:eastAsia="zh-CN"/>
        </w:rPr>
        <w:t>。</w:t>
      </w:r>
    </w:p>
    <w:bookmarkEnd w:id="11"/>
    <w:bookmarkEnd w:id="13"/>
    <w:p w14:paraId="0E6A3F0E">
      <w:pPr>
        <w:pStyle w:val="4"/>
        <w:rPr>
          <w:rFonts w:hint="eastAsia"/>
          <w:lang w:eastAsia="zh-CN"/>
        </w:rPr>
      </w:pPr>
      <w:bookmarkStart w:id="14" w:name="_Toc229523230"/>
      <w:bookmarkStart w:id="15" w:name="研究内容与方法"/>
      <w:r>
        <w:rPr>
          <w:rStyle w:val="62"/>
          <w:rFonts w:ascii="黑体" w:hAnsi="黑体" w:eastAsia="黑体"/>
          <w:sz w:val="28"/>
          <w:szCs w:val="28"/>
          <w:lang w:eastAsia="zh-CN"/>
        </w:rPr>
        <w:t>1.4</w:t>
      </w:r>
      <w:r>
        <w:rPr>
          <w:lang w:eastAsia="zh-CN"/>
        </w:rPr>
        <w:tab/>
      </w:r>
      <w:r>
        <w:rPr>
          <w:lang w:eastAsia="zh-CN"/>
        </w:rPr>
        <w:t>研究内容与方法</w:t>
      </w:r>
      <w:bookmarkEnd w:id="14"/>
    </w:p>
    <w:p w14:paraId="1D01BDCD">
      <w:pPr>
        <w:pStyle w:val="5"/>
        <w:rPr>
          <w:rFonts w:hint="eastAsia"/>
          <w:lang w:eastAsia="zh-CN"/>
        </w:rPr>
      </w:pPr>
      <w:bookmarkStart w:id="16" w:name="研究内容"/>
      <w:r>
        <w:rPr>
          <w:rStyle w:val="62"/>
          <w:rFonts w:ascii="黑体" w:hAnsi="黑体" w:eastAsia="黑体"/>
          <w:lang w:eastAsia="zh-CN"/>
        </w:rPr>
        <w:t>1.4.1</w:t>
      </w:r>
      <w:r>
        <w:rPr>
          <w:rFonts w:hint="eastAsia"/>
          <w:lang w:eastAsia="zh-CN"/>
        </w:rPr>
        <w:t xml:space="preserve">  </w:t>
      </w:r>
      <w:r>
        <w:rPr>
          <w:lang w:eastAsia="zh-CN"/>
        </w:rPr>
        <w:t>研究内容</w:t>
      </w:r>
    </w:p>
    <w:p w14:paraId="66DB2069">
      <w:pPr>
        <w:pStyle w:val="35"/>
        <w:ind w:firstLine="480"/>
        <w:rPr>
          <w:lang w:eastAsia="zh-CN"/>
        </w:rPr>
      </w:pPr>
      <w:r>
        <w:rPr>
          <w:lang w:eastAsia="zh-CN"/>
        </w:rPr>
        <w:t>本研究主要包含五项内容。研究以构建一个六维评价指标体系为起点，该体系涵盖流行度、性别平等、可持续性、包容性、创新性、安全性六大维度，并在每个维度下设置了若干子指标，这构成了后续评估全面性与针对性的基础。在确立指标框架后，研究设计了一种AHP与EWM相结合的混合权重计算方法，其中由AHP从专家判断中提取主观权重，再由EWM从数据中提取客观权重，最终通过线性加权得出混合权重，从而兼顾了专家经验与数据信息。为检验模型有效性，研究利用HiMCM数据集和国际奥委会官方报告进行验证，选取了12个不同类别的项目进行评分排名，并与实际奥运决策进行对比。在理论模型得到验证后，研究将其转化为可操作的软件工具，开发了评估系统与可视化模块，让用户可以直观查看权重分布、评分排名和灵敏度分析结果。最后，运用该模型对2032年布里斯班奥运会可能新增的项目进行了预测分析。</w:t>
      </w:r>
    </w:p>
    <w:bookmarkEnd w:id="16"/>
    <w:p w14:paraId="7F774C29">
      <w:pPr>
        <w:pStyle w:val="5"/>
        <w:rPr>
          <w:rFonts w:hint="eastAsia"/>
          <w:lang w:eastAsia="zh-CN"/>
        </w:rPr>
      </w:pPr>
      <w:bookmarkStart w:id="17" w:name="研究方法"/>
      <w:r>
        <w:rPr>
          <w:rStyle w:val="62"/>
          <w:rFonts w:ascii="黑体" w:hAnsi="黑体" w:eastAsia="黑体"/>
          <w:lang w:eastAsia="zh-CN"/>
        </w:rPr>
        <w:t>1.4.2</w:t>
      </w:r>
      <w:r>
        <w:rPr>
          <w:lang w:eastAsia="zh-CN"/>
        </w:rPr>
        <w:tab/>
      </w:r>
      <w:r>
        <w:rPr>
          <w:lang w:eastAsia="zh-CN"/>
        </w:rPr>
        <w:t>研究方法</w:t>
      </w:r>
    </w:p>
    <w:p w14:paraId="1EB1AFF1">
      <w:pPr>
        <w:pStyle w:val="35"/>
        <w:ind w:firstLine="480"/>
        <w:rPr>
          <w:lang w:eastAsia="zh-CN"/>
        </w:rPr>
      </w:pPr>
      <w:r>
        <w:rPr>
          <w:lang w:eastAsia="zh-CN"/>
        </w:rPr>
        <w:t>本研究综合运用了三种研究方法。 文献研究阶段系统梳理了AHP、EWM及奥运评估领域的相关文献，为模型构建提供理论基础。 实证分析阶段基于HiMCM数据集和IOC官方数据开展了数值验证与灵敏度分析，检验模型在实际数据上的表现。 系统开发阶段利用Python处理和分析数据，并采用React框架结合TypeScript语言构建了Web评估系统，实现了权重计算、评分排序和可视化功能，将理论成果转化为可操作的软件工具。</w:t>
      </w:r>
    </w:p>
    <w:bookmarkEnd w:id="15"/>
    <w:bookmarkEnd w:id="17"/>
    <w:p w14:paraId="21B76B86">
      <w:pPr>
        <w:pStyle w:val="4"/>
        <w:rPr>
          <w:rFonts w:hint="eastAsia"/>
          <w:lang w:eastAsia="zh-CN"/>
        </w:rPr>
      </w:pPr>
      <w:bookmarkStart w:id="18" w:name="_Toc229523231"/>
      <w:bookmarkStart w:id="19" w:name="论文组织结构"/>
      <w:r>
        <w:rPr>
          <w:rStyle w:val="62"/>
          <w:rFonts w:ascii="黑体" w:hAnsi="黑体" w:eastAsia="黑体"/>
          <w:sz w:val="28"/>
          <w:szCs w:val="28"/>
          <w:lang w:eastAsia="zh-CN"/>
        </w:rPr>
        <w:t>1.5</w:t>
      </w:r>
      <w:r>
        <w:rPr>
          <w:rFonts w:hint="eastAsia"/>
          <w:lang w:eastAsia="zh-CN"/>
        </w:rPr>
        <w:t xml:space="preserve">  </w:t>
      </w:r>
      <w:r>
        <w:rPr>
          <w:lang w:eastAsia="zh-CN"/>
        </w:rPr>
        <w:t>论文组织结构</w:t>
      </w:r>
      <w:bookmarkEnd w:id="18"/>
    </w:p>
    <w:p w14:paraId="547BFC03">
      <w:pPr>
        <w:pStyle w:val="35"/>
        <w:ind w:firstLine="480"/>
        <w:rPr>
          <w:lang w:eastAsia="zh-CN"/>
        </w:rPr>
      </w:pPr>
      <w:r>
        <w:rPr>
          <w:rFonts w:hint="eastAsia"/>
          <w:lang w:eastAsia="zh-CN"/>
        </w:rPr>
        <w:t>本文共分六章。</w:t>
      </w:r>
      <w:r>
        <w:rPr>
          <w:lang w:eastAsia="zh-CN"/>
        </w:rPr>
        <w:t xml:space="preserve"> </w:t>
      </w:r>
      <w:r>
        <w:rPr>
          <w:rFonts w:hint="eastAsia"/>
          <w:lang w:eastAsia="zh-CN"/>
        </w:rPr>
        <w:t>第一章为绪论，介绍研究背景、研究意义以及国内外研究现状，明确研究内容和整体框架。</w:t>
      </w:r>
      <w:r>
        <w:rPr>
          <w:lang w:eastAsia="zh-CN"/>
        </w:rPr>
        <w:t xml:space="preserve"> </w:t>
      </w:r>
      <w:r>
        <w:rPr>
          <w:rFonts w:hint="eastAsia"/>
          <w:lang w:eastAsia="zh-CN"/>
        </w:rPr>
        <w:t>第二章为理论基础，阐述AHP、EWM、混合权重模型的基本原理以及奥运项目评估的相关研究。</w:t>
      </w:r>
      <w:r>
        <w:rPr>
          <w:lang w:eastAsia="zh-CN"/>
        </w:rPr>
        <w:t xml:space="preserve"> </w:t>
      </w:r>
      <w:r>
        <w:rPr>
          <w:rFonts w:hint="eastAsia"/>
          <w:lang w:eastAsia="zh-CN"/>
        </w:rPr>
        <w:t>第三章为模型构建，给出问题的数学定义、指标体系的设计、主客观权重的计算方法以及混合权重的组合策略。</w:t>
      </w:r>
      <w:r>
        <w:rPr>
          <w:lang w:eastAsia="zh-CN"/>
        </w:rPr>
        <w:t xml:space="preserve"> </w:t>
      </w:r>
      <w:r>
        <w:rPr>
          <w:rFonts w:hint="eastAsia"/>
          <w:lang w:eastAsia="zh-CN"/>
        </w:rPr>
        <w:t>第四章为实验分析，利用实际数据验证模型并对2032年布里斯班奥运会进行预测。</w:t>
      </w:r>
      <w:r>
        <w:rPr>
          <w:lang w:eastAsia="zh-CN"/>
        </w:rPr>
        <w:t xml:space="preserve"> </w:t>
      </w:r>
      <w:r>
        <w:rPr>
          <w:rFonts w:hint="eastAsia"/>
          <w:lang w:eastAsia="zh-CN"/>
        </w:rPr>
        <w:t>第五章为系统实现，介绍评估系统的架构设计和核心模块。</w:t>
      </w:r>
      <w:r>
        <w:rPr>
          <w:lang w:eastAsia="zh-CN"/>
        </w:rPr>
        <w:t xml:space="preserve"> </w:t>
      </w:r>
      <w:r>
        <w:rPr>
          <w:rFonts w:hint="eastAsia"/>
          <w:lang w:eastAsia="zh-CN"/>
        </w:rPr>
        <w:t>第六章为总结与展望，归纳研究的主要发现和创新点，指出不足和未来改进方向。</w:t>
      </w:r>
      <w:bookmarkStart w:id="20" w:name="理论基础"/>
    </w:p>
    <w:bookmarkEnd w:id="19"/>
    <w:bookmarkEnd w:id="20"/>
    <w:p w14:paraId="68108EE9">
      <w:pPr>
        <w:pStyle w:val="2"/>
        <w:rPr>
          <w:rStyle w:val="62"/>
          <w:rFonts w:eastAsia="黑体" w:cs="Times New Roman"/>
          <w:sz w:val="28"/>
          <w:szCs w:val="28"/>
          <w:lang w:eastAsia="zh-CN"/>
        </w:rPr>
      </w:pPr>
      <w:bookmarkStart w:id="21" w:name="_Toc229523232"/>
      <w:bookmarkStart w:id="22" w:name="多准则决策理论概述"/>
      <w:r>
        <w:rPr>
          <w:rStyle w:val="62"/>
          <w:rFonts w:hint="eastAsia" w:eastAsia="黑体" w:cs="Times New Roman"/>
          <w:sz w:val="28"/>
          <w:szCs w:val="28"/>
          <w:lang w:eastAsia="zh-CN"/>
        </w:rPr>
        <w:t>第二章    理论基础</w:t>
      </w:r>
    </w:p>
    <w:p w14:paraId="5E476A97">
      <w:pPr>
        <w:pStyle w:val="4"/>
        <w:rPr>
          <w:rFonts w:hint="eastAsia"/>
          <w:lang w:eastAsia="zh-CN"/>
        </w:rPr>
      </w:pPr>
      <w:r>
        <w:rPr>
          <w:rStyle w:val="62"/>
          <w:rFonts w:ascii="黑体" w:hAnsi="黑体" w:eastAsia="黑体"/>
          <w:sz w:val="28"/>
          <w:szCs w:val="28"/>
          <w:lang w:eastAsia="zh-CN"/>
        </w:rPr>
        <w:t>2.1</w:t>
      </w:r>
      <w:r>
        <w:rPr>
          <w:lang w:eastAsia="zh-CN"/>
        </w:rPr>
        <w:t xml:space="preserve"> 多准则决策理论概述</w:t>
      </w:r>
      <w:bookmarkEnd w:id="21"/>
      <w:r>
        <w:rPr>
          <w:lang w:eastAsia="zh-CN"/>
        </w:rPr>
        <w:tab/>
      </w:r>
    </w:p>
    <w:p w14:paraId="74D11CE9">
      <w:pPr>
        <w:pStyle w:val="35"/>
        <w:ind w:firstLine="480"/>
        <w:rPr>
          <w:lang w:eastAsia="zh-CN"/>
        </w:rPr>
      </w:pPr>
      <w:r>
        <w:rPr>
          <w:lang w:eastAsia="zh-CN"/>
        </w:rPr>
        <w:t>多准则决策研究的是在多个可能互相矛盾的指标中如何选出最优方案。 现实生活中，大多数重要决策都不能只看一个指标就做决定，所以怎么在不同指标之间权衡就成了决策科学的核心问题。 多准则决策方法可以分为多属性决策和多目标决策两类</w:t>
      </w:r>
      <w:r>
        <w:rPr>
          <w:vertAlign w:val="superscript"/>
          <w:lang w:eastAsia="zh-CN"/>
        </w:rPr>
        <w:t>[21]</w:t>
      </w:r>
      <w:r>
        <w:rPr>
          <w:lang w:eastAsia="zh-CN"/>
        </w:rPr>
        <w:t>。 多属性决策从有限的离散方案中选最优，比如选供应商或评估投资项目，方案</w:t>
      </w:r>
      <w:r>
        <w:rPr>
          <w:rFonts w:hint="eastAsia"/>
          <w:lang w:eastAsia="zh-CN"/>
        </w:rPr>
        <w:t>选择已经</w:t>
      </w:r>
      <w:r>
        <w:rPr>
          <w:lang w:eastAsia="zh-CN"/>
        </w:rPr>
        <w:t>事先明确。 多目标决策则在连续方案空间中寻找满意解，通常涉及约束条件下的多目标优化问题，方案不是预先给定的。 本研究属于多属性决策的范畴，因为奥运项目评估本质上就是从一组候选项目中根据多个评价指标选出综合表现最优的项目组合。</w:t>
      </w:r>
    </w:p>
    <w:bookmarkEnd w:id="22"/>
    <w:p w14:paraId="17BF8C61">
      <w:pPr>
        <w:pStyle w:val="4"/>
        <w:rPr>
          <w:rFonts w:hint="eastAsia"/>
          <w:lang w:eastAsia="zh-CN"/>
        </w:rPr>
      </w:pPr>
      <w:bookmarkStart w:id="23" w:name="_Toc229523233"/>
      <w:r>
        <w:rPr>
          <w:rStyle w:val="62"/>
          <w:rFonts w:ascii="黑体" w:hAnsi="黑体" w:eastAsia="黑体"/>
          <w:sz w:val="28"/>
          <w:szCs w:val="28"/>
          <w:lang w:eastAsia="zh-CN"/>
        </w:rPr>
        <w:t>2.2</w:t>
      </w:r>
      <w:r>
        <w:rPr>
          <w:rFonts w:hint="eastAsia"/>
          <w:lang w:eastAsia="zh-CN"/>
        </w:rPr>
        <w:t xml:space="preserve">  </w:t>
      </w:r>
      <w:r>
        <w:rPr>
          <w:lang w:eastAsia="zh-CN"/>
        </w:rPr>
        <w:t>AHP–层次分析法</w:t>
      </w:r>
      <w:bookmarkEnd w:id="23"/>
    </w:p>
    <w:p w14:paraId="2A79174B">
      <w:pPr>
        <w:pStyle w:val="5"/>
        <w:rPr>
          <w:rFonts w:hint="eastAsia"/>
          <w:lang w:eastAsia="zh-CN"/>
        </w:rPr>
      </w:pPr>
      <w:bookmarkStart w:id="24" w:name="基本原理"/>
      <w:r>
        <w:rPr>
          <w:rStyle w:val="62"/>
          <w:rFonts w:ascii="黑体" w:hAnsi="黑体" w:eastAsia="黑体"/>
          <w:lang w:eastAsia="zh-CN"/>
        </w:rPr>
        <w:t>2.2.1</w:t>
      </w:r>
      <w:r>
        <w:rPr>
          <w:lang w:eastAsia="zh-CN"/>
        </w:rPr>
        <w:t xml:space="preserve"> 基本原理</w:t>
      </w:r>
    </w:p>
    <w:p w14:paraId="027F589D">
      <w:pPr>
        <w:pStyle w:val="35"/>
        <w:ind w:firstLine="480"/>
        <w:rPr>
          <w:lang w:eastAsia="zh-CN"/>
        </w:rPr>
      </w:pPr>
      <w:r>
        <w:rPr>
          <w:rFonts w:hint="eastAsia"/>
          <w:lang w:eastAsia="zh-CN"/>
        </w:rPr>
        <w:t>层次分析法由Saaty</w:t>
      </w:r>
      <w:r>
        <w:rPr>
          <w:vertAlign w:val="superscript"/>
          <w:lang w:eastAsia="zh-CN"/>
        </w:rPr>
        <w:t>[16]</w:t>
      </w:r>
      <w:r>
        <w:rPr>
          <w:rFonts w:hint="eastAsia"/>
          <w:lang w:eastAsia="zh-CN"/>
        </w:rPr>
        <w:t>在20世纪70年代提出，</w:t>
      </w:r>
      <w:r>
        <w:rPr>
          <w:lang w:eastAsia="zh-CN"/>
        </w:rPr>
        <w:t>主要用于将复杂的决策问题分层分解并进行量化处理。其核心思路是将问题分为目标层、准则层和方案层三个层次，然后通过两两比较确定各层元素的相对重要性，最后得出各方案的综合排序。这样做的好处在于，一个原本复杂且难以直接量化的问题被拆解为多个简单的两两比较，每次只需要判断两个元素谁更重要，大大降低了思考难度，判断结果也更一致。在本研究中，目标层是评估奥运项目的综合竞争力，准则层是流行度、性别平等、可持续性、包容性、创新性、安全性六个维度，方案层则是各个候选运动项目</w:t>
      </w:r>
      <w:r>
        <w:rPr>
          <w:rFonts w:hint="eastAsia"/>
          <w:lang w:eastAsia="zh-CN"/>
        </w:rPr>
        <w:t>。</w:t>
      </w:r>
    </w:p>
    <w:bookmarkEnd w:id="24"/>
    <w:p w14:paraId="6A7733A2">
      <w:pPr>
        <w:pStyle w:val="5"/>
        <w:rPr>
          <w:rFonts w:hint="eastAsia"/>
          <w:lang w:eastAsia="zh-CN"/>
        </w:rPr>
      </w:pPr>
      <w:r>
        <w:rPr>
          <w:rStyle w:val="62"/>
          <w:rFonts w:eastAsia="黑体" w:cs="Times New Roman"/>
          <w:color w:val="auto"/>
          <w:sz w:val="26"/>
          <w:szCs w:val="26"/>
          <w:lang w:eastAsia="zh-CN"/>
        </w:rPr>
        <w:t>2.2.2</w:t>
      </w:r>
      <w:r>
        <w:rPr>
          <w:rFonts w:hint="eastAsia"/>
          <w:lang w:eastAsia="zh-CN"/>
        </w:rPr>
        <w:t xml:space="preserve"> 判断矩阵</w:t>
      </w:r>
    </w:p>
    <w:p w14:paraId="7A04BB52">
      <w:pPr>
        <w:pStyle w:val="35"/>
        <w:ind w:firstLine="480"/>
        <w:rPr>
          <w:lang w:eastAsia="zh-CN"/>
        </w:rPr>
      </w:pPr>
      <w:r>
        <w:rPr>
          <w:rFonts w:hint="eastAsia"/>
          <w:lang w:eastAsia="zh-CN"/>
        </w:rPr>
        <w:t>对于</w:t>
      </w:r>
      <m:oMath>
        <m:r>
          <m:rPr/>
          <w:rPr>
            <w:rFonts w:ascii="Cambria Math" w:hAnsi="Cambria Math"/>
            <w:lang w:eastAsia="zh-CN"/>
          </w:rPr>
          <m:t>n</m:t>
        </m:r>
      </m:oMath>
      <w:r>
        <w:rPr>
          <w:rFonts w:hint="eastAsia"/>
          <w:lang w:eastAsia="zh-CN"/>
        </w:rPr>
        <w:t>个指标，</w:t>
      </w:r>
      <w:r>
        <w:rPr>
          <w:lang w:eastAsia="zh-CN"/>
        </w:rPr>
        <w:t xml:space="preserve"> </w:t>
      </w:r>
      <w:r>
        <w:rPr>
          <w:rFonts w:hint="eastAsia"/>
          <w:lang w:eastAsia="zh-CN"/>
        </w:rPr>
        <w:t>构造判断矩阵</w:t>
      </w:r>
      <m:oMath>
        <m:r>
          <m:rPr/>
          <w:rPr>
            <w:rFonts w:ascii="Cambria Math" w:hAnsi="Cambria Math"/>
            <w:lang w:eastAsia="zh-CN"/>
          </w:rPr>
          <m:t xml:space="preserve"> </m:t>
        </m:r>
        <m:r>
          <m:rPr/>
          <w:rPr>
            <w:rStyle w:val="96"/>
            <w:rFonts w:ascii="Cambria Math" w:hAnsi="Cambria Math" w:eastAsia="宋体"/>
            <w:lang w:eastAsia="zh-CN"/>
          </w:rPr>
          <m:t>A</m:t>
        </m:r>
        <m:r>
          <m:rPr>
            <m:sty m:val="p"/>
          </m:rPr>
          <w:rPr>
            <w:rStyle w:val="96"/>
            <w:rFonts w:ascii="Cambria Math" w:hAnsi="Cambria Math" w:eastAsia="宋体"/>
            <w:lang w:eastAsia="zh-CN"/>
          </w:rPr>
          <m:t>=[</m:t>
        </m:r>
        <m:sSub>
          <m:sSubPr>
            <m:ctrlPr>
              <w:rPr>
                <w:rStyle w:val="96"/>
                <w:rFonts w:ascii="Cambria Math" w:hAnsi="Cambria Math" w:eastAsia="宋体"/>
              </w:rPr>
            </m:ctrlPr>
          </m:sSubPr>
          <m:e>
            <m:r>
              <m:rPr/>
              <w:rPr>
                <w:rStyle w:val="96"/>
                <w:rFonts w:ascii="Cambria Math" w:hAnsi="Cambria Math" w:eastAsia="宋体"/>
                <w:lang w:eastAsia="zh-CN"/>
              </w:rPr>
              <m:t>a</m:t>
            </m:r>
            <m:ctrlPr>
              <w:rPr>
                <w:rStyle w:val="96"/>
                <w:rFonts w:ascii="Cambria Math" w:hAnsi="Cambria Math" w:eastAsia="宋体"/>
              </w:rPr>
            </m:ctrlPr>
          </m:e>
          <m:sub>
            <m:r>
              <m:rPr/>
              <w:rPr>
                <w:rStyle w:val="96"/>
                <w:rFonts w:ascii="Cambria Math" w:hAnsi="Cambria Math" w:eastAsia="宋体"/>
                <w:lang w:eastAsia="zh-CN"/>
              </w:rPr>
              <m:t>ij</m:t>
            </m:r>
            <m:ctrlPr>
              <w:rPr>
                <w:rStyle w:val="96"/>
                <w:rFonts w:ascii="Cambria Math" w:hAnsi="Cambria Math" w:eastAsia="宋体"/>
              </w:rPr>
            </m:ctrlPr>
          </m:sub>
        </m:sSub>
        <m:sSub>
          <m:sSubPr>
            <m:ctrlPr>
              <w:rPr>
                <w:rStyle w:val="96"/>
                <w:rFonts w:ascii="Cambria Math" w:hAnsi="Cambria Math" w:eastAsia="宋体"/>
              </w:rPr>
            </m:ctrlPr>
          </m:sSubPr>
          <m:e>
            <m:r>
              <m:rPr>
                <m:sty m:val="p"/>
              </m:rPr>
              <w:rPr>
                <w:rStyle w:val="96"/>
                <w:rFonts w:ascii="Cambria Math" w:hAnsi="Cambria Math" w:eastAsia="宋体"/>
                <w:lang w:eastAsia="zh-CN"/>
              </w:rPr>
              <m:t>]</m:t>
            </m:r>
            <m:ctrlPr>
              <w:rPr>
                <w:rStyle w:val="96"/>
                <w:rFonts w:ascii="Cambria Math" w:hAnsi="Cambria Math" w:eastAsia="宋体"/>
              </w:rPr>
            </m:ctrlPr>
          </m:e>
          <m:sub>
            <m:r>
              <m:rPr/>
              <w:rPr>
                <w:rStyle w:val="96"/>
                <w:rFonts w:ascii="Cambria Math" w:hAnsi="Cambria Math" w:eastAsia="宋体"/>
                <w:lang w:eastAsia="zh-CN"/>
              </w:rPr>
              <m:t>n</m:t>
            </m:r>
            <m:r>
              <m:rPr>
                <m:sty m:val="p"/>
              </m:rPr>
              <w:rPr>
                <w:rStyle w:val="96"/>
                <w:rFonts w:ascii="Cambria Math" w:hAnsi="Cambria Math" w:eastAsia="宋体"/>
                <w:lang w:eastAsia="zh-CN"/>
              </w:rPr>
              <m:t>×</m:t>
            </m:r>
            <m:r>
              <m:rPr/>
              <w:rPr>
                <w:rStyle w:val="96"/>
                <w:rFonts w:ascii="Cambria Math" w:hAnsi="Cambria Math" w:eastAsia="宋体"/>
                <w:lang w:eastAsia="zh-CN"/>
              </w:rPr>
              <m:t>n</m:t>
            </m:r>
            <m:ctrlPr>
              <w:rPr>
                <w:rStyle w:val="96"/>
                <w:rFonts w:ascii="Cambria Math" w:hAnsi="Cambria Math" w:eastAsia="宋体"/>
              </w:rPr>
            </m:ctrlPr>
          </m:sub>
        </m:sSub>
      </m:oMath>
      <w:r>
        <w:rPr>
          <w:rStyle w:val="96"/>
          <w:rFonts w:hint="eastAsia" w:eastAsia="宋体"/>
          <w:lang w:eastAsia="zh-CN"/>
        </w:rPr>
        <w:t>，</w:t>
      </w:r>
      <w:r>
        <w:rPr>
          <w:rStyle w:val="96"/>
          <w:rFonts w:eastAsia="宋体"/>
          <w:lang w:eastAsia="zh-CN"/>
        </w:rPr>
        <w:t xml:space="preserve"> </w:t>
      </w:r>
      <w:r>
        <w:rPr>
          <w:rFonts w:hint="eastAsia"/>
          <w:lang w:eastAsia="zh-CN"/>
        </w:rPr>
        <w:t>其中</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r>
          <m:rPr/>
          <w:rPr>
            <w:rFonts w:ascii="Cambria Math" w:hAnsi="Cambria Math"/>
            <w:lang w:eastAsia="zh-CN"/>
          </w:rPr>
          <m:t xml:space="preserve"> </m:t>
        </m:r>
      </m:oMath>
      <w:r>
        <w:rPr>
          <w:rFonts w:hint="eastAsia"/>
          <w:lang w:eastAsia="zh-CN"/>
        </w:rPr>
        <w:t xml:space="preserve">表示指标 </w:t>
      </w:r>
      <m:oMath>
        <m:r>
          <m:rPr/>
          <w:rPr>
            <w:rFonts w:ascii="Cambria Math" w:hAnsi="Cambria Math"/>
            <w:lang w:eastAsia="zh-CN"/>
          </w:rPr>
          <m:t xml:space="preserve">i </m:t>
        </m:r>
      </m:oMath>
      <w:r>
        <w:rPr>
          <w:rFonts w:hint="eastAsia"/>
          <w:lang w:eastAsia="zh-CN"/>
        </w:rPr>
        <w:t>相对于指标</w:t>
      </w:r>
      <m:oMath>
        <m:r>
          <m:rPr/>
          <w:rPr>
            <w:rFonts w:ascii="Cambria Math" w:hAnsi="Cambria Math"/>
            <w:lang w:eastAsia="zh-CN"/>
          </w:rPr>
          <m:t xml:space="preserve"> j </m:t>
        </m:r>
      </m:oMath>
      <w:r>
        <w:rPr>
          <w:rFonts w:hint="eastAsia"/>
          <w:lang w:eastAsia="zh-CN"/>
        </w:rPr>
        <w:t>的重要性。</w:t>
      </w:r>
      <w:r>
        <w:rPr>
          <w:lang w:eastAsia="zh-CN"/>
        </w:rPr>
        <w:t xml:space="preserve"> </w:t>
      </w:r>
      <w:r>
        <w:rPr>
          <w:rFonts w:hint="eastAsia"/>
          <w:lang w:eastAsia="zh-CN"/>
        </w:rPr>
        <w:t>判断矩阵满足以下互反性质</w:t>
      </w:r>
      <w:r>
        <w:rPr>
          <w:vertAlign w:val="superscript"/>
          <w:lang w:eastAsia="zh-CN"/>
        </w:rPr>
        <w:t>[16]</w:t>
      </w:r>
      <w:r>
        <w:rPr>
          <w:rFonts w:hint="eastAsia"/>
          <w:lang w:eastAsia="zh-CN"/>
        </w:rPr>
        <w:t>：</w:t>
      </w:r>
    </w:p>
    <w:p w14:paraId="4342959B">
      <w:pPr>
        <w:pStyle w:val="95"/>
      </w:pPr>
      <w:r>
        <w:rPr>
          <w:rFonts w:eastAsia="仿宋"/>
        </w:rPr>
        <w:tab/>
      </w:r>
      <m:oMath>
        <m:r>
          <m:rPr>
            <m:sty m:val="p"/>
          </m:rPr>
          <w:rPr>
            <w:rFonts w:ascii="Cambria Math" w:hAnsi="Cambria Math"/>
          </w:rPr>
          <m:t xml:space="preserve">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&gt;0, 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=1</m:t>
        </m:r>
        <m:r>
          <m:rPr>
            <m:lit/>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ii</m:t>
            </m:r>
            <m:ctrlPr>
              <w:rPr>
                <w:rFonts w:ascii="Cambria Math" w:hAnsi="Cambria Math"/>
              </w:rPr>
            </m:ctrlPr>
          </m:sub>
        </m:sSub>
        <m:r>
          <m:rPr>
            <m:sty m:val="p"/>
          </m:rPr>
          <w:rPr>
            <w:rFonts w:ascii="Cambria Math" w:hAnsi="Cambria Math"/>
          </w:rPr>
          <m:t>=1.</m:t>
        </m:r>
      </m:oMath>
      <w:r>
        <w:tab/>
      </w:r>
      <w:r>
        <w:tab/>
      </w:r>
      <w:r>
        <w:t>(2.1)</w:t>
      </w:r>
    </w:p>
    <w:p w14:paraId="1B51B94A">
      <w:pPr>
        <w:pStyle w:val="35"/>
        <w:ind w:firstLine="480"/>
        <w:rPr>
          <w:i/>
          <w:vertAlign w:val="superscript"/>
          <w:lang w:eastAsia="zh-CN"/>
        </w:rPr>
      </w:pP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的取值有标准方法。</w:t>
      </w:r>
      <w:r>
        <w:rPr>
          <w:lang w:eastAsia="zh-CN"/>
        </w:rPr>
        <w:t xml:space="preserve"> </w:t>
      </w:r>
      <w:r>
        <w:rPr>
          <w:rFonts w:hint="eastAsia"/>
          <w:lang w:eastAsia="zh-CN"/>
        </w:rPr>
        <w:t>Saaty用的是</w:t>
      </w:r>
      <w:r>
        <w:rPr>
          <w:iCs/>
          <w:lang w:eastAsia="zh-CN"/>
        </w:rPr>
        <w:t>1</w:t>
      </w:r>
      <w:r>
        <w:rPr>
          <w:rFonts w:hint="eastAsia" w:ascii="宋体" w:hAnsi="宋体" w:cs="宋体"/>
          <w:iCs/>
          <w:lang w:eastAsia="zh-CN"/>
        </w:rPr>
        <w:t>到</w:t>
      </w:r>
      <w:r>
        <w:rPr>
          <w:iCs/>
          <w:lang w:eastAsia="zh-CN"/>
        </w:rPr>
        <w:t>9标度法</w:t>
      </w:r>
      <w:r>
        <w:rPr>
          <w:iCs/>
          <w:vertAlign w:val="superscript"/>
          <w:lang w:eastAsia="zh-CN"/>
        </w:rPr>
        <w:t>[16]</w:t>
      </w:r>
      <w:r>
        <w:rPr>
          <w:rFonts w:hint="eastAsia"/>
          <w:lang w:eastAsia="zh-CN"/>
        </w:rPr>
        <w:t>，如表2.</w:t>
      </w:r>
      <w:r>
        <w:fldChar w:fldCharType="begin"/>
      </w:r>
      <w:r>
        <w:instrText xml:space="preserve"> HYPERLINK \l "tab:scale" \h </w:instrText>
      </w:r>
      <w:r>
        <w:fldChar w:fldCharType="separate"/>
      </w:r>
      <w:r>
        <w:rPr>
          <w:rStyle w:val="32"/>
          <w:color w:val="auto"/>
          <w:lang w:eastAsia="zh-CN"/>
        </w:rPr>
        <w:t>1</w:t>
      </w:r>
      <w:r>
        <w:rPr>
          <w:rStyle w:val="32"/>
          <w:color w:val="auto"/>
          <w:lang w:eastAsia="zh-CN"/>
        </w:rPr>
        <w:fldChar w:fldCharType="end"/>
      </w:r>
      <w:r>
        <w:rPr>
          <w:lang w:eastAsia="zh-CN"/>
        </w:rPr>
        <w:t xml:space="preserve">。 </w:t>
      </w:r>
      <w:r>
        <w:rPr>
          <w:rFonts w:hint="eastAsia"/>
          <w:lang w:eastAsia="zh-CN"/>
        </w:rPr>
        <w:t>这个标度考虑到人一般最多能区分7</w:t>
      </w:r>
      <m:oMath>
        <m:r>
          <m:rPr>
            <m:sty m:val="p"/>
          </m:rPr>
          <w:rPr>
            <w:rFonts w:ascii="Cambria Math" w:hAnsi="Cambria Math"/>
            <w:lang w:eastAsia="zh-CN"/>
          </w:rPr>
          <m:t>±</m:t>
        </m:r>
      </m:oMath>
      <w:r>
        <w:rPr>
          <w:rFonts w:hint="eastAsia"/>
          <w:lang w:eastAsia="zh-CN"/>
        </w:rPr>
        <w:t>2个等级，所以9级标度较为合理。</w:t>
      </w:r>
      <w:r>
        <w:rPr>
          <w:lang w:eastAsia="zh-CN"/>
        </w:rPr>
        <w:t xml:space="preserve"> </w:t>
      </w:r>
    </w:p>
    <w:p w14:paraId="26889623">
      <w:pPr>
        <w:pStyle w:val="35"/>
        <w:ind w:firstLine="480"/>
        <w:rPr>
          <w:lang w:eastAsia="zh-CN"/>
        </w:rPr>
      </w:pPr>
    </w:p>
    <w:p w14:paraId="0EA8ADCC">
      <w:pPr>
        <w:pStyle w:val="102"/>
      </w:pPr>
      <w:bookmarkStart w:id="25" w:name="_tab_scale"/>
    </w:p>
    <w:p w14:paraId="01D52298">
      <w:pPr>
        <w:pStyle w:val="102"/>
      </w:pPr>
    </w:p>
    <w:p w14:paraId="37C72F30">
      <w:pPr>
        <w:pStyle w:val="102"/>
      </w:pPr>
      <w:r>
        <w:t>表2.1</w:t>
      </w:r>
      <w:r>
        <w:rPr>
          <w:rFonts w:hint="eastAsia"/>
        </w:rPr>
        <w:t xml:space="preserve">  </w:t>
      </w:r>
      <w:r>
        <w:t>萨蒂1-9标度法</w:t>
      </w:r>
      <w:bookmarkEnd w:id="25"/>
    </w:p>
    <w:tbl>
      <w:tblPr>
        <w:tblStyle w:val="30"/>
        <w:tblW w:w="5000" w:type="pct"/>
        <w:jc w:val="center"/>
        <w:tblLayout w:type="autofit"/>
        <w:tblCellMar>
          <w:top w:w="0" w:type="dxa"/>
          <w:left w:w="108" w:type="dxa"/>
          <w:bottom w:w="0" w:type="dxa"/>
          <w:right w:w="108" w:type="dxa"/>
        </w:tblCellMar>
      </w:tblPr>
      <w:tblGrid>
        <w:gridCol w:w="1702"/>
        <w:gridCol w:w="7154"/>
      </w:tblGrid>
      <w:tr w14:paraId="2966F333">
        <w:trPr>
          <w:trHeight w:val="20" w:hRule="atLeast"/>
          <w:jc w:val="center"/>
        </w:trPr>
        <w:tc>
          <w:tcPr>
            <w:tcW w:w="961" w:type="pct"/>
            <w:tcBorders>
              <w:top w:val="single" w:color="000000" w:sz="12" w:space="0"/>
              <w:left w:val="nil"/>
              <w:bottom w:val="single" w:color="000000" w:sz="4" w:space="0"/>
              <w:right w:val="nil"/>
            </w:tcBorders>
          </w:tcPr>
          <w:p w14:paraId="60F4816C">
            <w:pPr>
              <w:pStyle w:val="108"/>
            </w:pPr>
            <w:r>
              <w:t>标度</w:t>
            </w:r>
          </w:p>
        </w:tc>
        <w:tc>
          <w:tcPr>
            <w:tcW w:w="4039" w:type="pct"/>
            <w:tcBorders>
              <w:top w:val="single" w:color="000000" w:sz="12" w:space="0"/>
              <w:left w:val="nil"/>
              <w:bottom w:val="single" w:color="000000" w:sz="4" w:space="0"/>
              <w:right w:val="nil"/>
            </w:tcBorders>
          </w:tcPr>
          <w:p w14:paraId="1F15FBBB">
            <w:pPr>
              <w:pStyle w:val="108"/>
            </w:pPr>
            <w:r>
              <w:t>含义</w:t>
            </w:r>
          </w:p>
        </w:tc>
      </w:tr>
      <w:tr w14:paraId="6039EAEC">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6D8CC331">
            <w:pPr>
              <w:pStyle w:val="108"/>
            </w:pPr>
            <w:r>
              <w:t>1</w:t>
            </w:r>
          </w:p>
        </w:tc>
        <w:tc>
          <w:tcPr>
            <w:tcW w:w="4039" w:type="pct"/>
            <w:tcBorders>
              <w:left w:val="nil"/>
              <w:right w:val="nil"/>
            </w:tcBorders>
          </w:tcPr>
          <w:p w14:paraId="4C291C92">
            <w:pPr>
              <w:pStyle w:val="108"/>
              <w:rPr>
                <w:lang w:eastAsia="zh-CN"/>
              </w:rPr>
            </w:pPr>
            <w:r>
              <w:rPr>
                <w:lang w:eastAsia="zh-CN"/>
              </w:rPr>
              <w:t>表示两个元素相比，具有同样的重要性</w:t>
            </w:r>
          </w:p>
        </w:tc>
      </w:tr>
      <w:tr w14:paraId="7D3A70F1">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28F6506E">
            <w:pPr>
              <w:pStyle w:val="108"/>
            </w:pPr>
            <w:r>
              <w:t>3</w:t>
            </w:r>
          </w:p>
        </w:tc>
        <w:tc>
          <w:tcPr>
            <w:tcW w:w="4039" w:type="pct"/>
            <w:tcBorders>
              <w:left w:val="nil"/>
              <w:right w:val="nil"/>
            </w:tcBorders>
          </w:tcPr>
          <w:p w14:paraId="0C7846A2">
            <w:pPr>
              <w:pStyle w:val="108"/>
              <w:rPr>
                <w:lang w:eastAsia="zh-CN"/>
              </w:rPr>
            </w:pPr>
            <w:r>
              <w:rPr>
                <w:lang w:eastAsia="zh-CN"/>
              </w:rPr>
              <w:t>表示两个元素相比，前者比后者稍重要</w:t>
            </w:r>
          </w:p>
        </w:tc>
      </w:tr>
      <w:tr w14:paraId="5259CC6E">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460BC151">
            <w:pPr>
              <w:pStyle w:val="108"/>
            </w:pPr>
            <w:r>
              <w:t>5</w:t>
            </w:r>
          </w:p>
        </w:tc>
        <w:tc>
          <w:tcPr>
            <w:tcW w:w="4039" w:type="pct"/>
            <w:tcBorders>
              <w:left w:val="nil"/>
              <w:right w:val="nil"/>
            </w:tcBorders>
          </w:tcPr>
          <w:p w14:paraId="4C040C54">
            <w:pPr>
              <w:pStyle w:val="108"/>
              <w:rPr>
                <w:lang w:eastAsia="zh-CN"/>
              </w:rPr>
            </w:pPr>
            <w:r>
              <w:rPr>
                <w:lang w:eastAsia="zh-CN"/>
              </w:rPr>
              <w:t>表示两个元素相比，前者比后者明显重要</w:t>
            </w:r>
          </w:p>
        </w:tc>
      </w:tr>
      <w:tr w14:paraId="4FE2A194">
        <w:tblPrEx>
          <w:tblCellMar>
            <w:top w:w="0" w:type="dxa"/>
            <w:left w:w="108" w:type="dxa"/>
            <w:bottom w:w="0" w:type="dxa"/>
            <w:right w:w="108" w:type="dxa"/>
          </w:tblCellMar>
        </w:tblPrEx>
        <w:trPr>
          <w:trHeight w:val="20" w:hRule="atLeast"/>
          <w:jc w:val="center"/>
        </w:trPr>
        <w:tc>
          <w:tcPr>
            <w:tcW w:w="961" w:type="pct"/>
            <w:tcBorders>
              <w:left w:val="nil"/>
              <w:right w:val="nil"/>
            </w:tcBorders>
          </w:tcPr>
          <w:p w14:paraId="5A04709A">
            <w:pPr>
              <w:pStyle w:val="108"/>
            </w:pPr>
            <w:r>
              <w:t>7</w:t>
            </w:r>
          </w:p>
        </w:tc>
        <w:tc>
          <w:tcPr>
            <w:tcW w:w="4039" w:type="pct"/>
            <w:tcBorders>
              <w:left w:val="nil"/>
              <w:right w:val="nil"/>
            </w:tcBorders>
          </w:tcPr>
          <w:p w14:paraId="77609936">
            <w:pPr>
              <w:pStyle w:val="108"/>
              <w:rPr>
                <w:lang w:eastAsia="zh-CN"/>
              </w:rPr>
            </w:pPr>
            <w:r>
              <w:rPr>
                <w:lang w:eastAsia="zh-CN"/>
              </w:rPr>
              <w:t>表示两个元素相比，前者比后者极其重要</w:t>
            </w:r>
          </w:p>
        </w:tc>
      </w:tr>
      <w:tr w14:paraId="4544172D">
        <w:trPr>
          <w:trHeight w:val="20" w:hRule="atLeast"/>
          <w:jc w:val="center"/>
        </w:trPr>
        <w:tc>
          <w:tcPr>
            <w:tcW w:w="961" w:type="pct"/>
            <w:tcBorders>
              <w:left w:val="nil"/>
              <w:right w:val="nil"/>
            </w:tcBorders>
          </w:tcPr>
          <w:p w14:paraId="445D996F">
            <w:pPr>
              <w:pStyle w:val="108"/>
            </w:pPr>
            <w:r>
              <w:t>9</w:t>
            </w:r>
          </w:p>
        </w:tc>
        <w:tc>
          <w:tcPr>
            <w:tcW w:w="4039" w:type="pct"/>
            <w:tcBorders>
              <w:left w:val="nil"/>
              <w:right w:val="nil"/>
            </w:tcBorders>
          </w:tcPr>
          <w:p w14:paraId="55D41C07">
            <w:pPr>
              <w:pStyle w:val="108"/>
              <w:rPr>
                <w:lang w:eastAsia="zh-CN"/>
              </w:rPr>
            </w:pPr>
            <w:r>
              <w:rPr>
                <w:lang w:eastAsia="zh-CN"/>
              </w:rPr>
              <w:t>表示两个元素相比，前者比后者强烈重要</w:t>
            </w:r>
          </w:p>
        </w:tc>
      </w:tr>
      <w:tr w14:paraId="70B8347D">
        <w:tblPrEx>
          <w:tblCellMar>
            <w:top w:w="0" w:type="dxa"/>
            <w:left w:w="108" w:type="dxa"/>
            <w:bottom w:w="0" w:type="dxa"/>
            <w:right w:w="108" w:type="dxa"/>
          </w:tblCellMar>
        </w:tblPrEx>
        <w:trPr>
          <w:trHeight w:val="20" w:hRule="atLeast"/>
          <w:jc w:val="center"/>
        </w:trPr>
        <w:tc>
          <w:tcPr>
            <w:tcW w:w="961" w:type="pct"/>
            <w:tcBorders>
              <w:left w:val="nil"/>
              <w:bottom w:val="single" w:color="000000" w:sz="12" w:space="0"/>
              <w:right w:val="nil"/>
            </w:tcBorders>
          </w:tcPr>
          <w:p w14:paraId="603A02FF">
            <w:pPr>
              <w:pStyle w:val="108"/>
            </w:pPr>
            <w:r>
              <w:t>2, 4, 6, 8</w:t>
            </w:r>
          </w:p>
        </w:tc>
        <w:tc>
          <w:tcPr>
            <w:tcW w:w="4039" w:type="pct"/>
            <w:tcBorders>
              <w:left w:val="nil"/>
              <w:bottom w:val="single" w:color="000000" w:sz="12" w:space="0"/>
              <w:right w:val="nil"/>
            </w:tcBorders>
          </w:tcPr>
          <w:p w14:paraId="2C91CED3">
            <w:pPr>
              <w:pStyle w:val="108"/>
              <w:rPr>
                <w:lang w:eastAsia="zh-CN"/>
              </w:rPr>
            </w:pPr>
            <w:r>
              <w:rPr>
                <w:lang w:eastAsia="zh-CN"/>
              </w:rPr>
              <w:t>表示上述相邻判断的中间值</w:t>
            </w:r>
          </w:p>
        </w:tc>
      </w:tr>
    </w:tbl>
    <w:p w14:paraId="2E6CFF3D">
      <w:pPr>
        <w:pStyle w:val="56"/>
        <w:jc w:val="both"/>
        <w:rPr>
          <w:rFonts w:eastAsiaTheme="minorEastAsia"/>
          <w:lang w:eastAsia="zh-CN"/>
        </w:rPr>
      </w:pPr>
    </w:p>
    <w:p w14:paraId="49944871">
      <w:pPr>
        <w:pStyle w:val="5"/>
        <w:rPr>
          <w:rFonts w:hint="eastAsia"/>
          <w:lang w:eastAsia="zh-CN"/>
        </w:rPr>
      </w:pPr>
      <w:r>
        <w:rPr>
          <w:rStyle w:val="62"/>
          <w:rFonts w:ascii="黑体" w:hAnsi="黑体" w:eastAsia="黑体"/>
          <w:lang w:eastAsia="zh-CN"/>
        </w:rPr>
        <w:t>2.2.3</w:t>
      </w:r>
      <w:r>
        <w:rPr>
          <w:lang w:eastAsia="zh-CN"/>
        </w:rPr>
        <w:tab/>
      </w:r>
      <w:r>
        <w:rPr>
          <w:lang w:eastAsia="zh-CN"/>
        </w:rPr>
        <w:t>权重计算与一致性检验</w:t>
      </w:r>
    </w:p>
    <w:p w14:paraId="58ABE0DB">
      <w:pPr>
        <w:pStyle w:val="35"/>
        <w:ind w:firstLine="480"/>
        <w:rPr>
          <w:lang w:eastAsia="zh-CN"/>
        </w:rPr>
      </w:pPr>
      <w:r>
        <w:rPr>
          <w:lang w:eastAsia="zh-CN"/>
        </w:rPr>
        <w:t>判断矩阵建好之后，需要从中提取权重向量。 AHP通过求解特征值问题</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w:rPr>
          <w:rFonts w:hint="eastAsia"/>
          <w:lang w:eastAsia="zh-CN"/>
        </w:rPr>
        <w:t xml:space="preserve"> </w:t>
      </w:r>
      <w:r>
        <w:rPr>
          <w:lang w:eastAsia="zh-CN"/>
        </w:rPr>
        <w:t>将最大特征值对应的特征向量归一化得到权重， 并通过一致性比率</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oMath>
      <w:r>
        <w:rPr>
          <w:lang w:eastAsia="zh-CN"/>
        </w:rPr>
        <w:t>检验判断矩阵的逻辑一致性</w:t>
      </w:r>
      <w:r>
        <w:rPr>
          <w:rFonts w:hint="eastAsia"/>
          <w:lang w:eastAsia="zh-CN"/>
        </w:rPr>
        <w:t>，</w:t>
      </w:r>
      <w:r>
        <w:rPr>
          <w:lang w:eastAsia="zh-CN"/>
        </w:rPr>
        <w:t>当</w:t>
      </w:r>
      <w:r>
        <w:rPr>
          <w:rFonts w:hint="eastAsia"/>
          <w:lang w:eastAsia="zh-CN"/>
        </w:rPr>
        <w:t xml:space="preserve"> </w:t>
      </w:r>
      <m:oMath>
        <m:r>
          <m:rPr/>
          <w:rPr>
            <w:rFonts w:ascii="Cambria Math" w:hAnsi="Cambria Math"/>
            <w:lang w:eastAsia="zh-CN"/>
          </w:rPr>
          <m:t>CR</m:t>
        </m:r>
        <m:r>
          <m:rPr>
            <m:sty m:val="p"/>
          </m:rPr>
          <w:rPr>
            <w:rFonts w:ascii="Cambria Math" w:hAnsi="Cambria Math"/>
            <w:lang w:eastAsia="zh-CN"/>
          </w:rPr>
          <m:t>&lt;0.1</m:t>
        </m:r>
      </m:oMath>
      <w:r>
        <w:rPr>
          <w:rFonts w:hint="eastAsia"/>
          <w:lang w:eastAsia="zh-CN"/>
        </w:rPr>
        <w:t xml:space="preserve"> </w:t>
      </w:r>
      <w:r>
        <w:rPr>
          <w:lang w:eastAsia="zh-CN"/>
        </w:rPr>
        <w:t>时认为通过检验。 计算AHP权重的具体流程</w:t>
      </w:r>
      <w:r>
        <w:rPr>
          <w:rFonts w:hint="eastAsia"/>
          <w:lang w:eastAsia="zh-CN"/>
        </w:rPr>
        <w:t>即</w:t>
      </w:r>
      <w:r>
        <w:rPr>
          <w:lang w:eastAsia="zh-CN"/>
        </w:rPr>
        <w:t>幂迭代法求解、CR检验以及随机一致性指标</w:t>
      </w:r>
      <w:r>
        <w:rPr>
          <w:rFonts w:hint="eastAsia"/>
          <w:lang w:eastAsia="zh-CN"/>
        </w:rPr>
        <w:t xml:space="preserve"> </w:t>
      </w:r>
      <m:oMath>
        <m:r>
          <m:rPr/>
          <w:rPr>
            <w:rFonts w:ascii="Cambria Math" w:hAnsi="Cambria Math"/>
            <w:lang w:eastAsia="zh-CN"/>
          </w:rPr>
          <m:t>RI</m:t>
        </m:r>
      </m:oMath>
      <w:r>
        <w:rPr>
          <w:rFonts w:hint="eastAsia"/>
          <w:lang w:eastAsia="zh-CN"/>
        </w:rPr>
        <w:t xml:space="preserve"> </w:t>
      </w:r>
      <w:r>
        <w:rPr>
          <w:lang w:eastAsia="zh-CN"/>
        </w:rPr>
        <w:t>的参考值详见表</w:t>
      </w:r>
      <w:r>
        <w:rPr>
          <w:rFonts w:hint="eastAsia"/>
          <w:lang w:eastAsia="zh-CN"/>
        </w:rPr>
        <w:t>2.</w:t>
      </w:r>
      <w:r>
        <w:fldChar w:fldCharType="begin"/>
      </w:r>
      <w:r>
        <w:instrText xml:space="preserve"> HYPERLINK \l "tab:ri" \h </w:instrText>
      </w:r>
      <w:r>
        <w:fldChar w:fldCharType="separate"/>
      </w:r>
      <w:r>
        <w:rPr>
          <w:rStyle w:val="32"/>
          <w:rFonts w:eastAsia="宋体"/>
          <w:color w:val="auto"/>
          <w:lang w:eastAsia="zh-CN"/>
        </w:rPr>
        <w:t>2</w:t>
      </w:r>
      <w:r>
        <w:rPr>
          <w:rStyle w:val="32"/>
          <w:rFonts w:eastAsia="宋体"/>
          <w:color w:val="auto"/>
          <w:lang w:eastAsia="zh-CN"/>
        </w:rPr>
        <w:fldChar w:fldCharType="end"/>
      </w:r>
      <w:r>
        <w:rPr>
          <w:lang w:eastAsia="zh-CN"/>
        </w:rPr>
        <w:t>和3.3节。</w:t>
      </w:r>
    </w:p>
    <w:p w14:paraId="338371B0">
      <w:pPr>
        <w:pStyle w:val="102"/>
      </w:pPr>
      <w:bookmarkStart w:id="26" w:name="_tab_ri"/>
      <w:r>
        <w:t>表2.2</w:t>
      </w:r>
      <w:r>
        <w:rPr>
          <w:rFonts w:hint="eastAsia"/>
        </w:rPr>
        <w:t xml:space="preserve">  </w:t>
      </w:r>
      <w:r>
        <w:t>随机一致性指标 RI</w:t>
      </w:r>
      <w:bookmarkEnd w:id="26"/>
    </w:p>
    <w:tbl>
      <w:tblPr>
        <w:tblStyle w:val="30"/>
        <w:tblW w:w="5000" w:type="pct"/>
        <w:tblInd w:w="0" w:type="dxa"/>
        <w:tblLayout w:type="autofit"/>
        <w:tblCellMar>
          <w:top w:w="0" w:type="dxa"/>
          <w:left w:w="108" w:type="dxa"/>
          <w:bottom w:w="0" w:type="dxa"/>
          <w:right w:w="108" w:type="dxa"/>
        </w:tblCellMar>
      </w:tblPr>
      <w:tblGrid>
        <w:gridCol w:w="717"/>
        <w:gridCol w:w="1162"/>
        <w:gridCol w:w="1162"/>
        <w:gridCol w:w="1163"/>
        <w:gridCol w:w="1163"/>
        <w:gridCol w:w="1163"/>
        <w:gridCol w:w="1163"/>
        <w:gridCol w:w="1163"/>
      </w:tblGrid>
      <w:tr w14:paraId="602F2601">
        <w:tblPrEx>
          <w:tblCellMar>
            <w:top w:w="0" w:type="dxa"/>
            <w:left w:w="108" w:type="dxa"/>
            <w:bottom w:w="0" w:type="dxa"/>
            <w:right w:w="108" w:type="dxa"/>
          </w:tblCellMar>
        </w:tblPrEx>
        <w:tc>
          <w:tcPr>
            <w:tcW w:w="405" w:type="pct"/>
            <w:tcBorders>
              <w:top w:val="single" w:color="000000" w:sz="12" w:space="0"/>
              <w:left w:val="nil"/>
              <w:bottom w:val="single" w:color="000000" w:sz="4" w:space="0"/>
              <w:right w:val="nil"/>
            </w:tcBorders>
          </w:tcPr>
          <w:p w14:paraId="54DE082D">
            <w:pPr>
              <w:pStyle w:val="108"/>
            </w:pPr>
            <w:r>
              <w:t>n</w:t>
            </w:r>
          </w:p>
        </w:tc>
        <w:tc>
          <w:tcPr>
            <w:tcW w:w="656" w:type="pct"/>
            <w:tcBorders>
              <w:top w:val="single" w:color="000000" w:sz="12" w:space="0"/>
              <w:left w:val="nil"/>
              <w:bottom w:val="single" w:color="000000" w:sz="4" w:space="0"/>
              <w:right w:val="nil"/>
            </w:tcBorders>
          </w:tcPr>
          <w:p w14:paraId="64EC7F49">
            <w:pPr>
              <w:pStyle w:val="108"/>
            </w:pPr>
            <w:r>
              <w:t>3</w:t>
            </w:r>
          </w:p>
        </w:tc>
        <w:tc>
          <w:tcPr>
            <w:tcW w:w="656" w:type="pct"/>
            <w:tcBorders>
              <w:top w:val="single" w:color="000000" w:sz="12" w:space="0"/>
              <w:left w:val="nil"/>
              <w:bottom w:val="single" w:color="000000" w:sz="4" w:space="0"/>
              <w:right w:val="nil"/>
            </w:tcBorders>
          </w:tcPr>
          <w:p w14:paraId="5FDC04A9">
            <w:pPr>
              <w:pStyle w:val="108"/>
            </w:pPr>
            <w:r>
              <w:t>4</w:t>
            </w:r>
          </w:p>
        </w:tc>
        <w:tc>
          <w:tcPr>
            <w:tcW w:w="656" w:type="pct"/>
            <w:tcBorders>
              <w:top w:val="single" w:color="000000" w:sz="12" w:space="0"/>
              <w:left w:val="nil"/>
              <w:bottom w:val="single" w:color="000000" w:sz="4" w:space="0"/>
              <w:right w:val="nil"/>
            </w:tcBorders>
          </w:tcPr>
          <w:p w14:paraId="16ABABE0">
            <w:pPr>
              <w:pStyle w:val="108"/>
            </w:pPr>
            <w:r>
              <w:t>5</w:t>
            </w:r>
          </w:p>
        </w:tc>
        <w:tc>
          <w:tcPr>
            <w:tcW w:w="656" w:type="pct"/>
            <w:tcBorders>
              <w:top w:val="single" w:color="000000" w:sz="12" w:space="0"/>
              <w:left w:val="nil"/>
              <w:bottom w:val="single" w:color="000000" w:sz="4" w:space="0"/>
              <w:right w:val="nil"/>
            </w:tcBorders>
          </w:tcPr>
          <w:p w14:paraId="52ED7A1B">
            <w:pPr>
              <w:pStyle w:val="108"/>
            </w:pPr>
            <w:r>
              <w:t>6</w:t>
            </w:r>
          </w:p>
        </w:tc>
        <w:tc>
          <w:tcPr>
            <w:tcW w:w="656" w:type="pct"/>
            <w:tcBorders>
              <w:top w:val="single" w:color="000000" w:sz="12" w:space="0"/>
              <w:left w:val="nil"/>
              <w:bottom w:val="single" w:color="000000" w:sz="4" w:space="0"/>
              <w:right w:val="nil"/>
            </w:tcBorders>
          </w:tcPr>
          <w:p w14:paraId="7B722D74">
            <w:pPr>
              <w:pStyle w:val="108"/>
            </w:pPr>
            <w:r>
              <w:t>7</w:t>
            </w:r>
          </w:p>
        </w:tc>
        <w:tc>
          <w:tcPr>
            <w:tcW w:w="656" w:type="pct"/>
            <w:tcBorders>
              <w:top w:val="single" w:color="000000" w:sz="12" w:space="0"/>
              <w:left w:val="nil"/>
              <w:bottom w:val="single" w:color="000000" w:sz="4" w:space="0"/>
              <w:right w:val="nil"/>
            </w:tcBorders>
          </w:tcPr>
          <w:p w14:paraId="6646BE90">
            <w:pPr>
              <w:pStyle w:val="108"/>
            </w:pPr>
            <w:r>
              <w:t>8</w:t>
            </w:r>
          </w:p>
        </w:tc>
        <w:tc>
          <w:tcPr>
            <w:tcW w:w="656" w:type="pct"/>
            <w:tcBorders>
              <w:top w:val="single" w:color="000000" w:sz="12" w:space="0"/>
              <w:left w:val="nil"/>
              <w:bottom w:val="single" w:color="000000" w:sz="4" w:space="0"/>
              <w:right w:val="nil"/>
            </w:tcBorders>
          </w:tcPr>
          <w:p w14:paraId="43098B3B">
            <w:pPr>
              <w:pStyle w:val="108"/>
            </w:pPr>
            <w:r>
              <w:t>9</w:t>
            </w:r>
          </w:p>
        </w:tc>
      </w:tr>
      <w:tr w14:paraId="56B409E0">
        <w:tblPrEx>
          <w:tblCellMar>
            <w:top w:w="0" w:type="dxa"/>
            <w:left w:w="108" w:type="dxa"/>
            <w:bottom w:w="0" w:type="dxa"/>
            <w:right w:w="108" w:type="dxa"/>
          </w:tblCellMar>
        </w:tblPrEx>
        <w:tc>
          <w:tcPr>
            <w:tcW w:w="405" w:type="pct"/>
            <w:tcBorders>
              <w:left w:val="nil"/>
              <w:bottom w:val="single" w:color="000000" w:sz="12" w:space="0"/>
              <w:right w:val="nil"/>
            </w:tcBorders>
          </w:tcPr>
          <w:p w14:paraId="0BD1F0D3">
            <w:pPr>
              <w:pStyle w:val="108"/>
            </w:pPr>
            <w:r>
              <w:rPr>
                <w:rFonts w:eastAsia="Song"/>
              </w:rPr>
              <w:t>RI</w:t>
            </w:r>
          </w:p>
        </w:tc>
        <w:tc>
          <w:tcPr>
            <w:tcW w:w="656" w:type="pct"/>
            <w:tcBorders>
              <w:left w:val="nil"/>
              <w:bottom w:val="single" w:color="000000" w:sz="12" w:space="0"/>
              <w:right w:val="nil"/>
            </w:tcBorders>
          </w:tcPr>
          <w:p w14:paraId="101076D1">
            <w:pPr>
              <w:pStyle w:val="108"/>
            </w:pPr>
            <w:r>
              <w:rPr>
                <w:rFonts w:eastAsia="Song"/>
              </w:rPr>
              <w:t>0.52</w:t>
            </w:r>
          </w:p>
        </w:tc>
        <w:tc>
          <w:tcPr>
            <w:tcW w:w="656" w:type="pct"/>
            <w:tcBorders>
              <w:left w:val="nil"/>
              <w:bottom w:val="single" w:color="000000" w:sz="12" w:space="0"/>
              <w:right w:val="nil"/>
            </w:tcBorders>
          </w:tcPr>
          <w:p w14:paraId="62AAF130">
            <w:pPr>
              <w:pStyle w:val="108"/>
            </w:pPr>
            <w:r>
              <w:rPr>
                <w:rFonts w:eastAsia="Song"/>
              </w:rPr>
              <w:t>0.89</w:t>
            </w:r>
          </w:p>
        </w:tc>
        <w:tc>
          <w:tcPr>
            <w:tcW w:w="656" w:type="pct"/>
            <w:tcBorders>
              <w:left w:val="nil"/>
              <w:bottom w:val="single" w:color="000000" w:sz="12" w:space="0"/>
              <w:right w:val="nil"/>
            </w:tcBorders>
          </w:tcPr>
          <w:p w14:paraId="52F3A04B">
            <w:pPr>
              <w:pStyle w:val="108"/>
            </w:pPr>
            <w:r>
              <w:rPr>
                <w:rFonts w:eastAsia="Song"/>
              </w:rPr>
              <w:t>1.12</w:t>
            </w:r>
          </w:p>
        </w:tc>
        <w:tc>
          <w:tcPr>
            <w:tcW w:w="656" w:type="pct"/>
            <w:tcBorders>
              <w:left w:val="nil"/>
              <w:bottom w:val="single" w:color="000000" w:sz="12" w:space="0"/>
              <w:right w:val="nil"/>
            </w:tcBorders>
          </w:tcPr>
          <w:p w14:paraId="67593FA0">
            <w:pPr>
              <w:pStyle w:val="108"/>
            </w:pPr>
            <w:r>
              <w:rPr>
                <w:rFonts w:eastAsia="Song"/>
              </w:rPr>
              <w:t>1.26</w:t>
            </w:r>
          </w:p>
        </w:tc>
        <w:tc>
          <w:tcPr>
            <w:tcW w:w="656" w:type="pct"/>
            <w:tcBorders>
              <w:left w:val="nil"/>
              <w:bottom w:val="single" w:color="000000" w:sz="12" w:space="0"/>
              <w:right w:val="nil"/>
            </w:tcBorders>
          </w:tcPr>
          <w:p w14:paraId="65EAC9EB">
            <w:pPr>
              <w:pStyle w:val="108"/>
            </w:pPr>
            <w:r>
              <w:rPr>
                <w:rFonts w:eastAsia="Song"/>
              </w:rPr>
              <w:t>1.36</w:t>
            </w:r>
          </w:p>
        </w:tc>
        <w:tc>
          <w:tcPr>
            <w:tcW w:w="656" w:type="pct"/>
            <w:tcBorders>
              <w:left w:val="nil"/>
              <w:bottom w:val="single" w:color="000000" w:sz="12" w:space="0"/>
              <w:right w:val="nil"/>
            </w:tcBorders>
          </w:tcPr>
          <w:p w14:paraId="7B5132AE">
            <w:pPr>
              <w:pStyle w:val="108"/>
            </w:pPr>
            <w:r>
              <w:rPr>
                <w:rFonts w:eastAsia="Song"/>
              </w:rPr>
              <w:t>1.41</w:t>
            </w:r>
          </w:p>
        </w:tc>
        <w:tc>
          <w:tcPr>
            <w:tcW w:w="656" w:type="pct"/>
            <w:tcBorders>
              <w:left w:val="nil"/>
              <w:bottom w:val="single" w:color="000000" w:sz="12" w:space="0"/>
              <w:right w:val="nil"/>
            </w:tcBorders>
          </w:tcPr>
          <w:p w14:paraId="75123624">
            <w:pPr>
              <w:pStyle w:val="108"/>
            </w:pPr>
            <w:r>
              <w:rPr>
                <w:rFonts w:eastAsia="Song"/>
              </w:rPr>
              <w:t>1.46</w:t>
            </w:r>
          </w:p>
        </w:tc>
      </w:tr>
    </w:tbl>
    <w:p w14:paraId="4F1B87BD">
      <w:pPr>
        <w:pStyle w:val="4"/>
        <w:rPr>
          <w:rFonts w:hint="eastAsia"/>
        </w:rPr>
      </w:pPr>
      <w:bookmarkStart w:id="27" w:name="_Toc229523234"/>
      <w:bookmarkStart w:id="28" w:name="ewm熵权法"/>
      <w:r>
        <w:rPr>
          <w:rStyle w:val="62"/>
          <w:rFonts w:ascii="黑体" w:hAnsi="黑体" w:eastAsia="黑体"/>
          <w:sz w:val="28"/>
          <w:szCs w:val="28"/>
        </w:rPr>
        <w:t>2.3</w:t>
      </w:r>
      <w:r>
        <w:tab/>
      </w:r>
      <w:r>
        <w:t>EWM–熵权法</w:t>
      </w:r>
      <w:bookmarkEnd w:id="27"/>
    </w:p>
    <w:p w14:paraId="6E334D27">
      <w:pPr>
        <w:pStyle w:val="5"/>
        <w:rPr>
          <w:rFonts w:hint="eastAsia"/>
        </w:rPr>
      </w:pPr>
      <w:bookmarkStart w:id="29" w:name="信息熵概念"/>
      <w:r>
        <w:rPr>
          <w:rStyle w:val="62"/>
          <w:rFonts w:ascii="黑体" w:hAnsi="黑体" w:eastAsia="黑体"/>
        </w:rPr>
        <w:t>2.3.1</w:t>
      </w:r>
      <w:r>
        <w:tab/>
      </w:r>
      <w:r>
        <w:t>信息熵概念</w:t>
      </w:r>
    </w:p>
    <w:p w14:paraId="4123B5CC">
      <w:pPr>
        <w:pStyle w:val="35"/>
        <w:ind w:firstLine="480"/>
        <w:rPr>
          <w:lang w:eastAsia="zh-CN"/>
        </w:rPr>
      </w:pPr>
      <w:r>
        <w:rPr>
          <w:rFonts w:hint="eastAsia"/>
          <w:lang w:eastAsia="zh-CN"/>
        </w:rPr>
        <w:t>信息熵是Shanno</w:t>
      </w:r>
      <w:r>
        <w:rPr>
          <w:rFonts w:hint="eastAsia"/>
          <w:vertAlign w:val="superscript"/>
          <w:lang w:eastAsia="zh-CN"/>
        </w:rPr>
        <w:t>[18]</w:t>
      </w:r>
      <w:r>
        <w:rPr>
          <w:rFonts w:hint="eastAsia"/>
          <w:lang w:eastAsia="zh-CN"/>
        </w:rPr>
        <w:t>在信息论中提出的概念，用于度量系统的不确定性，反映了系统的无序程度或信息的平均不确定性。</w:t>
      </w:r>
      <w:r>
        <w:rPr>
          <w:lang w:eastAsia="zh-CN"/>
        </w:rPr>
        <w:t xml:space="preserve"> </w:t>
      </w:r>
      <w:r>
        <w:rPr>
          <w:rFonts w:hint="eastAsia"/>
          <w:lang w:eastAsia="zh-CN"/>
        </w:rPr>
        <w:t>其数学定义为</w:t>
      </w:r>
      <w:r>
        <w:rPr>
          <w:vertAlign w:val="superscript"/>
          <w:lang w:eastAsia="zh-CN"/>
        </w:rPr>
        <w:t>[17,18]</w:t>
      </w:r>
      <w:r>
        <w:rPr>
          <w:rFonts w:hint="eastAsia"/>
          <w:lang w:eastAsia="zh-CN"/>
        </w:rPr>
        <w:t>：</w:t>
      </w:r>
    </w:p>
    <w:p w14:paraId="12022ADB">
      <w:pPr>
        <w:pStyle w:val="95"/>
      </w:pPr>
      <w:r>
        <w:rPr>
          <w:rFonts w:eastAsia="宋体" w:cstheme="minorBidi"/>
          <w:iCs/>
        </w:rPr>
        <w:tab/>
      </w:r>
      <w:bookmarkStart w:id="30" w:name="eq_entropy_def"/>
      <m:oMath>
        <m:r>
          <m:rPr/>
          <w:rPr>
            <w:rFonts w:ascii="Cambria Math" w:hAnsi="Cambria Math"/>
          </w:rPr>
          <m:t>H</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eastAsiaTheme="minorEastAsia"/>
        </w:rPr>
        <w:tab/>
      </w:r>
      <w:r>
        <w:rPr>
          <w:rFonts w:eastAsiaTheme="minorEastAsia"/>
        </w:rPr>
        <w:tab/>
      </w:r>
      <w:r>
        <w:t>(2.2)</w:t>
      </w:r>
      <w:bookmarkEnd w:id="30"/>
    </w:p>
    <w:p w14:paraId="7832BB91">
      <w:pPr>
        <w:pStyle w:val="35"/>
        <w:ind w:firstLine="480"/>
        <w:rPr>
          <w:lang w:eastAsia="zh-CN"/>
        </w:rPr>
      </w:pP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表示系统处于状态 </w:t>
      </w:r>
      <m:oMath>
        <m:r>
          <m:rPr/>
          <w:rPr>
            <w:rFonts w:ascii="Cambria Math" w:hAnsi="Cambria Math"/>
            <w:lang w:eastAsia="zh-CN"/>
          </w:rPr>
          <m:t>i</m:t>
        </m:r>
      </m:oMath>
      <w:r>
        <w:rPr>
          <w:rFonts w:hint="eastAsia"/>
          <w:lang w:eastAsia="zh-CN"/>
        </w:rPr>
        <w:t xml:space="preserve"> 的概率。</w:t>
      </w:r>
      <w:r>
        <w:rPr>
          <w:lang w:eastAsia="zh-CN"/>
        </w:rPr>
        <w:t xml:space="preserve"> </w:t>
      </w:r>
      <w:r>
        <w:rPr>
          <w:rFonts w:hint="eastAsia"/>
          <w:lang w:eastAsia="zh-CN"/>
        </w:rPr>
        <w:t xml:space="preserve">如果某个状态的概率为1，则 </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m:t>
        </m:r>
      </m:oMath>
      <w:r>
        <w:rPr>
          <w:rFonts w:hint="eastAsia"/>
          <w:lang w:eastAsia="zh-CN"/>
        </w:rPr>
        <w:t>，表示系统完全没有不确定性。</w:t>
      </w:r>
      <w:r>
        <w:rPr>
          <w:lang w:eastAsia="zh-CN"/>
        </w:rPr>
        <w:t xml:space="preserve"> </w:t>
      </w:r>
      <w:r>
        <w:rPr>
          <w:rFonts w:hint="eastAsia"/>
          <w:lang w:eastAsia="zh-CN"/>
        </w:rPr>
        <w:t>如果所有状态等概率分布，则</w:t>
      </w:r>
      <m:oMath>
        <m:r>
          <m:rPr/>
          <w:rPr>
            <w:rFonts w:ascii="Cambria Math" w:hAnsi="Cambria Math"/>
            <w:lang w:eastAsia="zh-CN"/>
          </w:rPr>
          <m:t>H</m:t>
        </m:r>
      </m:oMath>
      <w:r>
        <w:rPr>
          <w:rFonts w:hint="eastAsia"/>
          <w:lang w:eastAsia="zh-CN"/>
        </w:rPr>
        <w:t>取最大值，此时系统的不确定性最大。</w:t>
      </w:r>
      <w:r>
        <w:rPr>
          <w:lang w:eastAsia="zh-CN"/>
        </w:rPr>
        <w:t xml:space="preserve"> </w:t>
      </w:r>
      <w:r>
        <w:rPr>
          <w:rFonts w:hint="eastAsia"/>
          <w:lang w:eastAsia="zh-CN"/>
        </w:rPr>
        <w:t>在多准则决策中，这一性质具有重要的应用价值。</w:t>
      </w:r>
      <w:r>
        <w:rPr>
          <w:lang w:eastAsia="zh-CN"/>
        </w:rPr>
        <w:t xml:space="preserve"> </w:t>
      </w:r>
      <w:r>
        <w:rPr>
          <w:rFonts w:hint="eastAsia"/>
          <w:lang w:eastAsia="zh-CN"/>
        </w:rPr>
        <w:t>如果某个指标在各方案之间的取值差异很大，信息熵就小，说明该指标能够有效区分不同方案，应给予较高的权重。反之，如果所有方案在某指标上取值接近，信息熵接近最大值，则该指标对决策贡献很小，权重应相应降低。</w:t>
      </w:r>
    </w:p>
    <w:bookmarkEnd w:id="29"/>
    <w:p w14:paraId="4D52A9BA">
      <w:pPr>
        <w:pStyle w:val="5"/>
        <w:rPr>
          <w:rFonts w:hint="eastAsia"/>
          <w:lang w:eastAsia="zh-CN"/>
        </w:rPr>
      </w:pPr>
      <w:bookmarkStart w:id="31" w:name="熵权计算"/>
      <w:r>
        <w:rPr>
          <w:rStyle w:val="62"/>
          <w:rFonts w:ascii="黑体" w:hAnsi="黑体" w:eastAsia="黑体"/>
          <w:lang w:eastAsia="zh-CN"/>
        </w:rPr>
        <w:t>2.3.2</w:t>
      </w:r>
      <w:r>
        <w:rPr>
          <w:lang w:eastAsia="zh-CN"/>
        </w:rPr>
        <w:tab/>
      </w:r>
      <w:r>
        <w:rPr>
          <w:lang w:eastAsia="zh-CN"/>
        </w:rPr>
        <w:t>熵权计算</w:t>
      </w:r>
    </w:p>
    <w:p w14:paraId="77462EBE">
      <w:pPr>
        <w:pStyle w:val="35"/>
        <w:ind w:firstLine="480"/>
        <w:rPr>
          <w:lang w:eastAsia="zh-CN"/>
        </w:rPr>
      </w:pPr>
      <w:r>
        <w:rPr>
          <w:lang w:eastAsia="zh-CN"/>
        </w:rPr>
        <w:t>EWM的完整计算流程包含</w:t>
      </w:r>
      <w:r>
        <w:rPr>
          <w:rFonts w:hint="eastAsia"/>
          <w:lang w:eastAsia="zh-CN"/>
        </w:rPr>
        <w:t>从</w:t>
      </w:r>
      <w:r>
        <w:rPr>
          <w:lang w:eastAsia="zh-CN"/>
        </w:rPr>
        <w:t>式</w:t>
      </w:r>
      <w:r>
        <w:rPr>
          <w:rFonts w:hint="eastAsia"/>
          <w:lang w:eastAsia="zh-CN"/>
        </w:rPr>
        <w:t xml:space="preserve"> </w:t>
      </w:r>
      <w:r>
        <w:fldChar w:fldCharType="begin"/>
      </w:r>
      <w:r>
        <w:instrText xml:space="preserve"> HYPERLINK \l "eq:normalize" \h </w:instrText>
      </w:r>
      <w:r>
        <w:fldChar w:fldCharType="separate"/>
      </w:r>
      <w:r>
        <w:rPr>
          <w:rStyle w:val="32"/>
          <w:rFonts w:eastAsia="宋体"/>
          <w:color w:val="auto"/>
          <w:lang w:eastAsia="zh-CN"/>
        </w:rPr>
        <w:t>(3.22)</w:t>
      </w:r>
      <w:r>
        <w:rPr>
          <w:rStyle w:val="32"/>
          <w:rFonts w:eastAsia="宋体"/>
          <w:color w:val="auto"/>
          <w:lang w:eastAsia="zh-CN"/>
        </w:rPr>
        <w:fldChar w:fldCharType="end"/>
      </w:r>
      <w:r>
        <w:rPr>
          <w:rFonts w:hint="eastAsia"/>
          <w:lang w:eastAsia="zh-CN"/>
        </w:rPr>
        <w:t xml:space="preserve"> 到 式 </w:t>
      </w:r>
      <w:r>
        <w:fldChar w:fldCharType="begin"/>
      </w:r>
      <w:r>
        <w:instrText xml:space="preserve"> HYPERLINK \l "eq:neg_normalize" \h </w:instrText>
      </w:r>
      <w:r>
        <w:fldChar w:fldCharType="separate"/>
      </w:r>
      <w:r>
        <w:rPr>
          <w:rStyle w:val="32"/>
          <w:rFonts w:eastAsia="宋体"/>
          <w:color w:val="auto"/>
          <w:lang w:eastAsia="zh-CN"/>
        </w:rPr>
        <w:t>(3.23)</w:t>
      </w:r>
      <w:r>
        <w:rPr>
          <w:rStyle w:val="32"/>
          <w:rFonts w:eastAsia="宋体"/>
          <w:color w:val="auto"/>
          <w:lang w:eastAsia="zh-CN"/>
        </w:rPr>
        <w:fldChar w:fldCharType="end"/>
      </w:r>
      <w:r>
        <w:rPr>
          <w:rFonts w:hint="eastAsia"/>
          <w:lang w:eastAsia="zh-CN"/>
        </w:rPr>
        <w:t xml:space="preserve"> 的</w:t>
      </w:r>
      <w:r>
        <w:rPr>
          <w:lang w:eastAsia="zh-CN"/>
        </w:rPr>
        <w:t>数据标准化、比重矩阵计算、信息熵求解和熵权归一化四个步骤。 以决策矩阵</w:t>
      </w:r>
      <w:r>
        <w:rPr>
          <w:rFonts w:hint="eastAsia"/>
          <w:lang w:eastAsia="zh-CN"/>
        </w:rPr>
        <w:t xml:space="preserve"> </w:t>
      </w:r>
      <m:oMath>
        <m:r>
          <m:rP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ctrlPr>
              <w:rPr>
                <w:rFonts w:ascii="Cambria Math" w:hAnsi="Cambria Math"/>
                <w:lang w:eastAsia="zh-CN"/>
              </w:rPr>
            </m:ctrlPr>
          </m:e>
        </m:d>
      </m:oMath>
      <w:r>
        <w:rPr>
          <w:rFonts w:hint="eastAsia"/>
          <w:lang w:eastAsia="zh-CN"/>
        </w:rPr>
        <w:t xml:space="preserve"> </w:t>
      </w:r>
      <w:r>
        <w:rPr>
          <w:lang w:eastAsia="zh-CN"/>
        </w:rPr>
        <w:t>为输入，经过标准化处理后计算各指标的信息熵</w:t>
      </w:r>
      <w:r>
        <w:rPr>
          <w:rFonts w:hint="eastAsia"/>
          <w:lang w:eastAsia="zh-CN"/>
        </w:rPr>
        <w:t xml:space="preserve">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和信息效用值</w:t>
      </w:r>
      <w:r>
        <w:rPr>
          <w:rFonts w:hint="eastAsia"/>
          <w:lang w:eastAsia="zh-CN"/>
        </w:rPr>
        <w:t xml:space="preserve">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最终得到客观权重</w:t>
      </w:r>
      <w:r>
        <w:rPr>
          <w:rFonts w:hint="eastAsia"/>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lit/>
            <m:sty m:val="p"/>
          </m:rPr>
          <w:rPr>
            <w:rFonts w:ascii="Cambria Math" w:hAnsi="Cambria Math"/>
            <w:lang w:eastAsia="zh-CN"/>
          </w:rPr>
          <m:t>/</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具体的标准化公式、信息熵定义和完整推导过程详见3.4节的式</w:t>
      </w:r>
      <w:r>
        <w:rPr>
          <w:rFonts w:hint="eastAsia"/>
          <w:lang w:eastAsia="zh-CN"/>
        </w:rPr>
        <w:t xml:space="preserve"> </w:t>
      </w:r>
      <w:r>
        <w:fldChar w:fldCharType="begin"/>
      </w:r>
      <w:r>
        <w:instrText xml:space="preserve"> HYPERLINK \l "eq:normalize" \h </w:instrText>
      </w:r>
      <w:r>
        <w:fldChar w:fldCharType="separate"/>
      </w:r>
      <w:r>
        <w:rPr>
          <w:rStyle w:val="32"/>
          <w:rFonts w:eastAsia="宋体"/>
          <w:color w:val="auto"/>
          <w:lang w:eastAsia="zh-CN"/>
        </w:rPr>
        <w:t>(3.22)</w:t>
      </w:r>
      <w:r>
        <w:rPr>
          <w:rStyle w:val="32"/>
          <w:rFonts w:eastAsia="宋体"/>
          <w:color w:val="auto"/>
          <w:lang w:eastAsia="zh-CN"/>
        </w:rPr>
        <w:fldChar w:fldCharType="end"/>
      </w:r>
      <w:r>
        <w:rPr>
          <w:rFonts w:hint="eastAsia"/>
          <w:lang w:eastAsia="zh-CN"/>
        </w:rPr>
        <w:t xml:space="preserve"> </w:t>
      </w:r>
      <w:r>
        <w:rPr>
          <w:lang w:eastAsia="zh-CN"/>
        </w:rPr>
        <w:t>至式</w:t>
      </w:r>
      <w:r>
        <w:rPr>
          <w:rFonts w:hint="eastAsia"/>
          <w:lang w:eastAsia="zh-CN"/>
        </w:rPr>
        <w:t xml:space="preserve"> </w:t>
      </w:r>
      <w:r>
        <w:fldChar w:fldCharType="begin"/>
      </w:r>
      <w:r>
        <w:instrText xml:space="preserve"> HYPERLINK \l "eq:ewm_W" \h </w:instrText>
      </w:r>
      <w:r>
        <w:fldChar w:fldCharType="separate"/>
      </w:r>
      <w:r>
        <w:rPr>
          <w:rStyle w:val="32"/>
          <w:rFonts w:eastAsia="宋体"/>
          <w:color w:val="auto"/>
          <w:lang w:eastAsia="zh-CN"/>
        </w:rPr>
        <w:t>(3.27)</w:t>
      </w:r>
      <w:r>
        <w:rPr>
          <w:rStyle w:val="32"/>
          <w:rFonts w:eastAsia="宋体"/>
          <w:color w:val="auto"/>
          <w:lang w:eastAsia="zh-CN"/>
        </w:rPr>
        <w:fldChar w:fldCharType="end"/>
      </w:r>
      <w:r>
        <w:rPr>
          <w:lang w:eastAsia="zh-CN"/>
        </w:rPr>
        <w:t>。 该方法的优势在于完全由数据驱动，不依赖主观判断，但也需要注意它可能放大数据中的噪声， 且EWM权重反映的是所选样本在指标上的差异程度而非指标的普遍重要性，该问题将在4.6.2节进一步讨论。</w:t>
      </w:r>
    </w:p>
    <w:bookmarkEnd w:id="28"/>
    <w:bookmarkEnd w:id="31"/>
    <w:p w14:paraId="5A7C179F">
      <w:pPr>
        <w:pStyle w:val="4"/>
        <w:rPr>
          <w:rFonts w:hint="eastAsia"/>
          <w:lang w:eastAsia="zh-CN"/>
        </w:rPr>
      </w:pPr>
      <w:bookmarkStart w:id="32" w:name="_Toc229523235"/>
      <w:bookmarkStart w:id="33" w:name="混合权重模型"/>
      <w:r>
        <w:rPr>
          <w:rStyle w:val="62"/>
          <w:rFonts w:ascii="黑体" w:hAnsi="黑体" w:eastAsia="黑体"/>
          <w:sz w:val="28"/>
          <w:szCs w:val="28"/>
          <w:lang w:eastAsia="zh-CN"/>
        </w:rPr>
        <w:t>2.4</w:t>
      </w:r>
      <w:r>
        <w:rPr>
          <w:lang w:eastAsia="zh-CN"/>
        </w:rPr>
        <w:tab/>
      </w:r>
      <w:r>
        <w:rPr>
          <w:lang w:eastAsia="zh-CN"/>
        </w:rPr>
        <w:t>混合权重模型</w:t>
      </w:r>
      <w:bookmarkEnd w:id="32"/>
    </w:p>
    <w:p w14:paraId="65A31E7A">
      <w:pPr>
        <w:pStyle w:val="5"/>
        <w:rPr>
          <w:rFonts w:hint="eastAsia"/>
          <w:lang w:eastAsia="zh-CN"/>
        </w:rPr>
      </w:pPr>
      <w:bookmarkStart w:id="34" w:name="组合权重的必要性"/>
      <w:r>
        <w:rPr>
          <w:rStyle w:val="62"/>
          <w:rFonts w:ascii="黑体" w:hAnsi="黑体" w:eastAsia="黑体"/>
          <w:lang w:eastAsia="zh-CN"/>
        </w:rPr>
        <w:t>2.4.1</w:t>
      </w:r>
      <w:r>
        <w:rPr>
          <w:lang w:eastAsia="zh-CN"/>
        </w:rPr>
        <w:tab/>
      </w:r>
      <w:r>
        <w:rPr>
          <w:lang w:eastAsia="zh-CN"/>
        </w:rPr>
        <w:t>组合权重的必要性</w:t>
      </w:r>
    </w:p>
    <w:p w14:paraId="3DD527DB">
      <w:pPr>
        <w:pStyle w:val="35"/>
        <w:ind w:firstLine="480"/>
        <w:rPr>
          <w:lang w:eastAsia="zh-CN"/>
        </w:rPr>
      </w:pPr>
      <w:r>
        <w:rPr>
          <w:lang w:eastAsia="zh-CN"/>
        </w:rPr>
        <w:t>AHP权重和EWM权重从不同角度反映指标的重要性。 AHP体现的是专家经验和领域知识，EWM揭示的是数据本身的结构特征。 两种方法各有优势，但也各有局限。</w:t>
      </w:r>
    </w:p>
    <w:p w14:paraId="3566C7DD">
      <w:pPr>
        <w:pStyle w:val="35"/>
        <w:ind w:firstLine="480"/>
        <w:rPr>
          <w:lang w:eastAsia="zh-CN"/>
        </w:rPr>
      </w:pPr>
      <w:r>
        <w:rPr>
          <w:lang w:eastAsia="zh-CN"/>
        </w:rPr>
        <w:t>纯AHP完全取决于专家的主观判断，如果专家组构成不均衡或经验有限，权重就可能偏离实际情况。 以本研究的评价对象为例，某位专家对"安全性"维度的重视程度远超其他专家，这种个人偏好会直接影响最终权重。 相比之下，纯EWM虽然不受主观因素影响，但完全依赖数据，可能把噪声当成有效信息，而且无法融入领域知识。 例如，当12个被评估项目的性别平等得分集中于</w:t>
      </w:r>
      <w:r>
        <w:rPr>
          <w:rFonts w:hint="eastAsia"/>
          <w:lang w:eastAsia="zh-CN"/>
        </w:rPr>
        <w:t xml:space="preserve"> </w:t>
      </w:r>
      <m:oMath>
        <m:d>
          <m:dPr>
            <m:begChr m:val="["/>
            <m:endChr m:val="]"/>
            <m:ctrlPr>
              <w:rPr>
                <w:rFonts w:ascii="Cambria Math" w:hAnsi="Cambria Math"/>
              </w:rPr>
            </m:ctrlPr>
          </m:dPr>
          <m:e>
            <m:r>
              <m:rPr>
                <m:sty m:val="p"/>
              </m:rPr>
              <w:rPr>
                <w:rFonts w:ascii="Cambria Math" w:hAnsi="Cambria Math"/>
                <w:lang w:eastAsia="zh-CN"/>
              </w:rPr>
              <m:t>0.80,0.95</m:t>
            </m:r>
            <m:ctrlPr>
              <w:rPr>
                <w:rFonts w:ascii="Cambria Math" w:hAnsi="Cambria Math"/>
              </w:rPr>
            </m:ctrlPr>
          </m:e>
        </m:d>
      </m:oMath>
      <w:r>
        <w:rPr>
          <w:rFonts w:hint="eastAsia"/>
          <w:lang w:eastAsia="zh-CN"/>
        </w:rPr>
        <w:t xml:space="preserve"> </w:t>
      </w:r>
      <w:r>
        <w:rPr>
          <w:lang w:eastAsia="zh-CN"/>
        </w:rPr>
        <w:t>区间时，该维度的变异程度</w:t>
      </w:r>
      <w:r>
        <w:rPr>
          <w:rFonts w:hint="eastAsia"/>
          <w:lang w:eastAsia="zh-CN"/>
        </w:rPr>
        <w:t>较</w:t>
      </w:r>
      <w:r>
        <w:rPr>
          <w:lang w:eastAsia="zh-CN"/>
        </w:rPr>
        <w:t>低， EWM的信息熵趋近于1，</w:t>
      </w:r>
      <w:r>
        <w:rPr>
          <w:rFonts w:hint="eastAsia"/>
          <w:lang w:eastAsia="zh-CN"/>
        </w:rPr>
        <w:t>于是</w:t>
      </w:r>
      <w:r>
        <w:rPr>
          <w:lang w:eastAsia="zh-CN"/>
        </w:rPr>
        <w:t>权重</w:t>
      </w:r>
      <w:r>
        <w:rPr>
          <w:rFonts w:hint="eastAsia"/>
          <w:lang w:eastAsia="zh-CN"/>
        </w:rPr>
        <w:t>较低</w:t>
      </w:r>
      <w:r>
        <w:rPr>
          <w:lang w:eastAsia="zh-CN"/>
        </w:rPr>
        <w:t>。 但</w:t>
      </w:r>
      <w:r>
        <w:rPr>
          <w:rFonts w:hint="eastAsia"/>
          <w:lang w:eastAsia="zh-CN"/>
        </w:rPr>
        <w:t>实际情况是</w:t>
      </w:r>
      <w:r>
        <w:rPr>
          <w:lang w:eastAsia="zh-CN"/>
        </w:rPr>
        <w:t>2024</w:t>
      </w:r>
      <w:r>
        <w:rPr>
          <w:rFonts w:hint="eastAsia"/>
          <w:lang w:eastAsia="zh-CN"/>
        </w:rPr>
        <w:t>巴黎奥运会</w:t>
      </w:r>
      <w:r>
        <w:rPr>
          <w:lang w:eastAsia="zh-CN"/>
        </w:rPr>
        <w:t>已实现历史上首次完全性别均等</w:t>
      </w:r>
      <w:r>
        <w:rPr>
          <w:vertAlign w:val="superscript"/>
          <w:lang w:eastAsia="zh-CN"/>
        </w:rPr>
        <w:t>[13]</w:t>
      </w:r>
      <w:r>
        <w:rPr>
          <w:rFonts w:hint="eastAsia"/>
          <w:vertAlign w:val="superscript"/>
          <w:lang w:eastAsia="zh-CN"/>
        </w:rPr>
        <w:t xml:space="preserve"> </w:t>
      </w:r>
      <w:r>
        <w:rPr>
          <w:rFonts w:hint="eastAsia"/>
          <w:lang w:eastAsia="zh-CN"/>
        </w:rPr>
        <w:t>，对</w:t>
      </w:r>
      <w:r>
        <w:rPr>
          <w:lang w:eastAsia="zh-CN"/>
        </w:rPr>
        <w:t>国际奥委会而言，性别平等是核心政策目标，其重要性数据差异</w:t>
      </w:r>
      <w:r>
        <w:rPr>
          <w:rFonts w:hint="eastAsia"/>
          <w:lang w:eastAsia="zh-CN"/>
        </w:rPr>
        <w:t>并不能够完全</w:t>
      </w:r>
      <w:r>
        <w:rPr>
          <w:lang w:eastAsia="zh-CN"/>
        </w:rPr>
        <w:t xml:space="preserve">反映。 </w:t>
      </w:r>
    </w:p>
    <w:p w14:paraId="1FF96A2C">
      <w:pPr>
        <w:pStyle w:val="35"/>
        <w:ind w:firstLine="480"/>
        <w:rPr>
          <w:lang w:eastAsia="zh-CN"/>
        </w:rPr>
      </w:pPr>
      <w:r>
        <w:rPr>
          <w:lang w:eastAsia="zh-CN"/>
        </w:rPr>
        <w:t>因此， 把两种方法结合起来， 既能</w:t>
      </w:r>
      <w:r>
        <w:rPr>
          <w:rFonts w:hint="eastAsia"/>
          <w:lang w:eastAsia="zh-CN"/>
        </w:rPr>
        <w:t>够</w:t>
      </w:r>
      <w:r>
        <w:rPr>
          <w:lang w:eastAsia="zh-CN"/>
        </w:rPr>
        <w:t>保留各自优势又能弥补不足， 得到的结果会更稳健</w:t>
      </w:r>
      <w:r>
        <w:rPr>
          <w:vertAlign w:val="superscript"/>
          <w:lang w:eastAsia="zh-CN"/>
        </w:rPr>
        <w:t>[19,24]</w:t>
      </w:r>
      <w:r>
        <w:rPr>
          <w:lang w:eastAsia="zh-CN"/>
        </w:rPr>
        <w:t>。混合权重使得</w:t>
      </w:r>
    </w:p>
    <w:p w14:paraId="430E31D1">
      <w:pPr>
        <w:pStyle w:val="35"/>
        <w:ind w:firstLine="480"/>
        <w:rPr>
          <w:lang w:eastAsia="zh-CN"/>
        </w:rPr>
      </w:pPr>
      <w:r>
        <w:rPr>
          <w:lang w:eastAsia="zh-CN"/>
        </w:rPr>
        <w:t>最终评估既尊重专家的领域判断，又借助数据对指标区分度进行客观衡量，在两种信息源之间寻求平衡。</w:t>
      </w:r>
    </w:p>
    <w:bookmarkEnd w:id="34"/>
    <w:p w14:paraId="1299F22D">
      <w:pPr>
        <w:pStyle w:val="5"/>
        <w:rPr>
          <w:rFonts w:hint="eastAsia"/>
          <w:lang w:eastAsia="zh-CN"/>
        </w:rPr>
      </w:pPr>
      <w:bookmarkStart w:id="35" w:name="线性组合模型"/>
      <w:r>
        <w:rPr>
          <w:rStyle w:val="62"/>
          <w:rFonts w:ascii="黑体" w:hAnsi="黑体" w:eastAsia="黑体"/>
          <w:lang w:eastAsia="zh-CN"/>
        </w:rPr>
        <w:t>2.4.2</w:t>
      </w:r>
      <w:r>
        <w:rPr>
          <w:lang w:eastAsia="zh-CN"/>
        </w:rPr>
        <w:tab/>
      </w:r>
      <w:r>
        <w:rPr>
          <w:lang w:eastAsia="zh-CN"/>
        </w:rPr>
        <w:t>线性组合模型</w:t>
      </w:r>
    </w:p>
    <w:p w14:paraId="36EC5442">
      <w:pPr>
        <w:pStyle w:val="35"/>
        <w:ind w:firstLine="480"/>
        <w:rPr>
          <w:lang w:eastAsia="zh-CN"/>
        </w:rPr>
      </w:pPr>
      <w:r>
        <w:rPr>
          <w:rFonts w:hint="eastAsia"/>
          <w:lang w:eastAsia="zh-CN"/>
        </w:rPr>
        <w:t>组合权重的方法不止一种，除了线性组合还有乘法组合</w:t>
      </w:r>
      <w:r>
        <w:rPr>
          <w:vertAlign w:val="superscript"/>
          <w:lang w:eastAsia="zh-CN"/>
        </w:rPr>
        <w:t>[22]</w:t>
      </w:r>
      <w:r>
        <w:rPr>
          <w:rFonts w:hint="eastAsia"/>
          <w:lang w:eastAsia="zh-CN"/>
        </w:rPr>
        <w:t>和基于博弈论的组合方法</w:t>
      </w:r>
      <w:r>
        <w:rPr>
          <w:vertAlign w:val="superscript"/>
          <w:lang w:eastAsia="zh-CN"/>
        </w:rPr>
        <w:t>[19]</w:t>
      </w:r>
      <w:r>
        <w:rPr>
          <w:lang w:eastAsia="zh-CN"/>
        </w:rPr>
        <w:t xml:space="preserve">。 </w:t>
      </w:r>
      <w:r>
        <w:rPr>
          <w:rFonts w:hint="eastAsia"/>
          <w:lang w:eastAsia="zh-CN"/>
        </w:rPr>
        <w:t>乘法组合将主客观权重按乘积形式组合，但若某一维度的主客观权重中有任一接近零，乘积后将完全丧失该维度的信息。</w:t>
      </w:r>
      <w:r>
        <w:rPr>
          <w:lang w:eastAsia="zh-CN"/>
        </w:rPr>
        <w:t xml:space="preserve"> </w:t>
      </w:r>
      <w:r>
        <w:rPr>
          <w:rFonts w:hint="eastAsia"/>
          <w:lang w:eastAsia="zh-CN"/>
        </w:rPr>
        <w:t>博弈论方法通过求解优化问题确定组合系数，数学上更严谨但不便向非技术背景的决策者解释。</w:t>
      </w:r>
    </w:p>
    <w:p w14:paraId="23692C63">
      <w:pPr>
        <w:pStyle w:val="35"/>
        <w:ind w:firstLine="480"/>
        <w:rPr>
          <w:lang w:eastAsia="zh-CN"/>
        </w:rPr>
      </w:pPr>
      <w:r>
        <w:rPr>
          <w:rFonts w:hint="eastAsia"/>
          <w:lang w:eastAsia="zh-CN"/>
        </w:rPr>
        <w:t>本研究采用线性组合模型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α</m:t>
            </m:r>
            <m:ctrlPr>
              <w:rPr>
                <w:rFonts w:ascii="Cambria Math" w:hAnsi="Cambria Math"/>
                <w:lang w:eastAsia="zh-CN"/>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，还基于以下几方面的考量。一是可解释性强，混合权重即为主客观权重的加权平均，</w:t>
      </w:r>
      <m:oMath>
        <m:r>
          <m:rPr/>
          <w:rPr>
            <w:rFonts w:ascii="Cambria Math" w:hAnsi="Cambria Math"/>
            <w:lang w:eastAsia="zh-CN"/>
          </w:rPr>
          <m:t>α</m:t>
        </m:r>
      </m:oMath>
      <w:r>
        <w:rPr>
          <w:rFonts w:hint="eastAsia"/>
          <w:lang w:eastAsia="zh-CN"/>
        </w:rPr>
        <w:t xml:space="preserve"> 值直接反映决策者对两类信息的信任程度。</w:t>
      </w:r>
      <w:r>
        <w:rPr>
          <w:lang w:eastAsia="zh-CN"/>
        </w:rPr>
        <w:t xml:space="preserve"> </w:t>
      </w:r>
      <w:r>
        <w:rPr>
          <w:rFonts w:hint="eastAsia"/>
          <w:lang w:eastAsia="zh-CN"/>
        </w:rPr>
        <w:t>二是有界性，线性组合保证混合权重不超出AHP和EWM的范围，避免了乘法组合的极端值问题</w:t>
      </w:r>
      <w:r>
        <w:rPr>
          <w:vertAlign w:val="superscript"/>
          <w:lang w:eastAsia="zh-CN"/>
        </w:rPr>
        <w:t>[19,20]</w:t>
      </w:r>
      <w:r>
        <w:rPr>
          <w:lang w:eastAsia="zh-CN"/>
        </w:rPr>
        <w:t xml:space="preserve">。 </w:t>
      </w:r>
      <w:r>
        <w:rPr>
          <w:rFonts w:hint="eastAsia"/>
          <w:lang w:eastAsia="zh-CN"/>
        </w:rPr>
        <w:t>三是凸组合自然满足归一化，无需额外处理。</w:t>
      </w:r>
      <w:r>
        <w:rPr>
          <w:lang w:eastAsia="zh-CN"/>
        </w:rPr>
        <w:t xml:space="preserve"> </w:t>
      </w:r>
      <w:r>
        <w:rPr>
          <w:rFonts w:hint="eastAsia"/>
          <w:lang w:eastAsia="zh-CN"/>
        </w:rPr>
        <w:t xml:space="preserve">四是 </w:t>
      </w:r>
      <m:oMath>
        <m:r>
          <m:rPr/>
          <w:rPr>
            <w:rFonts w:ascii="Cambria Math" w:hAnsi="Cambria Math"/>
            <w:lang w:eastAsia="zh-CN"/>
          </w:rPr>
          <m:t>α</m:t>
        </m:r>
      </m:oMath>
      <w:r>
        <w:rPr>
          <w:rFonts w:hint="eastAsia"/>
          <w:lang w:eastAsia="zh-CN"/>
        </w:rPr>
        <w:t xml:space="preserve"> 可平滑调节，增大偏主观、减小偏客观。</w:t>
      </w:r>
      <w:r>
        <w:rPr>
          <w:lang w:eastAsia="zh-CN"/>
        </w:rPr>
        <w:t xml:space="preserve"> </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时主客观等权。</w:t>
      </w:r>
    </w:p>
    <w:p w14:paraId="73F469CB">
      <w:pPr>
        <w:pStyle w:val="35"/>
        <w:ind w:firstLine="480"/>
        <w:rPr>
          <w:rFonts w:hint="eastAsia"/>
          <w:lang w:eastAsia="zh-CN"/>
        </w:rPr>
      </w:pPr>
      <w:r>
        <w:rPr>
          <w:lang w:eastAsia="zh-CN"/>
        </w:rPr>
        <w:t>需要说明的是，本研究中AHP权重和EWM权重反映的是同一决策问题的两个不同侧面</w:t>
      </w:r>
      <w:r>
        <w:rPr>
          <w:rFonts w:hint="eastAsia"/>
          <w:lang w:eastAsia="zh-CN"/>
        </w:rPr>
        <w:t>，</w:t>
      </w:r>
      <w:r>
        <w:rPr>
          <w:lang w:eastAsia="zh-CN"/>
        </w:rPr>
        <w:t>前者回答</w:t>
      </w:r>
      <w:r>
        <w:rPr>
          <w:rFonts w:hint="eastAsia"/>
          <w:lang w:eastAsia="zh-CN"/>
        </w:rPr>
        <w:t>维度的重要性</w:t>
      </w:r>
      <w:r>
        <w:rPr>
          <w:lang w:eastAsia="zh-CN"/>
        </w:rPr>
        <w:t>，后者回答</w:t>
      </w:r>
      <w:r>
        <w:rPr>
          <w:rFonts w:hint="eastAsia"/>
          <w:lang w:eastAsia="zh-CN"/>
        </w:rPr>
        <w:t>维度的区分性</w:t>
      </w:r>
      <w:r>
        <w:rPr>
          <w:lang w:eastAsia="zh-CN"/>
        </w:rPr>
        <w:t>。线性组合的意义不在于将两种权重等量齐观，而在于在专家价值判断的基础上，适度参考数据提供的区分度信息进行权重调整。这一思路与He等</w:t>
      </w:r>
      <w:r>
        <w:rPr>
          <w:vertAlign w:val="superscript"/>
          <w:lang w:eastAsia="zh-CN"/>
        </w:rPr>
        <w:t>[22]</w:t>
      </w:r>
      <w:r>
        <w:rPr>
          <w:lang w:eastAsia="zh-CN"/>
        </w:rPr>
        <w:t>在经济发展评估中提出的线性组合在可解释性和稳健性方面更具优势的结论一致。</w:t>
      </w:r>
    </w:p>
    <w:bookmarkEnd w:id="35"/>
    <w:p w14:paraId="14D8A596">
      <w:pPr>
        <w:pStyle w:val="5"/>
        <w:rPr>
          <w:rFonts w:hint="eastAsia"/>
          <w:lang w:eastAsia="zh-CN"/>
        </w:rPr>
      </w:pPr>
      <w:bookmarkStart w:id="36" w:name="组合系数确定"/>
      <w:r>
        <w:rPr>
          <w:rStyle w:val="62"/>
          <w:rFonts w:ascii="黑体" w:hAnsi="黑体" w:eastAsia="黑体"/>
          <w:lang w:eastAsia="zh-CN"/>
        </w:rPr>
        <w:t>2.4.3</w:t>
      </w:r>
      <w:r>
        <w:rPr>
          <w:lang w:eastAsia="zh-CN"/>
        </w:rPr>
        <w:tab/>
      </w:r>
      <w:r>
        <w:rPr>
          <w:lang w:eastAsia="zh-CN"/>
        </w:rPr>
        <w:t>组合系数确定</w:t>
      </w:r>
    </w:p>
    <w:p w14:paraId="56553A3E">
      <w:pPr>
        <w:pStyle w:val="35"/>
        <w:ind w:firstLine="480"/>
        <w:rPr>
          <w:lang w:eastAsia="zh-CN"/>
        </w:rPr>
      </w:pPr>
      <w:r>
        <w:rPr>
          <w:lang w:eastAsia="zh-CN"/>
        </w:rPr>
        <w:t>确定</w:t>
      </w:r>
      <m:oMath>
        <m:r>
          <m:rPr/>
          <w:rPr>
            <w:rFonts w:ascii="Cambria Math" w:hAnsi="Cambria Math"/>
            <w:lang w:eastAsia="zh-CN"/>
          </w:rPr>
          <m:t>α</m:t>
        </m:r>
      </m:oMath>
      <w:r>
        <w:rPr>
          <w:lang w:eastAsia="zh-CN"/>
        </w:rPr>
        <w:t>的方法主要有三种</w:t>
      </w:r>
      <w:r>
        <w:rPr>
          <w:rFonts w:hint="eastAsia"/>
          <w:lang w:eastAsia="zh-CN"/>
        </w:rPr>
        <w:t>。</w:t>
      </w:r>
      <w:r>
        <w:rPr>
          <w:lang w:eastAsia="zh-CN"/>
        </w:rPr>
        <w:t>经验法直接取</w:t>
      </w:r>
      <m:oMath>
        <m:r>
          <m:rPr/>
          <w:rPr>
            <w:rFonts w:ascii="Cambria Math" w:hAnsi="Cambria Math"/>
            <w:lang w:eastAsia="zh-CN"/>
          </w:rPr>
          <m:t>α</m:t>
        </m:r>
        <m:r>
          <m:rPr>
            <m:sty m:val="p"/>
          </m:rPr>
          <w:rPr>
            <w:rFonts w:ascii="Cambria Math" w:hAnsi="Cambria Math"/>
            <w:lang w:eastAsia="zh-CN"/>
          </w:rPr>
          <m:t>=0.5</m:t>
        </m:r>
      </m:oMath>
      <w:r>
        <w:rPr>
          <w:rFonts w:hint="eastAsia"/>
          <w:lang w:eastAsia="zh-CN"/>
        </w:rPr>
        <w:t>，</w:t>
      </w:r>
      <w:r>
        <w:rPr>
          <w:lang w:eastAsia="zh-CN"/>
        </w:rPr>
        <w:t>灵敏度分析法通过测试不同</w:t>
      </w:r>
      <m:oMath>
        <m:r>
          <m:rPr/>
          <w:rPr>
            <w:rFonts w:ascii="Cambria Math" w:hAnsi="Cambria Math"/>
            <w:lang w:eastAsia="zh-CN"/>
          </w:rPr>
          <m:t>α</m:t>
        </m:r>
      </m:oMath>
      <w:r>
        <w:rPr>
          <w:lang w:eastAsia="zh-CN"/>
        </w:rPr>
        <w:t>下排名的稳定性确定稳健区间</w:t>
      </w:r>
      <w:r>
        <w:rPr>
          <w:rFonts w:hint="eastAsia"/>
          <w:lang w:eastAsia="zh-CN"/>
        </w:rPr>
        <w:t>而</w:t>
      </w:r>
      <w:r>
        <w:rPr>
          <w:lang w:eastAsia="zh-CN"/>
        </w:rPr>
        <w:t>优化法基于历史数据拟合最优</w:t>
      </w:r>
      <w:r>
        <w:rPr>
          <w:rFonts w:hint="eastAsia"/>
          <w:lang w:eastAsia="zh-CN"/>
        </w:rPr>
        <w:t xml:space="preserve"> </w:t>
      </w:r>
      <m:oMath>
        <m:r>
          <m:rPr/>
          <w:rPr>
            <w:rFonts w:ascii="Cambria Math" w:hAnsi="Cambria Math"/>
            <w:lang w:eastAsia="zh-CN"/>
          </w:rPr>
          <m:t>α</m:t>
        </m:r>
      </m:oMath>
      <w:r>
        <w:rPr>
          <w:lang w:eastAsia="zh-CN"/>
        </w:rPr>
        <w:t>。 本研究综合使用经验法和灵敏度分析法，先取</w:t>
      </w:r>
      <m:oMath>
        <m:r>
          <m:rPr/>
          <w:rPr>
            <w:rFonts w:ascii="Cambria Math" w:hAnsi="Cambria Math"/>
            <w:lang w:eastAsia="zh-CN"/>
          </w:rPr>
          <m:t>α</m:t>
        </m:r>
        <m:r>
          <m:rPr>
            <m:sty m:val="p"/>
          </m:rPr>
          <w:rPr>
            <w:rFonts w:ascii="Cambria Math" w:hAnsi="Cambria Math"/>
            <w:lang w:eastAsia="zh-CN"/>
          </w:rPr>
          <m:t>=0.5</m:t>
        </m:r>
      </m:oMath>
      <w:r>
        <w:rPr>
          <w:lang w:eastAsia="zh-CN"/>
        </w:rPr>
        <w:t>进行实验，再通过灵敏度分析验证其在</w:t>
      </w:r>
      <m:oMath>
        <m:d>
          <m:dPr>
            <m:begChr m:val="["/>
            <m:endChr m:val="]"/>
            <m:ctrlPr>
              <w:rPr>
                <w:rFonts w:ascii="Cambria Math" w:hAnsi="Cambria Math"/>
              </w:rPr>
            </m:ctrlPr>
          </m:dPr>
          <m:e>
            <m:r>
              <m:rPr>
                <m:sty m:val="p"/>
              </m:rPr>
              <w:rPr>
                <w:rFonts w:ascii="Cambria Math" w:hAnsi="Cambria Math"/>
                <w:lang w:eastAsia="zh-CN"/>
              </w:rPr>
              <m:t>0.4,0.6</m:t>
            </m:r>
            <m:ctrlPr>
              <w:rPr>
                <w:rFonts w:ascii="Cambria Math" w:hAnsi="Cambria Math"/>
              </w:rPr>
            </m:ctrlPr>
          </m:e>
        </m:d>
        <m:r>
          <m:rPr/>
          <w:rPr>
            <w:rFonts w:ascii="Cambria Math" w:hAnsi="Cambria Math"/>
            <w:lang w:eastAsia="zh-CN"/>
          </w:rPr>
          <m:t xml:space="preserve"> </m:t>
        </m:r>
      </m:oMath>
      <w:r>
        <w:rPr>
          <w:lang w:eastAsia="zh-CN"/>
        </w:rPr>
        <w:t>区间内的稳定性</w:t>
      </w:r>
      <w:r>
        <w:rPr>
          <w:vertAlign w:val="superscript"/>
          <w:lang w:eastAsia="zh-CN"/>
        </w:rPr>
        <w:t>[19,20]</w:t>
      </w:r>
      <w:r>
        <w:rPr>
          <w:lang w:eastAsia="zh-CN"/>
        </w:rPr>
        <w:t>。</w:t>
      </w:r>
    </w:p>
    <w:bookmarkEnd w:id="33"/>
    <w:bookmarkEnd w:id="36"/>
    <w:p w14:paraId="1EA832B1">
      <w:pPr>
        <w:pStyle w:val="4"/>
        <w:rPr>
          <w:rFonts w:hint="eastAsia"/>
          <w:lang w:eastAsia="zh-CN"/>
        </w:rPr>
      </w:pPr>
      <w:bookmarkStart w:id="37" w:name="_Toc229523236"/>
      <w:bookmarkStart w:id="38" w:name="奥运项目评估相关研究"/>
      <w:r>
        <w:rPr>
          <w:rStyle w:val="62"/>
          <w:rFonts w:ascii="黑体" w:hAnsi="黑体" w:eastAsia="黑体"/>
          <w:sz w:val="28"/>
          <w:szCs w:val="28"/>
          <w:lang w:eastAsia="zh-CN"/>
        </w:rPr>
        <w:t>2.5</w:t>
      </w:r>
      <w:r>
        <w:rPr>
          <w:rFonts w:hint="eastAsia"/>
          <w:lang w:eastAsia="zh-CN"/>
        </w:rPr>
        <w:t xml:space="preserve">  </w:t>
      </w:r>
      <w:r>
        <w:rPr>
          <w:lang w:eastAsia="zh-CN"/>
        </w:rPr>
        <w:t>奥运项目评估相关研究</w:t>
      </w:r>
      <w:bookmarkEnd w:id="37"/>
    </w:p>
    <w:p w14:paraId="35AD85CB">
      <w:pPr>
        <w:pStyle w:val="5"/>
        <w:rPr>
          <w:rFonts w:hint="eastAsia"/>
          <w:lang w:eastAsia="zh-CN"/>
        </w:rPr>
      </w:pPr>
      <w:bookmarkStart w:id="39" w:name="国际奥委会评估标准"/>
      <w:r>
        <w:rPr>
          <w:rStyle w:val="62"/>
          <w:rFonts w:ascii="黑体" w:hAnsi="黑体" w:eastAsia="黑体"/>
          <w:lang w:eastAsia="zh-CN"/>
        </w:rPr>
        <w:t>2.5.1</w:t>
      </w:r>
      <w:r>
        <w:rPr>
          <w:rStyle w:val="62"/>
          <w:rFonts w:hint="eastAsia" w:ascii="黑体" w:hAnsi="黑体" w:eastAsia="黑体"/>
          <w:lang w:eastAsia="zh-CN"/>
        </w:rPr>
        <w:t xml:space="preserve">  </w:t>
      </w:r>
      <w:r>
        <w:rPr>
          <w:lang w:eastAsia="zh-CN"/>
        </w:rPr>
        <w:t>国际奥委会评估标准</w:t>
      </w:r>
    </w:p>
    <w:p w14:paraId="5CF2A040">
      <w:pPr>
        <w:pStyle w:val="35"/>
        <w:ind w:firstLine="480"/>
        <w:rPr>
          <w:lang w:eastAsia="zh-CN"/>
        </w:rPr>
      </w:pPr>
      <w:r>
        <w:rPr>
          <w:lang w:eastAsia="zh-CN"/>
        </w:rPr>
        <w:t>国际奥委会在评估新项目时，主要从六个维度进行考量</w:t>
      </w:r>
      <w:r>
        <w:rPr>
          <w:vertAlign w:val="superscript"/>
          <w:lang w:eastAsia="zh-CN"/>
        </w:rPr>
        <w:t>[1]</w:t>
      </w:r>
      <w:r>
        <w:rPr>
          <w:lang w:eastAsia="zh-CN"/>
        </w:rPr>
        <w:t>。 流行度关注的是项目的观众规模、社交媒体讨论热度以及全球参与人数，反映了该运动在公众中的影响力和吸引力。 性别平等考察男女运动员参赛比例的均衡程度及混合项目的设置情况，与IOC推动性别平等的战略方向一致。 可持续性评估项目对环境的影响， 包括碳排放水平、 场馆建设需求和设备资源消耗等， 对应《奥林匹克2020+5议程》中强调的可持续发展目标。 包容性衡量项目与残奥会的关联程度以及在发展中国家和不同文化背景中的普及情况，体现了奥林匹克对多样性的追求。 创新性反映项目的新颖程度和技术含量，近年来新引入的攀岩、滑板、霹雳舞等项目均具有较强的创新性特征。 安全性从运动员受伤风险和医疗保障需求角度进行评价，是保障运动员健康和公平竞赛的基本前提。 这六个维度构成了一套初步的评估框架，但尚未实现完全量化，本研究正是在此框架基础上进行量化分析与建模。</w:t>
      </w:r>
    </w:p>
    <w:bookmarkEnd w:id="39"/>
    <w:p w14:paraId="62FA997B">
      <w:pPr>
        <w:pStyle w:val="5"/>
        <w:rPr>
          <w:rFonts w:hint="eastAsia"/>
          <w:lang w:eastAsia="zh-CN"/>
        </w:rPr>
      </w:pPr>
      <w:bookmarkStart w:id="40" w:name="现有方法对比"/>
      <w:r>
        <w:rPr>
          <w:rStyle w:val="62"/>
          <w:rFonts w:ascii="黑体" w:hAnsi="黑体" w:eastAsia="黑体"/>
          <w:lang w:eastAsia="zh-CN"/>
        </w:rPr>
        <w:t>2.5.2</w:t>
      </w:r>
      <w:r>
        <w:rPr>
          <w:lang w:eastAsia="zh-CN"/>
        </w:rPr>
        <w:tab/>
      </w:r>
      <w:r>
        <w:rPr>
          <w:lang w:eastAsia="zh-CN"/>
        </w:rPr>
        <w:t>现有方法对比</w:t>
      </w:r>
    </w:p>
    <w:p w14:paraId="42DEE28B">
      <w:pPr>
        <w:pStyle w:val="35"/>
        <w:ind w:firstLine="480"/>
        <w:rPr>
          <w:lang w:eastAsia="zh-CN"/>
        </w:rPr>
      </w:pPr>
      <w:r>
        <w:rPr>
          <w:rFonts w:hint="eastAsia"/>
          <w:lang w:eastAsia="zh-CN"/>
        </w:rPr>
        <w:t>奥运项目评估领域目前主要存在三种方法路径。</w:t>
      </w:r>
      <w:r>
        <w:rPr>
          <w:lang w:eastAsia="zh-CN"/>
        </w:rPr>
        <w:t xml:space="preserve"> </w:t>
      </w:r>
      <w:r>
        <w:rPr>
          <w:rFonts w:hint="eastAsia"/>
          <w:lang w:eastAsia="zh-CN"/>
        </w:rPr>
        <w:t>传统专家评议方法由国际奥委会项目委员会主导，通过专家组的定性讨论对项目的全球影响力、历史传统和主办国意愿等因素进行综合权衡，最终提交IOC执委会投票决定</w:t>
      </w:r>
      <w:r>
        <w:rPr>
          <w:vertAlign w:val="superscript"/>
          <w:lang w:eastAsia="zh-CN"/>
        </w:rPr>
        <w:t>[1,2]</w:t>
      </w:r>
      <w:r>
        <w:rPr>
          <w:lang w:eastAsia="zh-CN"/>
        </w:rPr>
        <w:t xml:space="preserve">。 </w:t>
      </w:r>
      <w:r>
        <w:rPr>
          <w:rFonts w:hint="eastAsia"/>
          <w:lang w:eastAsia="zh-CN"/>
        </w:rPr>
        <w:t>该方法经过长期的实践检验，是当前实际运作中的决策机制，但其主观性过强、标准不透明的问题一直存在，外界难以追踪具体项目的入选或淘汰逻辑。</w:t>
      </w:r>
      <w:r>
        <w:rPr>
          <w:lang w:eastAsia="zh-CN"/>
        </w:rPr>
        <w:t xml:space="preserve"> </w:t>
      </w:r>
      <w:r>
        <w:rPr>
          <w:rFonts w:hint="eastAsia"/>
          <w:lang w:eastAsia="zh-CN"/>
        </w:rPr>
        <w:t>Song等</w:t>
      </w:r>
      <w:r>
        <w:rPr>
          <w:vertAlign w:val="superscript"/>
          <w:lang w:eastAsia="zh-CN"/>
        </w:rPr>
        <w:t>[15]</w:t>
      </w:r>
      <w:r>
        <w:rPr>
          <w:rFonts w:hint="eastAsia"/>
          <w:lang w:eastAsia="zh-CN"/>
        </w:rPr>
        <w:t>提出的AHP-PCA-KNN方法在量化评估方面迈出了重要一步，通过层次分析法确定权重并结合主成分分析和KNN分类器预测项目是否适合进入奥运会，但其侧重于二分类任务而非提供连续的评分排名。</w:t>
      </w:r>
      <w:r>
        <w:rPr>
          <w:lang w:eastAsia="zh-CN"/>
        </w:rPr>
        <w:t xml:space="preserve"> </w:t>
      </w:r>
      <w:r>
        <w:rPr>
          <w:rFonts w:hint="eastAsia"/>
          <w:lang w:eastAsia="zh-CN"/>
        </w:rPr>
        <w:t>本研究的AHP-EWM混合权重模型则在评分排序方面具有优势，能够为每个项目提供一个连续的综合评分，便于决策者进行更精细化的比较和排序。</w:t>
      </w:r>
    </w:p>
    <w:p w14:paraId="7BA5C6AF">
      <w:pPr>
        <w:pStyle w:val="35"/>
        <w:ind w:firstLine="480"/>
        <w:rPr>
          <w:lang w:eastAsia="zh-CN"/>
        </w:rPr>
      </w:pPr>
      <w:r>
        <w:rPr>
          <w:rFonts w:hint="eastAsia"/>
          <w:lang w:eastAsia="zh-CN"/>
        </w:rPr>
        <w:t>传统专家评议适合在项目生命周期的初期进行定性筛选决策，即判断某项目大致是否适合纳入候选名单；</w:t>
      </w:r>
      <w:r>
        <w:rPr>
          <w:lang w:eastAsia="zh-CN"/>
        </w:rPr>
        <w:t xml:space="preserve"> </w:t>
      </w:r>
      <w:r>
        <w:rPr>
          <w:rFonts w:hint="eastAsia"/>
          <w:lang w:eastAsia="zh-CN"/>
        </w:rPr>
        <w:t>Song等的分类模型适用于进一步的入选/淘汰判定；</w:t>
      </w:r>
      <w:r>
        <w:rPr>
          <w:lang w:eastAsia="zh-CN"/>
        </w:rPr>
        <w:t xml:space="preserve"> </w:t>
      </w:r>
      <w:r>
        <w:rPr>
          <w:rFonts w:hint="eastAsia"/>
          <w:lang w:eastAsia="zh-CN"/>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21C41FC3">
      <w:pPr>
        <w:pStyle w:val="3"/>
        <w:spacing w:before="0" w:after="0"/>
        <w:ind w:firstLine="480"/>
        <w:jc w:val="both"/>
        <w:rPr>
          <w:lang w:eastAsia="zh-CN"/>
        </w:rPr>
      </w:pPr>
    </w:p>
    <w:p w14:paraId="202F8E12">
      <w:pPr>
        <w:pStyle w:val="3"/>
        <w:spacing w:before="0" w:after="0"/>
        <w:ind w:firstLine="480"/>
        <w:jc w:val="both"/>
        <w:rPr>
          <w:lang w:eastAsia="zh-CN"/>
        </w:rPr>
      </w:pPr>
    </w:p>
    <w:p w14:paraId="0432DDBD">
      <w:pPr>
        <w:pStyle w:val="3"/>
        <w:spacing w:before="0" w:after="0"/>
        <w:ind w:firstLine="480"/>
        <w:jc w:val="both"/>
        <w:rPr>
          <w:lang w:eastAsia="zh-CN"/>
        </w:rPr>
      </w:pPr>
    </w:p>
    <w:p w14:paraId="050DC438">
      <w:pPr>
        <w:pStyle w:val="3"/>
        <w:spacing w:before="0" w:after="0"/>
        <w:ind w:firstLine="480"/>
        <w:jc w:val="both"/>
        <w:rPr>
          <w:lang w:eastAsia="zh-CN"/>
        </w:rPr>
      </w:pPr>
    </w:p>
    <w:p w14:paraId="70CC772C">
      <w:pPr>
        <w:pStyle w:val="3"/>
        <w:spacing w:before="0" w:after="0"/>
        <w:ind w:firstLine="480"/>
        <w:jc w:val="both"/>
        <w:rPr>
          <w:lang w:eastAsia="zh-CN"/>
        </w:rPr>
      </w:pPr>
    </w:p>
    <w:p w14:paraId="275B7159">
      <w:pPr>
        <w:pStyle w:val="3"/>
        <w:spacing w:before="0" w:after="0"/>
        <w:ind w:firstLine="480"/>
        <w:jc w:val="both"/>
        <w:rPr>
          <w:lang w:eastAsia="zh-CN"/>
        </w:rPr>
      </w:pPr>
    </w:p>
    <w:p w14:paraId="37D8FF85">
      <w:pPr>
        <w:pStyle w:val="3"/>
        <w:spacing w:before="0" w:after="0"/>
        <w:ind w:firstLine="480"/>
        <w:jc w:val="both"/>
        <w:rPr>
          <w:lang w:eastAsia="zh-CN"/>
        </w:rPr>
      </w:pPr>
    </w:p>
    <w:p w14:paraId="7CBC6BFF">
      <w:pPr>
        <w:pStyle w:val="3"/>
        <w:spacing w:before="0" w:after="0"/>
        <w:ind w:firstLine="480"/>
        <w:jc w:val="both"/>
        <w:rPr>
          <w:lang w:eastAsia="zh-CN"/>
        </w:rPr>
      </w:pPr>
    </w:p>
    <w:p w14:paraId="2E7E3B02">
      <w:pPr>
        <w:pStyle w:val="3"/>
        <w:spacing w:before="0" w:after="0"/>
        <w:ind w:firstLine="480"/>
        <w:jc w:val="both"/>
        <w:rPr>
          <w:lang w:eastAsia="zh-CN"/>
        </w:rPr>
      </w:pPr>
    </w:p>
    <w:p w14:paraId="45EE5CFC">
      <w:pPr>
        <w:pStyle w:val="3"/>
        <w:spacing w:before="0" w:after="0"/>
        <w:ind w:firstLine="480"/>
        <w:jc w:val="both"/>
        <w:rPr>
          <w:lang w:eastAsia="zh-CN"/>
        </w:rPr>
      </w:pPr>
    </w:p>
    <w:p w14:paraId="5CB5703B">
      <w:pPr>
        <w:pStyle w:val="3"/>
        <w:spacing w:before="0" w:after="0"/>
        <w:ind w:firstLine="480"/>
        <w:jc w:val="both"/>
        <w:rPr>
          <w:lang w:eastAsia="zh-CN"/>
        </w:rPr>
      </w:pPr>
    </w:p>
    <w:p w14:paraId="53D153F6">
      <w:pPr>
        <w:pStyle w:val="3"/>
        <w:spacing w:before="0" w:after="0"/>
        <w:ind w:firstLine="480"/>
        <w:jc w:val="both"/>
        <w:rPr>
          <w:lang w:eastAsia="zh-CN"/>
        </w:rPr>
      </w:pPr>
    </w:p>
    <w:p w14:paraId="3B1FBF74">
      <w:pPr>
        <w:pStyle w:val="3"/>
        <w:spacing w:before="0" w:after="0"/>
        <w:ind w:firstLine="480"/>
        <w:jc w:val="both"/>
        <w:rPr>
          <w:lang w:eastAsia="zh-CN"/>
        </w:rPr>
      </w:pPr>
    </w:p>
    <w:p w14:paraId="09E28753">
      <w:pPr>
        <w:pStyle w:val="3"/>
        <w:spacing w:before="0" w:after="0"/>
        <w:ind w:firstLine="480"/>
        <w:jc w:val="both"/>
        <w:rPr>
          <w:lang w:eastAsia="zh-CN"/>
        </w:rPr>
      </w:pPr>
    </w:p>
    <w:p w14:paraId="72F27488">
      <w:pPr>
        <w:pStyle w:val="3"/>
        <w:spacing w:before="0" w:after="0"/>
        <w:ind w:firstLine="480"/>
        <w:jc w:val="both"/>
        <w:rPr>
          <w:lang w:eastAsia="zh-CN"/>
        </w:rPr>
      </w:pPr>
    </w:p>
    <w:p w14:paraId="26E2F896">
      <w:pPr>
        <w:pStyle w:val="3"/>
        <w:spacing w:before="0" w:after="0"/>
        <w:ind w:firstLine="480"/>
        <w:jc w:val="both"/>
        <w:rPr>
          <w:rFonts w:hint="eastAsia"/>
          <w:lang w:eastAsia="zh-CN"/>
        </w:rPr>
      </w:pPr>
    </w:p>
    <w:p w14:paraId="7C033CCD">
      <w:pPr>
        <w:pStyle w:val="2"/>
        <w:rPr>
          <w:lang w:eastAsia="zh-CN"/>
        </w:rPr>
      </w:pPr>
      <w:bookmarkStart w:id="41" w:name="_Toc229523237"/>
      <w:bookmarkStart w:id="42" w:name="混合权重评估模型构建"/>
      <w:r>
        <w:rPr>
          <w:rStyle w:val="62"/>
          <w:rFonts w:eastAsia="黑体" w:asciiTheme="majorHAnsi" w:hAnsiTheme="majorHAnsi"/>
          <w:sz w:val="32"/>
          <w:szCs w:val="40"/>
          <w:lang w:eastAsia="zh-CN"/>
        </w:rPr>
        <w:t xml:space="preserve">第三章    </w:t>
      </w:r>
      <w:r>
        <w:rPr>
          <w:lang w:eastAsia="zh-CN"/>
        </w:rPr>
        <w:t>混合权重评估模型构建</w:t>
      </w:r>
      <w:bookmarkEnd w:id="41"/>
    </w:p>
    <w:bookmarkEnd w:id="38"/>
    <w:bookmarkEnd w:id="40"/>
    <w:bookmarkEnd w:id="42"/>
    <w:p w14:paraId="234070D2">
      <w:pPr>
        <w:pStyle w:val="4"/>
        <w:rPr>
          <w:rFonts w:hint="eastAsia"/>
          <w:lang w:eastAsia="zh-CN"/>
        </w:rPr>
      </w:pPr>
      <w:bookmarkStart w:id="43" w:name="_Toc229523238"/>
      <w:r>
        <w:rPr>
          <w:rStyle w:val="62"/>
          <w:rFonts w:ascii="黑体" w:hAnsi="黑体" w:eastAsia="黑体"/>
          <w:sz w:val="28"/>
          <w:szCs w:val="28"/>
          <w:lang w:eastAsia="zh-CN"/>
        </w:rPr>
        <w:t>3.1</w:t>
      </w:r>
      <w:r>
        <w:rPr>
          <w:lang w:eastAsia="zh-CN"/>
        </w:rPr>
        <w:tab/>
      </w:r>
      <w:r>
        <w:rPr>
          <w:lang w:eastAsia="zh-CN"/>
        </w:rPr>
        <w:t>符号说明</w:t>
      </w:r>
      <w:bookmarkEnd w:id="43"/>
    </w:p>
    <w:p w14:paraId="7A34F4F0">
      <w:pPr>
        <w:pStyle w:val="35"/>
        <w:ind w:firstLine="480"/>
        <w:rPr>
          <w:lang w:eastAsia="zh-CN"/>
        </w:rPr>
      </w:pPr>
      <w:r>
        <w:rPr>
          <w:lang w:eastAsia="zh-CN"/>
        </w:rPr>
        <w:t>本章及后续章节涉及的主要数学符号如表</w:t>
      </w:r>
      <w:r>
        <w:rPr>
          <w:rFonts w:hint="eastAsia"/>
          <w:lang w:eastAsia="zh-CN"/>
        </w:rPr>
        <w:t>3.1</w:t>
      </w:r>
      <w:r>
        <w:rPr>
          <w:lang w:eastAsia="zh-CN"/>
        </w:rPr>
        <w:t>所示。</w:t>
      </w:r>
    </w:p>
    <w:p w14:paraId="40F9343D">
      <w:pPr>
        <w:pStyle w:val="102"/>
      </w:pPr>
      <w:r>
        <w:t>表 3.1  主要符号说明</w:t>
      </w:r>
    </w:p>
    <w:tbl>
      <w:tblPr>
        <w:tblStyle w:val="30"/>
        <w:tblW w:w="5000" w:type="pct"/>
        <w:tblInd w:w="0" w:type="dxa"/>
        <w:tblLayout w:type="autofit"/>
        <w:tblCellMar>
          <w:top w:w="0" w:type="dxa"/>
          <w:left w:w="108" w:type="dxa"/>
          <w:bottom w:w="0" w:type="dxa"/>
          <w:right w:w="108" w:type="dxa"/>
        </w:tblCellMar>
      </w:tblPr>
      <w:tblGrid>
        <w:gridCol w:w="2802"/>
        <w:gridCol w:w="6054"/>
      </w:tblGrid>
      <w:tr w14:paraId="09CA2D8C">
        <w:tblPrEx>
          <w:tblCellMar>
            <w:top w:w="0" w:type="dxa"/>
            <w:left w:w="108" w:type="dxa"/>
            <w:bottom w:w="0" w:type="dxa"/>
            <w:right w:w="108" w:type="dxa"/>
          </w:tblCellMar>
        </w:tblPrEx>
        <w:trPr>
          <w:trHeight w:val="20" w:hRule="atLeast"/>
        </w:trPr>
        <w:tc>
          <w:tcPr>
            <w:tcW w:w="1582" w:type="pct"/>
            <w:tcBorders>
              <w:top w:val="single" w:color="000000" w:sz="12" w:space="0"/>
              <w:left w:val="nil"/>
              <w:bottom w:val="single" w:color="000000" w:sz="4" w:space="0"/>
              <w:right w:val="nil"/>
            </w:tcBorders>
          </w:tcPr>
          <w:p w14:paraId="3F693A83">
            <w:pPr>
              <w:pStyle w:val="108"/>
            </w:pPr>
            <w:r>
              <w:t>标度</w:t>
            </w:r>
          </w:p>
        </w:tc>
        <w:tc>
          <w:tcPr>
            <w:tcW w:w="3418" w:type="pct"/>
            <w:tcBorders>
              <w:top w:val="single" w:color="000000" w:sz="12" w:space="0"/>
              <w:left w:val="nil"/>
              <w:bottom w:val="single" w:color="000000" w:sz="4" w:space="0"/>
              <w:right w:val="nil"/>
            </w:tcBorders>
          </w:tcPr>
          <w:p w14:paraId="42F69BF7">
            <w:pPr>
              <w:pStyle w:val="108"/>
            </w:pPr>
            <w:r>
              <w:t>含义</w:t>
            </w:r>
          </w:p>
        </w:tc>
      </w:tr>
      <w:tr w14:paraId="39283D17">
        <w:tblPrEx>
          <w:tblCellMar>
            <w:top w:w="0" w:type="dxa"/>
            <w:left w:w="108" w:type="dxa"/>
            <w:bottom w:w="0" w:type="dxa"/>
            <w:right w:w="108" w:type="dxa"/>
          </w:tblCellMar>
        </w:tblPrEx>
        <w:trPr>
          <w:trHeight w:val="20" w:hRule="atLeast"/>
        </w:trPr>
        <w:tc>
          <w:tcPr>
            <w:tcW w:w="1582" w:type="pct"/>
            <w:tcBorders>
              <w:left w:val="nil"/>
              <w:right w:val="nil"/>
            </w:tcBorders>
          </w:tcPr>
          <w:p w14:paraId="2C420D08">
            <w:pPr>
              <w:pStyle w:val="108"/>
            </w:pPr>
            <m:oMathPara>
              <m:oMath>
                <m:r>
                  <m:rPr/>
                  <w:rPr>
                    <w:rFonts w:ascii="Cambria Math" w:hAnsi="Cambria Math"/>
                    <w:lang w:eastAsia="zh-CN"/>
                  </w:rPr>
                  <m:t>m</m:t>
                </m:r>
              </m:oMath>
            </m:oMathPara>
          </w:p>
        </w:tc>
        <w:tc>
          <w:tcPr>
            <w:tcW w:w="3418" w:type="pct"/>
            <w:tcBorders>
              <w:left w:val="nil"/>
              <w:right w:val="nil"/>
            </w:tcBorders>
          </w:tcPr>
          <w:p w14:paraId="7CFAB615">
            <w:pPr>
              <w:pStyle w:val="108"/>
              <w:rPr>
                <w:lang w:eastAsia="zh-CN"/>
              </w:rPr>
            </w:pPr>
            <w:r>
              <w:rPr>
                <w:lang w:eastAsia="zh-CN"/>
              </w:rPr>
              <w:t>评价对象（奥运项目）数量，本研究 </w:t>
            </w:r>
            <m:oMath>
              <m:r>
                <m:rPr/>
                <w:rPr>
                  <w:rFonts w:ascii="Cambria Math" w:hAnsi="Cambria Math"/>
                  <w:lang w:eastAsia="zh-CN"/>
                </w:rPr>
                <m:t>m=12</m:t>
              </m:r>
            </m:oMath>
          </w:p>
        </w:tc>
      </w:tr>
      <w:tr w14:paraId="12F62E68">
        <w:tblPrEx>
          <w:tblCellMar>
            <w:top w:w="0" w:type="dxa"/>
            <w:left w:w="108" w:type="dxa"/>
            <w:bottom w:w="0" w:type="dxa"/>
            <w:right w:w="108" w:type="dxa"/>
          </w:tblCellMar>
        </w:tblPrEx>
        <w:trPr>
          <w:trHeight w:val="20" w:hRule="atLeast"/>
        </w:trPr>
        <w:tc>
          <w:tcPr>
            <w:tcW w:w="1582" w:type="pct"/>
            <w:tcBorders>
              <w:left w:val="nil"/>
              <w:right w:val="nil"/>
            </w:tcBorders>
          </w:tcPr>
          <w:p w14:paraId="57BC5FC4">
            <w:pPr>
              <w:pStyle w:val="108"/>
            </w:pPr>
            <m:oMathPara>
              <m:oMath>
                <m:r>
                  <m:rPr/>
                  <w:rPr>
                    <w:rFonts w:ascii="Cambria Math" w:hAnsi="Cambria Math"/>
                    <w:lang w:eastAsia="zh-CN"/>
                  </w:rPr>
                  <m:t>n</m:t>
                </m:r>
              </m:oMath>
            </m:oMathPara>
          </w:p>
        </w:tc>
        <w:tc>
          <w:tcPr>
            <w:tcW w:w="3418" w:type="pct"/>
            <w:tcBorders>
              <w:left w:val="nil"/>
              <w:right w:val="nil"/>
            </w:tcBorders>
          </w:tcPr>
          <w:p w14:paraId="70B2B5D2">
            <w:pPr>
              <w:pStyle w:val="108"/>
              <w:rPr>
                <w:lang w:eastAsia="zh-CN"/>
              </w:rPr>
            </w:pPr>
            <w:r>
              <w:rPr>
                <w:lang w:eastAsia="zh-CN"/>
              </w:rPr>
              <w:t>评价指标（维度）数量，本研究 </w:t>
            </w:r>
            <m:oMath>
              <m:r>
                <m:rPr/>
                <w:rPr>
                  <w:rFonts w:ascii="Cambria Math" w:hAnsi="Cambria Math"/>
                  <w:lang w:eastAsia="zh-CN"/>
                </w:rPr>
                <m:t>n=6</m:t>
              </m:r>
            </m:oMath>
          </w:p>
        </w:tc>
      </w:tr>
      <w:tr w14:paraId="61B65DC1">
        <w:tblPrEx>
          <w:tblCellMar>
            <w:top w:w="0" w:type="dxa"/>
            <w:left w:w="108" w:type="dxa"/>
            <w:bottom w:w="0" w:type="dxa"/>
            <w:right w:w="108" w:type="dxa"/>
          </w:tblCellMar>
        </w:tblPrEx>
        <w:trPr>
          <w:trHeight w:val="20" w:hRule="atLeast"/>
        </w:trPr>
        <w:tc>
          <w:tcPr>
            <w:tcW w:w="1582" w:type="pct"/>
            <w:tcBorders>
              <w:left w:val="nil"/>
              <w:right w:val="nil"/>
            </w:tcBorders>
          </w:tcPr>
          <w:p w14:paraId="72885987">
            <w:pPr>
              <w:pStyle w:val="108"/>
              <w:rPr>
                <w:lang w:eastAsia="zh-CN"/>
              </w:rPr>
            </w:pPr>
            <m:oMathPara>
              <m:oMath>
                <m:r>
                  <m:rPr/>
                  <w:rPr>
                    <w:rFonts w:ascii="Cambria Math" w:hAnsi="Cambria Math"/>
                    <w:lang w:eastAsia="zh-CN"/>
                  </w:rPr>
                  <m:t>S=</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m</m:t>
                    </m:r>
                    <m:ctrlPr>
                      <w:rPr>
                        <w:rFonts w:ascii="Cambria Math" w:hAnsi="Cambria Math"/>
                        <w:lang w:eastAsia="zh-CN"/>
                      </w:rPr>
                    </m:ctrlPr>
                  </m:sub>
                </m:sSub>
              </m:oMath>
            </m:oMathPara>
          </w:p>
        </w:tc>
        <w:tc>
          <w:tcPr>
            <w:tcW w:w="3418" w:type="pct"/>
            <w:tcBorders>
              <w:left w:val="nil"/>
              <w:right w:val="nil"/>
            </w:tcBorders>
          </w:tcPr>
          <w:p w14:paraId="73DF89CC">
            <w:pPr>
              <w:pStyle w:val="108"/>
              <w:rPr>
                <w:lang w:eastAsia="zh-CN"/>
              </w:rPr>
            </w:pPr>
            <w:r>
              <w:rPr>
                <w:lang w:eastAsia="zh-CN"/>
              </w:rPr>
              <w:t>候选项目集合</w:t>
            </w:r>
          </w:p>
        </w:tc>
      </w:tr>
      <w:tr w14:paraId="7D530C08">
        <w:tblPrEx>
          <w:tblCellMar>
            <w:top w:w="0" w:type="dxa"/>
            <w:left w:w="108" w:type="dxa"/>
            <w:bottom w:w="0" w:type="dxa"/>
            <w:right w:w="108" w:type="dxa"/>
          </w:tblCellMar>
        </w:tblPrEx>
        <w:trPr>
          <w:trHeight w:val="20" w:hRule="atLeast"/>
        </w:trPr>
        <w:tc>
          <w:tcPr>
            <w:tcW w:w="1582" w:type="pct"/>
            <w:tcBorders>
              <w:left w:val="nil"/>
              <w:right w:val="nil"/>
            </w:tcBorders>
          </w:tcPr>
          <w:p w14:paraId="18665DF7">
            <w:pPr>
              <w:pStyle w:val="108"/>
              <w:rPr>
                <w:lang w:eastAsia="zh-CN"/>
              </w:rPr>
            </w:pPr>
            <m:oMathPara>
              <m:oMath>
                <m:r>
                  <m:rPr/>
                  <w:rPr>
                    <w:rFonts w:ascii="Cambria Math" w:hAnsi="Cambria Math"/>
                    <w:lang w:eastAsia="zh-CN"/>
                  </w:rPr>
                  <m:t>C=</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oMath>
            </m:oMathPara>
          </w:p>
        </w:tc>
        <w:tc>
          <w:tcPr>
            <w:tcW w:w="3418" w:type="pct"/>
            <w:tcBorders>
              <w:left w:val="nil"/>
              <w:right w:val="nil"/>
            </w:tcBorders>
          </w:tcPr>
          <w:p w14:paraId="2A2F8D78">
            <w:pPr>
              <w:pStyle w:val="108"/>
              <w:rPr>
                <w:lang w:eastAsia="zh-CN"/>
              </w:rPr>
            </w:pPr>
            <w:r>
              <w:rPr>
                <w:lang w:eastAsia="zh-CN"/>
              </w:rPr>
              <w:t>评价指标集合</w:t>
            </w:r>
          </w:p>
        </w:tc>
      </w:tr>
      <w:tr w14:paraId="1BEFD679">
        <w:tblPrEx>
          <w:tblCellMar>
            <w:top w:w="0" w:type="dxa"/>
            <w:left w:w="108" w:type="dxa"/>
            <w:bottom w:w="0" w:type="dxa"/>
            <w:right w:w="108" w:type="dxa"/>
          </w:tblCellMar>
        </w:tblPrEx>
        <w:trPr>
          <w:trHeight w:val="20" w:hRule="atLeast"/>
        </w:trPr>
        <w:tc>
          <w:tcPr>
            <w:tcW w:w="1582" w:type="pct"/>
            <w:tcBorders>
              <w:left w:val="nil"/>
              <w:right w:val="nil"/>
            </w:tcBorders>
          </w:tcPr>
          <w:p w14:paraId="03120604">
            <w:pPr>
              <w:pStyle w:val="108"/>
              <w:rPr>
                <w:lang w:eastAsia="zh-CN"/>
              </w:rPr>
            </w:pPr>
            <m:oMathPara>
              <m:oMath>
                <m:r>
                  <m:rPr/>
                  <w:rPr>
                    <w:rFonts w:ascii="Cambria Math" w:hAnsi="Cambria Math"/>
                    <w:lang w:eastAsia="zh-CN"/>
                  </w:rPr>
                  <m:t>X=[</m:t>
                </m:r>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sSub>
                  <m:sSubPr>
                    <m:ctrlPr>
                      <w:rPr>
                        <w:rFonts w:ascii="Cambria Math" w:hAnsi="Cambria Math"/>
                        <w:lang w:eastAsia="zh-CN"/>
                      </w:rPr>
                    </m:ctrlPr>
                  </m:sSubPr>
                  <m:e>
                    <m:r>
                      <m:rPr/>
                      <w:rPr>
                        <w:rFonts w:ascii="Cambria Math" w:hAnsi="Cambria Math"/>
                        <w:lang w:eastAsia="zh-CN"/>
                      </w:rPr>
                      <m:t>]</m:t>
                    </m:r>
                    <m:ctrlPr>
                      <w:rPr>
                        <w:rFonts w:ascii="Cambria Math" w:hAnsi="Cambria Math"/>
                        <w:lang w:eastAsia="zh-CN"/>
                      </w:rPr>
                    </m:ctrlPr>
                  </m:e>
                  <m:sub>
                    <m:r>
                      <m:rPr/>
                      <w:rPr>
                        <w:rFonts w:ascii="Cambria Math" w:hAnsi="Cambria Math"/>
                        <w:lang w:eastAsia="zh-CN"/>
                      </w:rPr>
                      <m:t>m×n</m:t>
                    </m:r>
                    <m:ctrlPr>
                      <w:rPr>
                        <w:rFonts w:ascii="Cambria Math" w:hAnsi="Cambria Math"/>
                        <w:lang w:eastAsia="zh-CN"/>
                      </w:rPr>
                    </m:ctrlPr>
                  </m:sub>
                </m:sSub>
              </m:oMath>
            </m:oMathPara>
          </w:p>
        </w:tc>
        <w:tc>
          <w:tcPr>
            <w:tcW w:w="3418" w:type="pct"/>
            <w:tcBorders>
              <w:left w:val="nil"/>
              <w:right w:val="nil"/>
            </w:tcBorders>
          </w:tcPr>
          <w:p w14:paraId="657D88A4">
            <w:pPr>
              <w:pStyle w:val="108"/>
              <w:rPr>
                <w:lang w:eastAsia="zh-CN"/>
              </w:rPr>
            </w:pPr>
            <w:r>
              <w:rPr>
                <w:lang w:eastAsia="zh-CN"/>
              </w:rPr>
              <w:t>决策矩阵，</w:t>
            </w:r>
            <m:oMath>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r>
              <w:rPr>
                <w:lang w:eastAsia="zh-CN"/>
              </w:rPr>
              <w:t> 为项目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在指标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上的评分</w:t>
            </w:r>
          </w:p>
        </w:tc>
      </w:tr>
      <w:tr w14:paraId="3EF1222F">
        <w:tblPrEx>
          <w:tblCellMar>
            <w:top w:w="0" w:type="dxa"/>
            <w:left w:w="108" w:type="dxa"/>
            <w:bottom w:w="0" w:type="dxa"/>
            <w:right w:w="108" w:type="dxa"/>
          </w:tblCellMar>
        </w:tblPrEx>
        <w:trPr>
          <w:trHeight w:val="20" w:hRule="atLeast"/>
        </w:trPr>
        <w:tc>
          <w:tcPr>
            <w:tcW w:w="1582" w:type="pct"/>
            <w:tcBorders>
              <w:left w:val="nil"/>
              <w:right w:val="nil"/>
            </w:tcBorders>
          </w:tcPr>
          <w:p w14:paraId="118FFD72">
            <w:pPr>
              <w:pStyle w:val="108"/>
              <w:rPr>
                <w:lang w:eastAsia="zh-CN"/>
              </w:rPr>
            </w:pPr>
            <m:oMathPara>
              <m:oMath>
                <m:sSub>
                  <m:sSubPr>
                    <m:ctrlPr>
                      <w:rPr>
                        <w:rFonts w:ascii="Cambria Math" w:hAnsi="Cambria Math"/>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m:oMathPara>
          </w:p>
        </w:tc>
        <w:tc>
          <w:tcPr>
            <w:tcW w:w="3418" w:type="pct"/>
            <w:tcBorders>
              <w:left w:val="nil"/>
              <w:right w:val="nil"/>
            </w:tcBorders>
          </w:tcPr>
          <w:p w14:paraId="5BFAC8AB">
            <w:pPr>
              <w:pStyle w:val="108"/>
              <w:rPr>
                <w:lang w:eastAsia="zh-CN"/>
              </w:rPr>
            </w:pPr>
            <w:r>
              <w:rPr>
                <w:lang w:eastAsia="zh-CN"/>
              </w:rPr>
              <w:t>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的综合评分，由式(3.2)计算</w:t>
            </w:r>
          </w:p>
        </w:tc>
      </w:tr>
      <w:tr w14:paraId="0230C378">
        <w:tblPrEx>
          <w:tblCellMar>
            <w:top w:w="0" w:type="dxa"/>
            <w:left w:w="108" w:type="dxa"/>
            <w:bottom w:w="0" w:type="dxa"/>
            <w:right w:w="108" w:type="dxa"/>
          </w:tblCellMar>
        </w:tblPrEx>
        <w:trPr>
          <w:trHeight w:val="20" w:hRule="atLeast"/>
        </w:trPr>
        <w:tc>
          <w:tcPr>
            <w:tcW w:w="1582" w:type="pct"/>
            <w:tcBorders>
              <w:left w:val="nil"/>
              <w:right w:val="nil"/>
            </w:tcBorders>
          </w:tcPr>
          <w:p w14:paraId="7CBEADEF">
            <w:pPr>
              <w:pStyle w:val="108"/>
              <w:rPr>
                <w:lang w:eastAsia="zh-CN"/>
              </w:rPr>
            </w:pPr>
            <m:oMathPara>
              <m:oMath>
                <m:r>
                  <m:rPr/>
                  <w:rPr>
                    <w:rFonts w:ascii="Cambria Math" w:hAnsi="Cambria Math"/>
                    <w:lang w:eastAsia="zh-CN"/>
                  </w:rPr>
                  <m:t>W=</m:t>
                </m:r>
                <m:d>
                  <m:dPr>
                    <m:ctrlPr>
                      <w:rPr>
                        <w:rFonts w:ascii="Cambria Math" w:hAnsi="Cambria Math"/>
                        <w:i/>
                        <w:lang w:eastAsia="zh-CN"/>
                      </w:rPr>
                    </m:ctrlPr>
                  </m:dPr>
                  <m:e>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ctrlPr>
                      <w:rPr>
                        <w:rFonts w:ascii="Cambria Math" w:hAnsi="Cambria Math"/>
                        <w:i/>
                        <w:lang w:eastAsia="zh-CN"/>
                      </w:rPr>
                    </m:ctrlPr>
                  </m:e>
                </m:d>
              </m:oMath>
            </m:oMathPara>
          </w:p>
        </w:tc>
        <w:tc>
          <w:tcPr>
            <w:tcW w:w="3418" w:type="pct"/>
            <w:tcBorders>
              <w:left w:val="nil"/>
              <w:right w:val="nil"/>
            </w:tcBorders>
          </w:tcPr>
          <w:p w14:paraId="3A2395A6">
            <w:pPr>
              <w:pStyle w:val="108"/>
              <w:rPr>
                <w:lang w:eastAsia="zh-CN"/>
              </w:rPr>
            </w:pPr>
            <w:r>
              <w:rPr>
                <w:lang w:eastAsia="zh-CN"/>
              </w:rPr>
              <w:t>指标权重向量，</w:t>
            </w:r>
            <m:oMath>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oMath>
          </w:p>
        </w:tc>
      </w:tr>
      <w:tr w14:paraId="5BB59C94">
        <w:tblPrEx>
          <w:tblCellMar>
            <w:top w:w="0" w:type="dxa"/>
            <w:left w:w="108" w:type="dxa"/>
            <w:bottom w:w="0" w:type="dxa"/>
            <w:right w:w="108" w:type="dxa"/>
          </w:tblCellMar>
        </w:tblPrEx>
        <w:trPr>
          <w:trHeight w:val="20" w:hRule="atLeast"/>
        </w:trPr>
        <w:tc>
          <w:tcPr>
            <w:tcW w:w="1582" w:type="pct"/>
            <w:tcBorders>
              <w:left w:val="nil"/>
              <w:right w:val="nil"/>
            </w:tcBorders>
          </w:tcPr>
          <w:p w14:paraId="6DF7B937">
            <w:pPr>
              <w:pStyle w:val="108"/>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AHP</m:t>
                    </m:r>
                    <m:ctrlPr>
                      <w:rPr>
                        <w:rFonts w:ascii="Cambria Math" w:hAnsi="Cambria Math"/>
                        <w:lang w:eastAsia="zh-CN"/>
                      </w:rPr>
                    </m:ctrlPr>
                  </m:sup>
                </m:sSup>
              </m:oMath>
            </m:oMathPara>
          </w:p>
        </w:tc>
        <w:tc>
          <w:tcPr>
            <w:tcW w:w="3418" w:type="pct"/>
            <w:tcBorders>
              <w:left w:val="nil"/>
              <w:right w:val="nil"/>
            </w:tcBorders>
          </w:tcPr>
          <w:p w14:paraId="53897761">
            <w:pPr>
              <w:pStyle w:val="108"/>
              <w:rPr>
                <w:lang w:eastAsia="zh-CN"/>
              </w:rPr>
            </w:pPr>
            <w:r>
              <w:rPr>
                <w:lang w:eastAsia="zh-CN"/>
              </w:rPr>
              <w:t>由 AHP（层次分析法）确定的主观权重向量</w:t>
            </w:r>
          </w:p>
        </w:tc>
      </w:tr>
      <w:tr w14:paraId="1AB3AB81">
        <w:tblPrEx>
          <w:tblCellMar>
            <w:top w:w="0" w:type="dxa"/>
            <w:left w:w="108" w:type="dxa"/>
            <w:bottom w:w="0" w:type="dxa"/>
            <w:right w:w="108" w:type="dxa"/>
          </w:tblCellMar>
        </w:tblPrEx>
        <w:trPr>
          <w:trHeight w:val="20" w:hRule="atLeast"/>
        </w:trPr>
        <w:tc>
          <w:tcPr>
            <w:tcW w:w="1582" w:type="pct"/>
            <w:tcBorders>
              <w:left w:val="nil"/>
              <w:right w:val="nil"/>
            </w:tcBorders>
          </w:tcPr>
          <w:p w14:paraId="7BFE89EA">
            <w:pPr>
              <w:pStyle w:val="108"/>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EWM</m:t>
                    </m:r>
                    <m:ctrlPr>
                      <w:rPr>
                        <w:rFonts w:ascii="Cambria Math" w:hAnsi="Cambria Math"/>
                        <w:lang w:eastAsia="zh-CN"/>
                      </w:rPr>
                    </m:ctrlPr>
                  </m:sup>
                </m:sSup>
              </m:oMath>
            </m:oMathPara>
          </w:p>
        </w:tc>
        <w:tc>
          <w:tcPr>
            <w:tcW w:w="3418" w:type="pct"/>
            <w:tcBorders>
              <w:left w:val="nil"/>
              <w:right w:val="nil"/>
            </w:tcBorders>
          </w:tcPr>
          <w:p w14:paraId="6EFDD3CF">
            <w:pPr>
              <w:pStyle w:val="108"/>
              <w:rPr>
                <w:lang w:eastAsia="zh-CN"/>
              </w:rPr>
            </w:pPr>
            <w:r>
              <w:rPr>
                <w:lang w:eastAsia="zh-CN"/>
              </w:rPr>
              <w:t>由 EWM（熵权法）确定的客观权重向量</w:t>
            </w:r>
          </w:p>
        </w:tc>
      </w:tr>
      <w:tr w14:paraId="02C2DFBD">
        <w:tblPrEx>
          <w:tblCellMar>
            <w:top w:w="0" w:type="dxa"/>
            <w:left w:w="108" w:type="dxa"/>
            <w:bottom w:w="0" w:type="dxa"/>
            <w:right w:w="108" w:type="dxa"/>
          </w:tblCellMar>
        </w:tblPrEx>
        <w:trPr>
          <w:trHeight w:val="20" w:hRule="atLeast"/>
        </w:trPr>
        <w:tc>
          <w:tcPr>
            <w:tcW w:w="1582" w:type="pct"/>
            <w:tcBorders>
              <w:left w:val="nil"/>
              <w:right w:val="nil"/>
            </w:tcBorders>
          </w:tcPr>
          <w:p w14:paraId="48A67783">
            <w:pPr>
              <w:pStyle w:val="108"/>
              <w:rPr>
                <w:lang w:eastAsia="zh-CN"/>
              </w:rPr>
            </w:pPr>
            <m:oMathPara>
              <m:oMath>
                <m:r>
                  <m:rPr/>
                  <w:rPr>
                    <w:rFonts w:ascii="Cambria Math" w:hAnsi="Cambria Math"/>
                    <w:lang w:eastAsia="zh-CN"/>
                  </w:rPr>
                  <m:t>α</m:t>
                </m:r>
              </m:oMath>
            </m:oMathPara>
          </w:p>
        </w:tc>
        <w:tc>
          <w:tcPr>
            <w:tcW w:w="3418" w:type="pct"/>
            <w:tcBorders>
              <w:left w:val="nil"/>
              <w:right w:val="nil"/>
            </w:tcBorders>
          </w:tcPr>
          <w:p w14:paraId="3543BD53">
            <w:pPr>
              <w:pStyle w:val="108"/>
              <w:rPr>
                <w:lang w:eastAsia="zh-CN"/>
              </w:rPr>
            </w:pPr>
            <w:r>
              <w:rPr>
                <w:lang w:eastAsia="zh-CN"/>
              </w:rPr>
              <w:t>混合权重组合系数，</w:t>
            </w:r>
            <m:oMath>
              <m:r>
                <m:rPr/>
                <w:rPr>
                  <w:rFonts w:ascii="Cambria Math" w:hAnsi="Cambria Math"/>
                  <w:lang w:eastAsia="zh-CN"/>
                </w:rPr>
                <m:t>α=0.5</m:t>
              </m:r>
            </m:oMath>
            <w:r>
              <w:rPr>
                <w:lang w:eastAsia="zh-CN"/>
              </w:rPr>
              <w:t>为主客观等权</w:t>
            </w:r>
          </w:p>
        </w:tc>
      </w:tr>
      <w:tr w14:paraId="4862830E">
        <w:tblPrEx>
          <w:tblCellMar>
            <w:top w:w="0" w:type="dxa"/>
            <w:left w:w="108" w:type="dxa"/>
            <w:bottom w:w="0" w:type="dxa"/>
            <w:right w:w="108" w:type="dxa"/>
          </w:tblCellMar>
        </w:tblPrEx>
        <w:trPr>
          <w:trHeight w:val="20" w:hRule="atLeast"/>
        </w:trPr>
        <w:tc>
          <w:tcPr>
            <w:tcW w:w="1582" w:type="pct"/>
            <w:tcBorders>
              <w:left w:val="nil"/>
              <w:right w:val="nil"/>
            </w:tcBorders>
          </w:tcPr>
          <w:p w14:paraId="5C0BF518">
            <w:pPr>
              <w:pStyle w:val="108"/>
              <w:rPr>
                <w:lang w:eastAsia="zh-CN"/>
              </w:rPr>
            </w:pPr>
            <m:oMathPara>
              <m:oMath>
                <m:r>
                  <m:rPr/>
                  <w:rPr>
                    <w:rFonts w:ascii="Cambria Math" w:hAnsi="Cambria Math"/>
                    <w:lang w:eastAsia="zh-CN"/>
                  </w:rPr>
                  <m:t>A</m:t>
                </m:r>
              </m:oMath>
            </m:oMathPara>
          </w:p>
        </w:tc>
        <w:tc>
          <w:tcPr>
            <w:tcW w:w="3418" w:type="pct"/>
            <w:tcBorders>
              <w:left w:val="nil"/>
              <w:right w:val="nil"/>
            </w:tcBorders>
          </w:tcPr>
          <w:p w14:paraId="51C6882A">
            <w:pPr>
              <w:pStyle w:val="108"/>
              <w:rPr>
                <w:lang w:eastAsia="zh-CN"/>
              </w:rPr>
            </w:pPr>
            <w:r>
              <w:rPr>
                <w:lang w:eastAsia="zh-CN"/>
              </w:rPr>
              <w:t>AHP 判断矩阵，</w:t>
            </w:r>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pq</m:t>
                  </m:r>
                  <m:ctrlPr>
                    <w:rPr>
                      <w:rFonts w:ascii="Cambria Math" w:hAnsi="Cambria Math"/>
                      <w:lang w:eastAsia="zh-CN"/>
                    </w:rPr>
                  </m:ctrlPr>
                </m:sub>
              </m:sSub>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qp</m:t>
                  </m:r>
                  <m:ctrlPr>
                    <w:rPr>
                      <w:rFonts w:ascii="Cambria Math" w:hAnsi="Cambria Math"/>
                      <w:lang w:eastAsia="zh-CN"/>
                    </w:rPr>
                  </m:ctrlPr>
                </m:sub>
              </m:sSub>
            </m:oMath>
          </w:p>
        </w:tc>
      </w:tr>
      <w:tr w14:paraId="2FB41370">
        <w:tblPrEx>
          <w:tblCellMar>
            <w:top w:w="0" w:type="dxa"/>
            <w:left w:w="108" w:type="dxa"/>
            <w:bottom w:w="0" w:type="dxa"/>
            <w:right w:w="108" w:type="dxa"/>
          </w:tblCellMar>
        </w:tblPrEx>
        <w:trPr>
          <w:trHeight w:val="20" w:hRule="atLeast"/>
        </w:trPr>
        <w:tc>
          <w:tcPr>
            <w:tcW w:w="1582" w:type="pct"/>
            <w:tcBorders>
              <w:left w:val="nil"/>
              <w:right w:val="nil"/>
            </w:tcBorders>
          </w:tcPr>
          <w:p w14:paraId="14A81449">
            <w:pPr>
              <w:pStyle w:val="108"/>
              <w:rPr>
                <w:lang w:eastAsia="zh-CN"/>
              </w:rPr>
            </w:pPr>
            <m:oMathPara>
              <m:oMath>
                <m:sSub>
                  <m:sSubPr>
                    <m:ctrlPr>
                      <w:rPr>
                        <w:rFonts w:ascii="Cambria Math" w:hAnsi="Cambria Math"/>
                        <w:lang w:eastAsia="zh-CN"/>
                      </w:rPr>
                    </m:ctrlPr>
                  </m:sSubPr>
                  <m:e>
                    <m:r>
                      <m:rPr/>
                      <w:rPr>
                        <w:rFonts w:ascii="Cambria Math" w:hAnsi="Cambria Math"/>
                        <w:lang w:eastAsia="zh-CN"/>
                      </w:rPr>
                      <m:t>λ</m:t>
                    </m:r>
                    <m:ctrlPr>
                      <w:rPr>
                        <w:rFonts w:ascii="Cambria Math" w:hAnsi="Cambria Math"/>
                        <w:lang w:eastAsia="zh-CN"/>
                      </w:rPr>
                    </m:ctrlPr>
                  </m:e>
                  <m:sub>
                    <m:r>
                      <m:rPr>
                        <m:nor/>
                        <m:sty m:val="p"/>
                      </m:rPr>
                      <w:rPr>
                        <w:b w:val="0"/>
                        <w:i w:val="0"/>
                        <w:lang w:eastAsia="zh-CN"/>
                      </w:rPr>
                      <m:t>max</m:t>
                    </m:r>
                    <m:ctrlPr>
                      <w:rPr>
                        <w:rFonts w:ascii="Cambria Math" w:hAnsi="Cambria Math"/>
                        <w:lang w:eastAsia="zh-CN"/>
                      </w:rPr>
                    </m:ctrlPr>
                  </m:sub>
                </m:sSub>
              </m:oMath>
            </m:oMathPara>
          </w:p>
        </w:tc>
        <w:tc>
          <w:tcPr>
            <w:tcW w:w="3418" w:type="pct"/>
            <w:tcBorders>
              <w:left w:val="nil"/>
              <w:right w:val="nil"/>
            </w:tcBorders>
          </w:tcPr>
          <w:p w14:paraId="0F1EE7EC">
            <w:pPr>
              <w:pStyle w:val="108"/>
              <w:rPr>
                <w:lang w:eastAsia="zh-CN"/>
              </w:rPr>
            </w:pPr>
            <w:r>
              <w:rPr>
                <w:lang w:eastAsia="zh-CN"/>
              </w:rPr>
              <w:t>判断矩阵 </w:t>
            </w:r>
            <m:oMath>
              <m:r>
                <m:rPr/>
                <w:rPr>
                  <w:rFonts w:ascii="Cambria Math" w:hAnsi="Cambria Math"/>
                  <w:lang w:eastAsia="zh-CN"/>
                </w:rPr>
                <m:t>A</m:t>
              </m:r>
            </m:oMath>
            <w:r>
              <w:rPr>
                <w:lang w:eastAsia="zh-CN"/>
              </w:rPr>
              <w:t> 的最大特征值</w:t>
            </w:r>
          </w:p>
        </w:tc>
      </w:tr>
      <w:tr w14:paraId="1F64C0B7">
        <w:tblPrEx>
          <w:tblCellMar>
            <w:top w:w="0" w:type="dxa"/>
            <w:left w:w="108" w:type="dxa"/>
            <w:bottom w:w="0" w:type="dxa"/>
            <w:right w:w="108" w:type="dxa"/>
          </w:tblCellMar>
        </w:tblPrEx>
        <w:trPr>
          <w:trHeight w:val="20" w:hRule="atLeast"/>
        </w:trPr>
        <w:tc>
          <w:tcPr>
            <w:tcW w:w="1582" w:type="pct"/>
            <w:tcBorders>
              <w:left w:val="nil"/>
              <w:right w:val="nil"/>
            </w:tcBorders>
          </w:tcPr>
          <w:p w14:paraId="4A6534D8">
            <w:pPr>
              <w:pStyle w:val="108"/>
              <w:rPr>
                <w:lang w:eastAsia="zh-CN"/>
              </w:rPr>
            </w:pPr>
            <m:oMathPara>
              <m:oMath>
                <m:r>
                  <m:rPr/>
                  <w:rPr>
                    <w:rFonts w:ascii="Cambria Math" w:hAnsi="Cambria Math"/>
                    <w:lang w:eastAsia="zh-CN"/>
                  </w:rPr>
                  <m:t>CI,CR</m:t>
                </m:r>
              </m:oMath>
            </m:oMathPara>
          </w:p>
        </w:tc>
        <w:tc>
          <w:tcPr>
            <w:tcW w:w="3418" w:type="pct"/>
            <w:tcBorders>
              <w:left w:val="nil"/>
              <w:right w:val="nil"/>
            </w:tcBorders>
          </w:tcPr>
          <w:p w14:paraId="27A927B3">
            <w:pPr>
              <w:pStyle w:val="108"/>
              <w:rPr>
                <w:lang w:eastAsia="zh-CN"/>
              </w:rPr>
            </w:pPr>
            <w:r>
              <w:rPr>
                <w:lang w:eastAsia="zh-CN"/>
              </w:rPr>
              <w:t>一致性指标与一致性比率</w:t>
            </w:r>
          </w:p>
        </w:tc>
      </w:tr>
      <w:tr w14:paraId="7DE26841">
        <w:tblPrEx>
          <w:tblCellMar>
            <w:top w:w="0" w:type="dxa"/>
            <w:left w:w="108" w:type="dxa"/>
            <w:bottom w:w="0" w:type="dxa"/>
            <w:right w:w="108" w:type="dxa"/>
          </w:tblCellMar>
        </w:tblPrEx>
        <w:trPr>
          <w:trHeight w:val="20" w:hRule="atLeast"/>
        </w:trPr>
        <w:tc>
          <w:tcPr>
            <w:tcW w:w="1582" w:type="pct"/>
            <w:tcBorders>
              <w:left w:val="nil"/>
              <w:right w:val="nil"/>
            </w:tcBorders>
          </w:tcPr>
          <w:p w14:paraId="55A28240">
            <w:pPr>
              <w:pStyle w:val="108"/>
              <w:rPr>
                <w:lang w:eastAsia="zh-CN"/>
              </w:rPr>
            </w:pPr>
            <m:oMathPara>
              <m:oMath>
                <m:sSub>
                  <m:sSubPr>
                    <m:ctrlPr>
                      <w:rPr>
                        <w:rFonts w:ascii="Cambria Math" w:hAnsi="Cambria Math"/>
                        <w:lang w:eastAsia="zh-CN"/>
                      </w:rPr>
                    </m:ctrlPr>
                  </m:sSubPr>
                  <m:e>
                    <m:acc>
                      <m:accPr>
                        <m:chr m:val="̃"/>
                        <m:ctrlPr>
                          <w:rPr>
                            <w:rFonts w:ascii="Cambria Math" w:hAnsi="Cambria Math"/>
                            <w:lang w:eastAsia="zh-CN"/>
                          </w:rPr>
                        </m:ctrlPr>
                      </m:accPr>
                      <m:e>
                        <m:r>
                          <m:rPr/>
                          <w:rPr>
                            <w:rFonts w:ascii="Cambria Math" w:hAnsi="Cambria Math"/>
                            <w:lang w:eastAsia="zh-CN"/>
                          </w:rPr>
                          <m:t>x</m:t>
                        </m:r>
                        <m:ctrlPr>
                          <w:rPr>
                            <w:rFonts w:ascii="Cambria Math" w:hAnsi="Cambria Math"/>
                            <w:lang w:eastAsia="zh-CN"/>
                          </w:rPr>
                        </m:ctrlPr>
                      </m:e>
                    </m:acc>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566BBA99">
            <w:pPr>
              <w:pStyle w:val="108"/>
              <w:rPr>
                <w:lang w:eastAsia="zh-CN"/>
              </w:rPr>
            </w:pPr>
            <w:r>
              <w:rPr>
                <w:lang w:eastAsia="zh-CN"/>
              </w:rPr>
              <w:t>标准化后的决策矩阵元素（最小-最大归一化）</w:t>
            </w:r>
          </w:p>
        </w:tc>
      </w:tr>
      <w:tr w14:paraId="3CA7BB56">
        <w:tblPrEx>
          <w:tblCellMar>
            <w:top w:w="0" w:type="dxa"/>
            <w:left w:w="108" w:type="dxa"/>
            <w:bottom w:w="0" w:type="dxa"/>
            <w:right w:w="108" w:type="dxa"/>
          </w:tblCellMar>
        </w:tblPrEx>
        <w:trPr>
          <w:trHeight w:val="20" w:hRule="atLeast"/>
        </w:trPr>
        <w:tc>
          <w:tcPr>
            <w:tcW w:w="1582" w:type="pct"/>
            <w:tcBorders>
              <w:left w:val="nil"/>
              <w:right w:val="nil"/>
            </w:tcBorders>
          </w:tcPr>
          <w:p w14:paraId="73CCCB7D">
            <w:pPr>
              <w:pStyle w:val="108"/>
              <w:rPr>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12A77106">
            <w:pPr>
              <w:pStyle w:val="108"/>
              <w:rPr>
                <w:rFonts w:hint="eastAsia"/>
                <w:lang w:eastAsia="zh-CN"/>
              </w:rPr>
            </w:pPr>
            <w:r>
              <w:rPr>
                <w:lang w:eastAsia="zh-CN"/>
              </w:rPr>
              <w:t>比重矩阵元素，</w:t>
            </w:r>
            <m:oMath>
              <m:sSub>
                <m:sSubPr>
                  <m:ctrlPr>
                    <w:rPr>
                      <w:rFonts w:ascii="Cambria Math" w:hAnsi="Cambria Math"/>
                      <w:i/>
                      <w:lang w:eastAsia="zh-CN"/>
                    </w:rPr>
                  </m:ctrlPr>
                </m:sSubPr>
                <m:e>
                  <m:r>
                    <m:rPr/>
                    <w:rPr>
                      <w:rFonts w:ascii="Cambria Math" w:hAnsi="Cambria Math"/>
                      <w:lang w:eastAsia="zh-CN"/>
                    </w:rPr>
                    <m:t>p</m:t>
                  </m:r>
                  <m:ctrlPr>
                    <w:rPr>
                      <w:rFonts w:ascii="Cambria Math" w:hAnsi="Cambria Math"/>
                      <w:i/>
                      <w:lang w:eastAsia="zh-CN"/>
                    </w:rPr>
                  </m:ctrlPr>
                </m:e>
                <m:sub>
                  <m:r>
                    <m:rPr/>
                    <w:rPr>
                      <w:rFonts w:ascii="Cambria Math" w:hAnsi="Cambria Math"/>
                      <w:lang w:eastAsia="zh-CN"/>
                    </w:rPr>
                    <m:t>ij</m:t>
                  </m:r>
                  <m:ctrlPr>
                    <w:rPr>
                      <w:rFonts w:ascii="Cambria Math" w:hAnsi="Cambria Math"/>
                      <w:i/>
                      <w:lang w:eastAsia="zh-CN"/>
                    </w:rPr>
                  </m:ctrlPr>
                </m:sub>
              </m:sSub>
              <m:r>
                <m:rPr/>
                <w:rPr>
                  <w:rFonts w:ascii="Cambria Math" w:hAnsi="Cambria Math"/>
                  <w:lang w:eastAsia="zh-CN"/>
                </w:rPr>
                <m:t>=</m:t>
              </m:r>
              <m:acc>
                <m:accPr>
                  <m:chr m:val="̃"/>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i/>
                          <w:lang w:eastAsia="zh-CN"/>
                        </w:rPr>
                      </m:ctrlPr>
                    </m:sub>
                  </m:sSub>
                  <m:ctrlPr>
                    <w:rPr>
                      <w:rFonts w:ascii="Cambria Math" w:hAnsi="Cambria Math"/>
                      <w:lang w:eastAsia="zh-CN"/>
                    </w:rPr>
                  </m:ctrlPr>
                </m:e>
              </m:acc>
              <m:r>
                <m:rPr>
                  <m:lit/>
                </m:rPr>
                <w:rPr>
                  <w:rFonts w:ascii="Cambria Math" w:hAnsi="Cambria Math"/>
                  <w:lang w:eastAsia="zh-CN"/>
                </w:rPr>
                <m:t>/</m:t>
              </m:r>
              <m:nary>
                <m:naryPr>
                  <m:chr m:val="∑"/>
                  <m:supHide m:val="1"/>
                  <m:ctrlPr>
                    <w:rPr>
                      <w:rFonts w:ascii="Cambria Math" w:hAnsi="Cambria Math"/>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acc>
                    <m:accPr>
                      <m:chr m:val="̃"/>
                      <m:ctrlPr>
                        <w:rPr>
                          <w:rFonts w:ascii="Cambria Math" w:hAnsi="Cambria Math"/>
                          <w:lang w:eastAsia="zh-CN"/>
                        </w:rPr>
                      </m:ctrlPr>
                    </m:accPr>
                    <m:e>
                      <m:sSub>
                        <m:sSubPr>
                          <m:ctrlPr>
                            <w:rPr>
                              <w:rFonts w:ascii="Cambria Math" w:hAnsi="Cambria Math"/>
                              <w:i/>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i/>
                              <w:lang w:eastAsia="zh-CN"/>
                            </w:rPr>
                          </m:ctrlPr>
                        </m:sub>
                      </m:sSub>
                      <m:ctrlPr>
                        <w:rPr>
                          <w:rFonts w:ascii="Cambria Math" w:hAnsi="Cambria Math"/>
                          <w:lang w:eastAsia="zh-CN"/>
                        </w:rPr>
                      </m:ctrlPr>
                    </m:e>
                  </m:acc>
                  <m:ctrlPr>
                    <w:rPr>
                      <w:rFonts w:ascii="Cambria Math" w:hAnsi="Cambria Math"/>
                      <w:i/>
                      <w:lang w:eastAsia="zh-CN"/>
                    </w:rPr>
                  </m:ctrlPr>
                </m:e>
              </m:nary>
            </m:oMath>
          </w:p>
        </w:tc>
      </w:tr>
      <w:tr w14:paraId="62E8D6F1">
        <w:tblPrEx>
          <w:tblCellMar>
            <w:top w:w="0" w:type="dxa"/>
            <w:left w:w="108" w:type="dxa"/>
            <w:bottom w:w="0" w:type="dxa"/>
            <w:right w:w="108" w:type="dxa"/>
          </w:tblCellMar>
        </w:tblPrEx>
        <w:trPr>
          <w:trHeight w:val="20" w:hRule="atLeast"/>
        </w:trPr>
        <w:tc>
          <w:tcPr>
            <w:tcW w:w="1582" w:type="pct"/>
            <w:tcBorders>
              <w:left w:val="nil"/>
              <w:right w:val="nil"/>
            </w:tcBorders>
          </w:tcPr>
          <w:p w14:paraId="095EFBAA">
            <w:pPr>
              <w:pStyle w:val="108"/>
            </w:pPr>
            <m:oMathPara>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1BE95EDC">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的信息熵，</w:t>
            </w:r>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p>
        </w:tc>
      </w:tr>
      <w:tr w14:paraId="7B723198">
        <w:tblPrEx>
          <w:tblCellMar>
            <w:top w:w="0" w:type="dxa"/>
            <w:left w:w="108" w:type="dxa"/>
            <w:bottom w:w="0" w:type="dxa"/>
            <w:right w:w="108" w:type="dxa"/>
          </w:tblCellMar>
        </w:tblPrEx>
        <w:trPr>
          <w:trHeight w:val="20" w:hRule="atLeast"/>
        </w:trPr>
        <w:tc>
          <w:tcPr>
            <w:tcW w:w="1582" w:type="pct"/>
            <w:tcBorders>
              <w:left w:val="nil"/>
              <w:right w:val="nil"/>
            </w:tcBorders>
          </w:tcPr>
          <w:p w14:paraId="198ABE29">
            <w:pPr>
              <w:pStyle w:val="108"/>
            </w:pPr>
            <m:oMathPara>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7AADDFDE">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的信息效用值，</w:t>
            </w:r>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p>
        </w:tc>
      </w:tr>
      <w:tr w14:paraId="6CF9A757">
        <w:tblPrEx>
          <w:tblCellMar>
            <w:top w:w="0" w:type="dxa"/>
            <w:left w:w="108" w:type="dxa"/>
            <w:bottom w:w="0" w:type="dxa"/>
            <w:right w:w="108" w:type="dxa"/>
          </w:tblCellMar>
        </w:tblPrEx>
        <w:trPr>
          <w:trHeight w:val="20" w:hRule="atLeast"/>
        </w:trPr>
        <w:tc>
          <w:tcPr>
            <w:tcW w:w="1582" w:type="pct"/>
            <w:tcBorders>
              <w:left w:val="nil"/>
              <w:bottom w:val="single" w:color="000000" w:sz="12" w:space="0"/>
              <w:right w:val="nil"/>
            </w:tcBorders>
          </w:tcPr>
          <w:p w14:paraId="000EDB62">
            <w:pPr>
              <w:pStyle w:val="108"/>
            </w:pPr>
            <m:oMathPara>
              <m:oMath>
                <m:sSubSup>
                  <m:sSubSupPr>
                    <m:ctrlPr>
                      <w:rPr>
                        <w:rFonts w:ascii="Cambria Math" w:hAnsi="Cambria Math"/>
                        <w:lang w:eastAsia="zh-CN"/>
                      </w:rPr>
                    </m:ctrlPr>
                  </m:sSubSup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up>
                    <m:r>
                      <m:rPr/>
                      <w:rPr>
                        <w:rFonts w:ascii="Cambria Math" w:hAnsi="Cambria Math"/>
                        <w:lang w:eastAsia="zh-CN"/>
                      </w:rPr>
                      <m:t>EWM</m:t>
                    </m:r>
                    <m:ctrlPr>
                      <w:rPr>
                        <w:rFonts w:ascii="Cambria Math" w:hAnsi="Cambria Math"/>
                        <w:lang w:eastAsia="zh-CN"/>
                      </w:rPr>
                    </m:ctrlPr>
                  </m:sup>
                </m:sSubSup>
              </m:oMath>
            </m:oMathPara>
          </w:p>
        </w:tc>
        <w:tc>
          <w:tcPr>
            <w:tcW w:w="3418" w:type="pct"/>
            <w:tcBorders>
              <w:left w:val="nil"/>
              <w:bottom w:val="single" w:color="000000" w:sz="12" w:space="0"/>
              <w:right w:val="nil"/>
            </w:tcBorders>
          </w:tcPr>
          <w:p w14:paraId="5502F18E">
            <w:pPr>
              <w:pStyle w:val="108"/>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 EWM 客观权重</w:t>
            </w:r>
          </w:p>
        </w:tc>
      </w:tr>
    </w:tbl>
    <w:p w14:paraId="52F66FA5">
      <w:pPr>
        <w:pStyle w:val="3"/>
        <w:rPr>
          <w:lang w:eastAsia="zh-CN"/>
        </w:rPr>
      </w:pPr>
    </w:p>
    <w:p w14:paraId="7024978D">
      <w:pPr>
        <w:pStyle w:val="3"/>
        <w:rPr>
          <w:lang w:eastAsia="zh-CN"/>
        </w:rPr>
      </w:pPr>
    </w:p>
    <w:p w14:paraId="45021872">
      <w:pPr>
        <w:pStyle w:val="102"/>
      </w:pPr>
    </w:p>
    <w:p w14:paraId="06B15ED7">
      <w:pPr>
        <w:pStyle w:val="102"/>
      </w:pPr>
    </w:p>
    <w:p w14:paraId="7CA2FFEA">
      <w:pPr>
        <w:pStyle w:val="102"/>
      </w:pPr>
    </w:p>
    <w:p w14:paraId="74809FF0">
      <w:pPr>
        <w:pStyle w:val="102"/>
      </w:pPr>
    </w:p>
    <w:p w14:paraId="76BAD85E">
      <w:pPr>
        <w:pStyle w:val="102"/>
      </w:pPr>
    </w:p>
    <w:p w14:paraId="7899B9E9">
      <w:pPr>
        <w:pStyle w:val="102"/>
        <w:rPr>
          <w:rFonts w:hint="eastAsia"/>
        </w:rPr>
      </w:pPr>
    </w:p>
    <w:p w14:paraId="573BC92D">
      <w:pPr>
        <w:pStyle w:val="4"/>
        <w:rPr>
          <w:rFonts w:hint="eastAsia"/>
          <w:lang w:eastAsia="zh-CN"/>
        </w:rPr>
      </w:pPr>
      <w:bookmarkStart w:id="44" w:name="_Toc229523239"/>
      <w:bookmarkStart w:id="45" w:name="问题数学化建模"/>
      <w:r>
        <w:rPr>
          <w:rStyle w:val="62"/>
          <w:rFonts w:ascii="黑体" w:hAnsi="黑体" w:eastAsia="黑体"/>
          <w:sz w:val="28"/>
          <w:szCs w:val="28"/>
          <w:lang w:eastAsia="zh-CN"/>
        </w:rPr>
        <w:t>3.2</w:t>
      </w:r>
      <w:r>
        <w:rPr>
          <w:lang w:eastAsia="zh-CN"/>
        </w:rPr>
        <w:tab/>
      </w:r>
      <w:r>
        <w:rPr>
          <w:lang w:eastAsia="zh-CN"/>
        </w:rPr>
        <w:t>问题数学化建模</w:t>
      </w:r>
      <w:bookmarkEnd w:id="44"/>
    </w:p>
    <w:p w14:paraId="2BA1AA4D">
      <w:pPr>
        <w:pStyle w:val="5"/>
        <w:rPr>
          <w:rFonts w:hint="eastAsia"/>
          <w:lang w:eastAsia="zh-CN"/>
        </w:rPr>
      </w:pPr>
      <w:bookmarkStart w:id="46" w:name="多准则决策问题定义"/>
      <w:r>
        <w:rPr>
          <w:rStyle w:val="62"/>
          <w:rFonts w:ascii="黑体" w:hAnsi="黑体" w:eastAsia="黑体"/>
          <w:lang w:eastAsia="zh-CN"/>
        </w:rPr>
        <w:t>3.2.1</w:t>
      </w:r>
      <w:r>
        <w:rPr>
          <w:lang w:eastAsia="zh-CN"/>
        </w:rPr>
        <w:tab/>
      </w:r>
      <w:r>
        <w:rPr>
          <w:lang w:eastAsia="zh-CN"/>
        </w:rPr>
        <w:t>多准则决策问题定义</w:t>
      </w:r>
    </w:p>
    <w:p w14:paraId="49CCA334">
      <w:pPr>
        <w:pStyle w:val="35"/>
        <w:ind w:firstLine="480"/>
        <w:rPr>
          <w:lang w:eastAsia="zh-CN"/>
        </w:rPr>
      </w:pPr>
      <w:r>
        <w:rPr>
          <w:rFonts w:hint="eastAsia"/>
        </w:rPr>
        <w:t>奥运项目评估本质上是一个多准则决策Multi-Criteria</w:t>
      </w:r>
      <w:r>
        <w:t xml:space="preserve"> Decision Making,</w:t>
      </w:r>
      <w:r>
        <w:rPr>
          <w:rFonts w:hint="eastAsia"/>
          <w:lang w:eastAsia="zh-CN"/>
        </w:rPr>
        <w:t xml:space="preserve"> 即</w:t>
      </w:r>
      <w:r>
        <w:t xml:space="preserve"> </w:t>
      </w:r>
      <w:r>
        <w:rPr>
          <w:rFonts w:hint="eastAsia"/>
        </w:rPr>
        <w:t>MCDM问题</w:t>
      </w:r>
      <w:r>
        <w:rPr>
          <w:vertAlign w:val="superscript"/>
        </w:rPr>
        <w:t>[21]</w:t>
      </w:r>
      <w:r>
        <w:t xml:space="preserve">。 </w:t>
      </w:r>
      <w:r>
        <w:rPr>
          <w:rFonts w:hint="eastAsia"/>
          <w:lang w:eastAsia="zh-CN"/>
        </w:rPr>
        <w:t>设候选项目集合为</w:t>
      </w:r>
      <m:oMath>
        <m:r>
          <m:rPr/>
          <w:rPr>
            <w:rFonts w:ascii="Cambria Math" w:hAnsi="Cambria Math"/>
            <w:lang w:eastAsia="zh-CN"/>
          </w:rPr>
          <m:t>S</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，即12个代表性奥运项目。</w:t>
      </w:r>
      <w:r>
        <w:rPr>
          <w:lang w:eastAsia="zh-CN"/>
        </w:rPr>
        <w:t xml:space="preserve"> </w:t>
      </w:r>
      <w:r>
        <w:rPr>
          <w:rFonts w:hint="eastAsia"/>
          <w:lang w:eastAsia="zh-CN"/>
        </w:rPr>
        <w:t>设评价指标集合为</w:t>
      </w:r>
      <m:oMath>
        <m:r>
          <m:rP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，对应流行度、性别平等、可持续性、包容性、创新性、安全性六个维度。</w:t>
      </w:r>
      <w:r>
        <w:rPr>
          <w:lang w:eastAsia="zh-CN"/>
        </w:rPr>
        <w:t xml:space="preserve"> </w:t>
      </w:r>
      <w:r>
        <w:rPr>
          <w:rFonts w:hint="eastAsia"/>
          <w:lang w:eastAsia="zh-CN"/>
        </w:rPr>
        <w:t>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在指标</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上的原始得分为</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w:t>
      </w:r>
      <w:r>
        <w:rPr>
          <w:lang w:eastAsia="zh-CN"/>
        </w:rPr>
        <w:t xml:space="preserve"> </w:t>
      </w:r>
      <w:r>
        <w:rPr>
          <w:rFonts w:hint="eastAsia"/>
          <w:lang w:eastAsia="zh-CN"/>
        </w:rPr>
        <w:t>构成决策矩阵：</w:t>
      </w:r>
    </w:p>
    <w:p w14:paraId="01B7CA6E">
      <w:pPr>
        <w:pStyle w:val="95"/>
      </w:pPr>
      <w:r>
        <w:rPr>
          <w:rFonts w:eastAsia="仿宋" w:cstheme="minorBidi"/>
        </w:rPr>
        <w:tab/>
      </w:r>
      <w:bookmarkStart w:id="47" w:name="eq_decision_matrix"/>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4"/>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1n</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2n</m:t>
                      </m:r>
                      <m:ctrlPr>
                        <w:rPr>
                          <w:rFonts w:ascii="Cambria Math" w:hAnsi="Cambria Math"/>
                        </w:rPr>
                      </m:ctrlPr>
                    </m:sub>
                  </m:sSub>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mn</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r>
          <m:rPr>
            <m:sty m:val="p"/>
          </m:rPr>
          <w:rPr>
            <w:rFonts w:ascii="Cambria Math" w:hAnsi="Cambria Math"/>
          </w:rPr>
          <m:t>.</m:t>
        </m:r>
      </m:oMath>
      <w:r>
        <w:rPr>
          <w:rFonts w:eastAsia="仿宋" w:cstheme="minorBidi"/>
        </w:rPr>
        <w:tab/>
      </w:r>
      <w:r>
        <w:rPr>
          <w:rFonts w:eastAsia="仿宋" w:cstheme="minorBidi"/>
        </w:rPr>
        <w:tab/>
      </w:r>
      <w:r>
        <w:rPr>
          <w:sz w:val="20"/>
        </w:rPr>
        <w:t>(3.1)</w:t>
      </w:r>
      <w:bookmarkEnd w:id="47"/>
    </w:p>
    <w:p w14:paraId="02DDA107">
      <w:pPr>
        <w:pStyle w:val="35"/>
        <w:ind w:firstLine="480" w:firstLineChars="0"/>
        <w:rPr>
          <w:lang w:eastAsia="zh-CN"/>
        </w:rPr>
      </w:pPr>
      <w:r>
        <w:rPr>
          <w:rFonts w:hint="eastAsia"/>
          <w:lang w:eastAsia="zh-CN"/>
        </w:rPr>
        <w:t>式中</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为评价对象数量，</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为评价指标数量。</w:t>
      </w:r>
    </w:p>
    <w:p w14:paraId="0B772C77">
      <w:pPr>
        <w:pStyle w:val="35"/>
        <w:ind w:firstLine="480"/>
        <w:rPr>
          <w:lang w:eastAsia="zh-CN"/>
        </w:rPr>
      </w:pPr>
      <w:r>
        <w:rPr>
          <w:rFonts w:hint="eastAsia"/>
          <w:lang w:eastAsia="zh-CN"/>
        </w:rPr>
        <w:t>在多准则决策中，不同指标的原始取值往往具有不同的量纲和量级</w:t>
      </w:r>
      <w:r>
        <w:rPr>
          <w:vertAlign w:val="superscript"/>
          <w:lang w:eastAsia="zh-CN"/>
        </w:rPr>
        <w:t>[21]</w:t>
      </w:r>
      <w:r>
        <w:rPr>
          <w:lang w:eastAsia="zh-CN"/>
        </w:rPr>
        <w:t xml:space="preserve">。 </w:t>
      </w:r>
      <w:r>
        <w:rPr>
          <w:rFonts w:hint="eastAsia"/>
          <w:lang w:eastAsia="zh-CN"/>
        </w:rPr>
        <w:t>所谓量纲，是指指标数值的物理单位或计量标准，例如</w:t>
      </w:r>
      <w:r>
        <w:rPr>
          <w:lang w:eastAsia="zh-CN"/>
        </w:rPr>
        <w:t>国际足联、国际篮联、世界田联</w:t>
      </w:r>
      <w:r>
        <w:rPr>
          <w:rFonts w:hint="eastAsia"/>
          <w:lang w:eastAsia="zh-CN"/>
        </w:rPr>
        <w:t>等</w:t>
      </w:r>
      <w:r>
        <w:rPr>
          <w:lang w:eastAsia="zh-CN"/>
        </w:rPr>
        <w:t>国际单项体育联合会International Federation，</w:t>
      </w:r>
      <w:r>
        <w:rPr>
          <w:rFonts w:hint="eastAsia"/>
          <w:lang w:eastAsia="zh-CN"/>
        </w:rPr>
        <w:t>IF的会员国数量的单位是"个"，参赛届数的单位是"届"，受伤率的单位是"次/1000小时"。</w:t>
      </w:r>
      <w:r>
        <w:rPr>
          <w:lang w:eastAsia="zh-CN"/>
        </w:rPr>
        <w:t xml:space="preserve"> </w:t>
      </w:r>
      <w:r>
        <w:rPr>
          <w:rFonts w:hint="eastAsia"/>
          <w:lang w:eastAsia="zh-CN"/>
        </w:rPr>
        <w:t>所谓量级，是指指标数值的大小等级，例如IF会员国数量在几十到两百之间即</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2</m:t>
            </m:r>
            <m:ctrlPr>
              <w:rPr>
                <w:rFonts w:ascii="Cambria Math" w:hAnsi="Cambria Math"/>
              </w:rPr>
            </m:ctrlPr>
          </m:sup>
        </m:sSup>
      </m:oMath>
      <w:r>
        <w:rPr>
          <w:rFonts w:hint="eastAsia"/>
          <w:lang w:eastAsia="zh-CN"/>
        </w:rPr>
        <w:t>量级，受伤率则在几到几十之间</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0</m:t>
            </m:r>
            <m:ctrlPr>
              <w:rPr>
                <w:rFonts w:ascii="Cambria Math" w:hAnsi="Cambria Math"/>
              </w:rPr>
            </m:ctrlPr>
          </m:sup>
        </m:sSup>
      </m:oMath>
      <w:r>
        <w:rPr>
          <w:lang w:eastAsia="zh-CN"/>
        </w:rPr>
        <w:t>–</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1</m:t>
            </m:r>
            <m:ctrlPr>
              <w:rPr>
                <w:rFonts w:ascii="Cambria Math" w:hAnsi="Cambria Math"/>
              </w:rPr>
            </m:ctrlPr>
          </m:sup>
        </m:sSup>
      </m:oMath>
      <w:r>
        <w:rPr>
          <w:rFonts w:hint="eastAsia"/>
          <w:lang w:eastAsia="zh-CN"/>
        </w:rPr>
        <w:t>量级，两者的数值范围相差1到2个数量级。</w:t>
      </w:r>
      <w:r>
        <w:rPr>
          <w:lang w:eastAsia="zh-CN"/>
        </w:rPr>
        <w:t xml:space="preserve"> </w:t>
      </w:r>
      <w:r>
        <w:rPr>
          <w:rFonts w:hint="eastAsia"/>
          <w:lang w:eastAsia="zh-CN"/>
        </w:rPr>
        <w:t>若直接使用原始数据进行加权求和，量级大的指标将在综合评分中占据主导地位，量级小的指标则几乎不起作用，即使后者在决策上更为重要。</w:t>
      </w:r>
      <w:r>
        <w:rPr>
          <w:lang w:eastAsia="zh-CN"/>
        </w:rPr>
        <w:t xml:space="preserve"> </w:t>
      </w:r>
      <w:r>
        <w:rPr>
          <w:rFonts w:hint="eastAsia"/>
          <w:lang w:eastAsia="zh-CN"/>
        </w:rPr>
        <w:t>因此，在计算权重之前必须对所有指标进行标准化处理，消除量纲并统一量级，将原始数据映射到同一尺度</w:t>
      </w:r>
      <w:r>
        <w:rPr>
          <w:vertAlign w:val="superscript"/>
          <w:lang w:eastAsia="zh-CN"/>
        </w:rPr>
        <w:t>[17]</w:t>
      </w:r>
      <w:r>
        <w:rPr>
          <w:lang w:eastAsia="zh-CN"/>
        </w:rPr>
        <w:t>。</w:t>
      </w:r>
    </w:p>
    <w:p w14:paraId="75F18E11">
      <w:pPr>
        <w:pStyle w:val="35"/>
        <w:ind w:firstLine="480"/>
        <w:rPr>
          <w:lang w:eastAsia="zh-CN"/>
        </w:rPr>
      </w:pPr>
      <w:r>
        <w:rPr>
          <w:rFonts w:hint="eastAsia"/>
          <w:lang w:eastAsia="zh-CN"/>
        </w:rPr>
        <w:t>根据指标性质的不同，标准化分为两种情况。</w:t>
      </w:r>
      <w:r>
        <w:rPr>
          <w:lang w:eastAsia="zh-CN"/>
        </w:rPr>
        <w:t xml:space="preserve"> </w:t>
      </w:r>
      <w:r>
        <w:rPr>
          <w:rFonts w:hint="eastAsia"/>
          <w:lang w:eastAsia="zh-CN"/>
        </w:rPr>
        <w:t>大多数评价指标属于正向指标，即指标值越大表示表现越好</w:t>
      </w:r>
      <w:r>
        <w:rPr>
          <w:vertAlign w:val="superscript"/>
          <w:lang w:eastAsia="zh-CN"/>
        </w:rPr>
        <w:t>[21]</w:t>
      </w:r>
      <w:r>
        <w:rPr>
          <w:lang w:eastAsia="zh-CN"/>
        </w:rPr>
        <w:t xml:space="preserve">。 </w:t>
      </w:r>
      <w:r>
        <w:rPr>
          <w:rFonts w:hint="eastAsia"/>
          <w:lang w:eastAsia="zh-CN"/>
        </w:rPr>
        <w:t xml:space="preserve">本研究的流行度、性别平等、可持续性、包容性、创新性均为正向指标，采用式 </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 xml:space="preserve"> 的最小-最大归一化处理，该公式将原始值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线性映射到</w:t>
      </w:r>
      <m:oMath>
        <m:r>
          <m:rPr/>
          <w:rPr>
            <w:rFonts w:ascii="Cambria Math" w:hAnsi="Cambria Math"/>
            <w:lang w:eastAsia="zh-CN"/>
          </w:rPr>
          <m:t xml:space="preserve"> </m:t>
        </m:r>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r>
          <m:rPr/>
          <w:rPr>
            <w:rFonts w:ascii="Cambria Math" w:hAnsi="Cambria Math"/>
            <w:lang w:eastAsia="zh-CN"/>
          </w:rPr>
          <m:t xml:space="preserve"> </m:t>
        </m:r>
      </m:oMath>
      <w:r>
        <w:rPr>
          <w:rFonts w:hint="eastAsia"/>
          <w:lang w:eastAsia="zh-CN"/>
        </w:rPr>
        <w:t>区间，其中</w:t>
      </w:r>
      <m:oMath>
        <m:r>
          <m:rPr/>
          <w:rPr>
            <w:rFonts w:ascii="Cambria Math" w:hAnsi="Cambria Math"/>
            <w:lang w:eastAsia="zh-CN"/>
          </w:rPr>
          <m:t xml:space="preserve"> </m:t>
        </m:r>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映射为0、</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映射为1，其余值按比例内插。</w:t>
      </w:r>
      <w:r>
        <w:rPr>
          <w:lang w:eastAsia="zh-CN"/>
        </w:rPr>
        <w:t xml:space="preserve"> </w:t>
      </w:r>
      <w:r>
        <w:rPr>
          <w:rFonts w:hint="eastAsia"/>
          <w:lang w:eastAsia="zh-CN"/>
        </w:rPr>
        <w:t>少数指标值越小表示表现越好属于负向指标。</w:t>
      </w:r>
      <w:r>
        <w:rPr>
          <w:lang w:eastAsia="zh-CN"/>
        </w:rPr>
        <w:t xml:space="preserve"> </w:t>
      </w:r>
      <w:r>
        <w:rPr>
          <w:rFonts w:hint="eastAsia"/>
          <w:lang w:eastAsia="zh-CN"/>
        </w:rPr>
        <w:t>本研究中仅安全性属于负向指标，其原始含义为受伤率</w:t>
      </w:r>
      <w:r>
        <w:rPr>
          <w:lang w:eastAsia="zh-CN"/>
        </w:rPr>
        <w:t>，运动医学领域通常以</w:t>
      </w:r>
      <w:r>
        <w:rPr>
          <w:rFonts w:hint="eastAsia"/>
          <w:lang w:eastAsia="zh-CN"/>
        </w:rPr>
        <w:t>次/1000</w:t>
      </w:r>
      <w:r>
        <w:rPr>
          <w:lang w:eastAsia="zh-CN"/>
        </w:rPr>
        <w:t xml:space="preserve"> </w:t>
      </w:r>
      <w:r>
        <w:rPr>
          <w:rFonts w:hint="eastAsia"/>
          <w:lang w:eastAsia="zh-CN"/>
        </w:rPr>
        <w:t>AE或次/1000</w:t>
      </w:r>
      <w:r>
        <w:rPr>
          <w:lang w:eastAsia="zh-CN"/>
        </w:rPr>
        <w:t xml:space="preserve"> </w:t>
      </w:r>
      <w:r>
        <w:rPr>
          <w:rFonts w:hint="eastAsia"/>
          <w:lang w:eastAsia="zh-CN"/>
        </w:rPr>
        <w:t>h</w:t>
      </w:r>
      <w:r>
        <w:rPr>
          <w:lang w:eastAsia="zh-CN"/>
        </w:rPr>
        <w:t>作为标准化计量单位</w:t>
      </w:r>
      <w:r>
        <w:rPr>
          <w:rFonts w:hint="eastAsia"/>
          <w:vertAlign w:val="superscript"/>
          <w:lang w:eastAsia="zh-CN"/>
        </w:rPr>
        <w:t>[10]</w:t>
      </w:r>
      <w:r>
        <w:rPr>
          <w:rFonts w:hint="eastAsia"/>
          <w:lang w:eastAsia="zh-CN"/>
        </w:rPr>
        <w:t>，受伤率越高则意味着安全性越差。</w:t>
      </w:r>
      <w:r>
        <w:rPr>
          <w:lang w:eastAsia="zh-CN"/>
        </w:rPr>
        <w:t xml:space="preserve"> </w:t>
      </w:r>
      <w:r>
        <w:rPr>
          <w:rFonts w:hint="eastAsia"/>
          <w:lang w:eastAsia="zh-CN"/>
        </w:rPr>
        <w:t xml:space="preserve">因此安全性评分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b w:val="0"/>
                <w:i w:val="0"/>
                <w:lang w:eastAsia="zh-CN"/>
              </w:rPr>
              <m:t>safety</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m:nor/>
            <m:sty m:val="p"/>
          </m:rPr>
          <w:rPr>
            <w:b w:val="0"/>
            <w:i w:val="0"/>
            <w:lang w:eastAsia="zh-CN"/>
          </w:rPr>
          <m:t>normalized</m:t>
        </m:r>
        <m:d>
          <m:dPr>
            <m:ctrlPr>
              <w:rPr>
                <w:rFonts w:ascii="Cambria Math" w:hAnsi="Cambria Math"/>
                <w:lang w:eastAsia="zh-CN"/>
              </w:rPr>
            </m:ctrlPr>
          </m:dPr>
          <m:e>
            <m:r>
              <m:rPr/>
              <w:rPr>
                <w:rFonts w:ascii="Cambria Math" w:hAnsi="Cambria Math"/>
                <w:lang w:eastAsia="zh-CN"/>
              </w:rPr>
              <m:t>injur</m:t>
            </m:r>
            <m:r>
              <m:rPr/>
              <w:rPr>
                <w:rFonts w:hint="eastAsia" w:ascii="Cambria Math" w:hAnsi="Cambria Math"/>
                <w:lang w:eastAsia="zh-CN"/>
              </w:rPr>
              <m:t>y</m:t>
            </m:r>
            <m:r>
              <m:rPr/>
              <w:rPr>
                <w:rFonts w:ascii="Cambria Math" w:hAnsi="Cambria Math" w:cs="Cambria Math"/>
                <w:lang w:eastAsia="zh-CN"/>
              </w:rPr>
              <m:t>_r</m:t>
            </m:r>
            <m:r>
              <m:rPr/>
              <w:rPr>
                <w:rFonts w:ascii="Cambria Math" w:hAnsi="Cambria Math"/>
                <w:lang w:eastAsia="zh-CN"/>
              </w:rPr>
              <m:t>ate</m:t>
            </m:r>
            <m:ctrlPr>
              <w:rPr>
                <w:rFonts w:ascii="Cambria Math" w:hAnsi="Cambria Math"/>
                <w:lang w:eastAsia="zh-CN"/>
              </w:rPr>
            </m:ctrlPr>
          </m:e>
        </m:d>
      </m:oMath>
      <w:r>
        <w:rPr>
          <w:rFonts w:hint="eastAsia"/>
          <w:lang w:eastAsia="zh-CN"/>
        </w:rPr>
        <w:t xml:space="preserve"> 已经是一次反向变换，进入决策矩阵 </w:t>
      </w:r>
      <m:oMath>
        <m:r>
          <m:rPr/>
          <w:rPr>
            <w:rFonts w:ascii="Cambria Math" w:hAnsi="Cambria Math"/>
            <w:lang w:eastAsia="zh-CN"/>
          </w:rPr>
          <m:t>X</m:t>
        </m:r>
      </m:oMath>
      <w:r>
        <w:rPr>
          <w:rFonts w:hint="eastAsia"/>
          <w:lang w:eastAsia="zh-CN"/>
        </w:rPr>
        <w:t xml:space="preserve"> 时再次采用式</w:t>
      </w:r>
      <w:r>
        <w:fldChar w:fldCharType="begin"/>
      </w:r>
      <w:r>
        <w:instrText xml:space="preserve"> HYPERLINK \l "eq:neg_normalize" \h </w:instrText>
      </w:r>
      <w:r>
        <w:fldChar w:fldCharType="separate"/>
      </w:r>
      <w:r>
        <w:rPr>
          <w:rStyle w:val="32"/>
          <w:color w:val="auto"/>
          <w:lang w:eastAsia="zh-CN"/>
        </w:rPr>
        <w:t>(3.23)</w:t>
      </w:r>
      <w:r>
        <w:rPr>
          <w:rStyle w:val="32"/>
          <w:color w:val="auto"/>
          <w:lang w:eastAsia="zh-CN"/>
        </w:rPr>
        <w:fldChar w:fldCharType="end"/>
      </w:r>
      <w:r>
        <w:rPr>
          <w:rFonts w:hint="eastAsia"/>
          <w:lang w:eastAsia="zh-CN"/>
        </w:rPr>
        <w:t xml:space="preserve">进行标准化，确保所有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在统一的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尺度上相互可比。</w:t>
      </w:r>
    </w:p>
    <w:p w14:paraId="4EE40746">
      <w:pPr>
        <w:pStyle w:val="35"/>
        <w:ind w:firstLine="480"/>
        <w:rPr>
          <w:lang w:eastAsia="zh-CN"/>
        </w:rPr>
      </w:pPr>
      <w:r>
        <w:rPr>
          <w:rFonts w:hint="eastAsia"/>
          <w:lang w:eastAsia="zh-CN"/>
        </w:rPr>
        <w:t xml:space="preserve">MCDM的核心任务是为 </w:t>
      </w:r>
      <m:oMath>
        <m:r>
          <m:rPr/>
          <w:rPr>
            <w:rFonts w:ascii="Cambria Math" w:hAnsi="Cambria Math"/>
            <w:lang w:eastAsia="zh-CN"/>
          </w:rPr>
          <m:t>n</m:t>
        </m:r>
      </m:oMath>
      <w:r>
        <w:rPr>
          <w:rFonts w:hint="eastAsia"/>
          <w:lang w:eastAsia="zh-CN"/>
        </w:rPr>
        <w:t xml:space="preserve"> 个指标确定一组权重向量 </w:t>
      </w:r>
      <m:oMath>
        <m:r>
          <m:rPr/>
          <w:rPr>
            <w:rFonts w:ascii="Cambria Math" w:hAnsi="Cambria Math"/>
            <w:lang w:eastAsia="zh-CN"/>
          </w:rPr>
          <m:t>W</m:t>
        </m:r>
        <m:r>
          <m:rPr>
            <m:sty m:val="p"/>
          </m:rPr>
          <w:rPr>
            <w:rFonts w:ascii="Cambria Math" w:hAnsi="Cambria Math"/>
            <w:lang w:eastAsia="zh-CN"/>
          </w:rPr>
          <m:t>=</m:t>
        </m:r>
        <m:d>
          <m:dPr>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n</m:t>
                </m:r>
                <m:ctrlPr>
                  <w:rPr>
                    <w:rFonts w:ascii="Cambria Math" w:hAnsi="Cambria Math"/>
                  </w:rPr>
                </m:ctrlPr>
              </m:sub>
            </m:sSub>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 xml:space="preserve">满足归一化约束 </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rFonts w:hint="eastAsia"/>
          <w:lang w:eastAsia="zh-CN"/>
        </w:rPr>
        <w:t xml:space="preserve"> 且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w:t>
      </w:r>
      <w:r>
        <w:rPr>
          <w:lang w:eastAsia="zh-CN"/>
        </w:rPr>
        <w:t xml:space="preserve"> </w:t>
      </w:r>
      <w:r>
        <w:rPr>
          <w:rFonts w:hint="eastAsia"/>
          <w:lang w:eastAsia="zh-CN"/>
        </w:rPr>
        <w:t>然后通过加权求和计算各项目的综合评分：</w:t>
      </w:r>
    </w:p>
    <w:p w14:paraId="1CF7DBD4">
      <w:pPr>
        <w:pStyle w:val="95"/>
      </w:pPr>
      <w:r>
        <w:rPr>
          <w:rFonts w:eastAsia="宋体" w:cstheme="minorBidi"/>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oMath>
      <w:bookmarkStart w:id="48" w:name="eq_score"/>
      <w:r>
        <w:rPr>
          <w:sz w:val="20"/>
        </w:rPr>
        <w:t xml:space="preserve"> </w:t>
      </w:r>
      <w:r>
        <w:rPr>
          <w:rFonts w:eastAsiaTheme="minorEastAsia"/>
          <w:sz w:val="20"/>
        </w:rPr>
        <w:tab/>
      </w:r>
      <w:r>
        <w:rPr>
          <w:rFonts w:eastAsiaTheme="minorEastAsia"/>
          <w:sz w:val="20"/>
        </w:rPr>
        <w:tab/>
      </w:r>
      <w:r>
        <w:rPr>
          <w:sz w:val="20"/>
        </w:rPr>
        <w:t>(3.2)</w:t>
      </w:r>
      <w:bookmarkEnd w:id="48"/>
    </w:p>
    <w:p w14:paraId="6BB90DDC">
      <w:pPr>
        <w:pStyle w:val="35"/>
        <w:ind w:firstLine="480"/>
        <w:rPr>
          <w:lang w:eastAsia="zh-CN"/>
        </w:rPr>
      </w:pPr>
      <w:r>
        <w:rPr>
          <w:lang w:eastAsia="zh-CN"/>
        </w:rPr>
        <w:t>综合评分</w:t>
      </w:r>
      <w:r>
        <w:rPr>
          <w:rFonts w:hint="eastAsia"/>
          <w:lang w:eastAsia="zh-CN"/>
        </w:rPr>
        <w:t xml:space="preserve">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反映了项目</w:t>
      </w:r>
      <m:oMath>
        <m:r>
          <m:rPr/>
          <w:rPr>
            <w:rFonts w:ascii="Cambria Math" w:hAnsi="Cambria Math"/>
            <w:lang w:eastAsia="zh-CN"/>
          </w:rPr>
          <m:t xml:space="preserve"> </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 xml:space="preserve">在加权指标体系下的相对优劣，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 xml:space="preserve"> </w:t>
      </w:r>
      <w:r>
        <w:rPr>
          <w:lang w:eastAsia="zh-CN"/>
        </w:rPr>
        <w:t>越大表示项目越适合保持在奥运赛程中。 权重的确定是整个模型的核心， 本研究采用主客观混合方法，通过AHP的五位专家判断矩阵计算主观权重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rFonts w:hint="eastAsia"/>
          <w:lang w:eastAsia="zh-CN"/>
        </w:rPr>
        <w:t>，</w:t>
      </w:r>
      <w:r>
        <w:rPr>
          <w:lang w:eastAsia="zh-CN"/>
        </w:rPr>
        <w:t>通过EWM从决策矩阵</w:t>
      </w:r>
      <m:oMath>
        <m:r>
          <m:rPr/>
          <w:rPr>
            <w:rFonts w:ascii="Cambria Math" w:hAnsi="Cambria Math"/>
            <w:lang w:eastAsia="zh-CN"/>
          </w:rPr>
          <m:t>X</m:t>
        </m:r>
      </m:oMath>
      <w:r>
        <w:rPr>
          <w:rFonts w:hint="eastAsia"/>
          <w:lang w:eastAsia="zh-CN"/>
        </w:rPr>
        <w:t xml:space="preserve"> </w:t>
      </w:r>
      <w:r>
        <w:rPr>
          <w:lang w:eastAsia="zh-CN"/>
        </w:rPr>
        <w:t>中提取客观权重</w:t>
      </w:r>
      <w:r>
        <w:rPr>
          <w:rFonts w:hint="eastAsia"/>
          <w:lang w:eastAsia="zh-CN"/>
        </w:rPr>
        <w:t xml:space="preserve">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，利用</w:t>
      </w:r>
      <w:r>
        <w:rPr>
          <w:lang w:eastAsia="zh-CN"/>
        </w:rPr>
        <w:t>线性组合</w:t>
      </w:r>
      <w:r>
        <w:rPr>
          <w:rFonts w:hint="eastAsia"/>
          <w:lang w:eastAsia="zh-CN"/>
        </w:rPr>
        <w:t xml:space="preserve"> </w:t>
      </w:r>
      <m:oMath>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 xml:space="preserve"> </w:t>
      </w:r>
      <w:r>
        <w:rPr>
          <w:lang w:eastAsia="zh-CN"/>
        </w:rPr>
        <w:t>得到混合权重</w:t>
      </w:r>
      <m:oMath>
        <m:r>
          <m:rPr/>
          <w:rPr>
            <w:rFonts w:ascii="Cambria Math" w:hAnsi="Cambria Math"/>
            <w:lang w:eastAsia="zh-CN"/>
          </w:rPr>
          <m:t>W</m:t>
        </m:r>
      </m:oMath>
      <w:r>
        <w:rPr>
          <w:lang w:eastAsia="zh-CN"/>
        </w:rPr>
        <w:t>。</w:t>
      </w:r>
    </w:p>
    <w:bookmarkEnd w:id="46"/>
    <w:p w14:paraId="35559374">
      <w:pPr>
        <w:pStyle w:val="5"/>
        <w:rPr>
          <w:rFonts w:hint="eastAsia"/>
          <w:lang w:eastAsia="zh-CN"/>
        </w:rPr>
      </w:pPr>
      <w:bookmarkStart w:id="49" w:name="两层指标结构"/>
      <w:r>
        <w:rPr>
          <w:rStyle w:val="62"/>
          <w:rFonts w:ascii="黑体" w:hAnsi="黑体" w:eastAsia="黑体"/>
          <w:lang w:eastAsia="zh-CN"/>
        </w:rPr>
        <w:t>3.2.2</w:t>
      </w:r>
      <w:r>
        <w:rPr>
          <w:lang w:eastAsia="zh-CN"/>
        </w:rPr>
        <w:tab/>
      </w:r>
      <w:r>
        <w:rPr>
          <w:lang w:eastAsia="zh-CN"/>
        </w:rPr>
        <w:t>两层指标结构</w:t>
      </w:r>
    </w:p>
    <w:p w14:paraId="2F069D96">
      <w:pPr>
        <w:pStyle w:val="35"/>
        <w:ind w:firstLine="480"/>
        <w:rPr>
          <w:lang w:eastAsia="zh-CN"/>
        </w:rPr>
      </w:pPr>
      <w:r>
        <w:rPr>
          <w:lang w:eastAsia="zh-CN"/>
        </w:rPr>
        <w:t>上述模型中的每个</w:t>
      </w:r>
      <w:r>
        <w:rPr>
          <w:rFonts w:hint="eastAsia"/>
          <w:lang w:eastAsia="zh-CN"/>
        </w:rPr>
        <w:t xml:space="preserve"> </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 xml:space="preserve"> </w:t>
      </w:r>
      <w:r>
        <w:rPr>
          <w:lang w:eastAsia="zh-CN"/>
        </w:rPr>
        <w:t>并非直接从原始数据中获取， 而是经过两层加权处理后的综合值。每个主维度</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下包含</w:t>
      </w:r>
      <w:r>
        <w:rPr>
          <w:rFonts w:hint="eastAsia"/>
          <w:lang w:eastAsia="zh-CN"/>
        </w:rPr>
        <w:t xml:space="preserve">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 xml:space="preserve"> </w:t>
      </w:r>
      <w:r>
        <w:rPr>
          <w:lang w:eastAsia="zh-CN"/>
        </w:rPr>
        <w:t>个子指标， 记为</w:t>
      </w:r>
      <w:r>
        <w:rPr>
          <w:rFonts w:hint="eastAsia"/>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lang w:eastAsia="zh-CN"/>
        </w:rPr>
        <w:t>。 第一层是主维度之间的权重分配， 涵盖流行度、性别平等、可持续性、包容性、创新性、安全性六个维度， 采用AHP与EWM的混合权重，具体计算方法见第3.5节。 第二层是各主维度内部子指标之间的权重分配， 采用纯EWM方法从子指标数据中自动提取权重， 以反映子指标在12个项目上的区分能力。</w:t>
      </w:r>
    </w:p>
    <w:p w14:paraId="2BD8522B">
      <w:pPr>
        <w:pStyle w:val="35"/>
        <w:ind w:firstLine="480"/>
        <w:rPr>
          <w:lang w:eastAsia="zh-CN"/>
        </w:rPr>
      </w:pPr>
      <w:r>
        <w:rPr>
          <w:rFonts w:hint="eastAsia"/>
          <w:lang w:eastAsia="zh-CN"/>
        </w:rPr>
        <w:t xml:space="preserve">以流行度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 xml:space="preserve"> 为例，其包含</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4</m:t>
        </m:r>
      </m:oMath>
      <w:r>
        <w:rPr>
          <w:rFonts w:hint="eastAsia"/>
          <w:lang w:eastAsia="zh-CN"/>
        </w:rPr>
        <w:t>个子指标，总参赛届数占比、设项数规模、历史增长率、近期规模以及IF会员国数量的补充间接变量。</w:t>
      </w:r>
      <w:r>
        <w:rPr>
          <w:lang w:eastAsia="zh-CN"/>
        </w:rPr>
        <w:t xml:space="preserve"> </w:t>
      </w:r>
      <w:r>
        <w:rPr>
          <w:rFonts w:hint="eastAsia"/>
          <w:lang w:eastAsia="zh-CN"/>
        </w:rPr>
        <w:t>各子指标的原始值通过式</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标准化后，</w:t>
      </w:r>
      <w:r>
        <w:rPr>
          <w:lang w:eastAsia="zh-CN"/>
        </w:rPr>
        <w:t xml:space="preserve"> </w:t>
      </w:r>
      <w:r>
        <w:rPr>
          <w:rFonts w:hint="eastAsia"/>
          <w:lang w:eastAsia="zh-CN"/>
        </w:rPr>
        <w:t>在第二层用EWM计算子指标权重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ctrlPr>
              <w:rPr>
                <w:rFonts w:ascii="Cambria Math" w:hAnsi="Cambria Math"/>
              </w:rPr>
            </m:ctrlPr>
          </m:sub>
        </m:sSub>
      </m:oMath>
      <w:r>
        <w:rPr>
          <w:rFonts w:hint="eastAsia"/>
          <w:lang w:eastAsia="zh-CN"/>
        </w:rPr>
        <w:t>，</w:t>
      </w:r>
      <w:r>
        <w:rPr>
          <w:lang w:eastAsia="zh-CN"/>
        </w:rPr>
        <w:t xml:space="preserve"> </w:t>
      </w:r>
      <w:r>
        <w:rPr>
          <w:rFonts w:hint="eastAsia"/>
          <w:lang w:eastAsia="zh-CN"/>
        </w:rPr>
        <w:t>加权求和即得到流行度的综合得分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i1</m:t>
            </m:r>
            <m:ctrlPr>
              <w:rPr>
                <w:rFonts w:ascii="Cambria Math" w:hAnsi="Cambria Math"/>
              </w:rPr>
            </m:ctrlPr>
          </m:sub>
        </m:sSub>
      </m:oMath>
      <w:r>
        <w:rPr>
          <w:rFonts w:hint="eastAsia"/>
          <w:lang w:eastAsia="zh-CN"/>
        </w:rPr>
        <w:t>，直接进入第一层决策矩阵</w:t>
      </w:r>
      <m:oMath>
        <m:r>
          <m:rPr/>
          <w:rPr>
            <w:rFonts w:ascii="Cambria Math" w:hAnsi="Cambria Math"/>
            <w:lang w:eastAsia="zh-CN"/>
          </w:rPr>
          <m:t>X</m:t>
        </m:r>
      </m:oMath>
      <w:r>
        <w:rPr>
          <w:lang w:eastAsia="zh-CN"/>
        </w:rPr>
        <w:t xml:space="preserve">。 </w:t>
      </w:r>
      <w:r>
        <w:rPr>
          <w:rFonts w:hint="eastAsia"/>
          <w:lang w:eastAsia="zh-CN"/>
        </w:rPr>
        <w:t>其他五个维度采用相同的两层处理流程。</w:t>
      </w:r>
    </w:p>
    <w:p w14:paraId="24D50AD3">
      <w:pPr>
        <w:pStyle w:val="35"/>
        <w:ind w:firstLine="480"/>
        <w:rPr>
          <w:lang w:eastAsia="zh-CN"/>
        </w:rPr>
      </w:pPr>
      <w:r>
        <w:rPr>
          <w:rFonts w:hint="eastAsia"/>
          <w:lang w:eastAsia="zh-CN"/>
        </w:rPr>
        <w:t>这种两层结构的好处在于顶层混合权重确保六个维度之间的相对重要性有据可依，</w:t>
      </w:r>
      <w:r>
        <w:rPr>
          <w:lang w:eastAsia="zh-CN"/>
        </w:rPr>
        <w:t xml:space="preserve"> </w:t>
      </w:r>
      <w:r>
        <w:rPr>
          <w:rFonts w:hint="eastAsia"/>
          <w:lang w:eastAsia="zh-CN"/>
        </w:rPr>
        <w:t>底层纯EWM使各维度内部的子指标能够根据12个项目的实际数据特征动态调整权重，</w:t>
      </w:r>
      <w:r>
        <w:rPr>
          <w:lang w:eastAsia="zh-CN"/>
        </w:rPr>
        <w:t xml:space="preserve"> </w:t>
      </w:r>
      <w:r>
        <w:rPr>
          <w:rFonts w:hint="eastAsia"/>
          <w:lang w:eastAsia="zh-CN"/>
        </w:rPr>
        <w:t>避免了主观预设子指标权重的任意性。</w:t>
      </w:r>
    </w:p>
    <w:bookmarkEnd w:id="45"/>
    <w:bookmarkEnd w:id="49"/>
    <w:p w14:paraId="1C0CF3E8">
      <w:pPr>
        <w:pStyle w:val="4"/>
        <w:rPr>
          <w:rFonts w:hint="eastAsia"/>
          <w:lang w:eastAsia="zh-CN"/>
        </w:rPr>
      </w:pPr>
      <w:bookmarkStart w:id="50" w:name="_Toc229523240"/>
      <w:bookmarkStart w:id="51" w:name="六维评价指标体系"/>
      <w:r>
        <w:rPr>
          <w:rStyle w:val="62"/>
          <w:rFonts w:ascii="黑体" w:hAnsi="黑体" w:eastAsia="黑体"/>
          <w:sz w:val="28"/>
          <w:szCs w:val="28"/>
          <w:lang w:eastAsia="zh-CN"/>
        </w:rPr>
        <w:t>3.3</w:t>
      </w:r>
      <w:r>
        <w:rPr>
          <w:lang w:eastAsia="zh-CN"/>
        </w:rPr>
        <w:tab/>
      </w:r>
      <w:r>
        <w:rPr>
          <w:lang w:eastAsia="zh-CN"/>
        </w:rPr>
        <w:t>六维评价指标体系</w:t>
      </w:r>
      <w:bookmarkEnd w:id="50"/>
    </w:p>
    <w:p w14:paraId="37F5C80D">
      <w:pPr>
        <w:pStyle w:val="35"/>
        <w:ind w:firstLine="480"/>
        <w:rPr>
          <w:lang w:eastAsia="zh-CN"/>
        </w:rPr>
      </w:pPr>
      <w:r>
        <w:rPr>
          <w:lang w:eastAsia="zh-CN"/>
        </w:rPr>
        <w:t>基于国际奥委会奥林匹克项目委员会公布的</w:t>
      </w:r>
      <w:r>
        <w:rPr>
          <w:rFonts w:hint="eastAsia"/>
          <w:lang w:eastAsia="zh-CN"/>
        </w:rPr>
        <w:t>2028年洛杉矶奥运会</w:t>
      </w:r>
      <w:r>
        <w:rPr>
          <w:lang w:eastAsia="zh-CN"/>
        </w:rPr>
        <w:t>项目评估标准</w:t>
      </w:r>
      <w:r>
        <w:rPr>
          <w:vertAlign w:val="superscript"/>
          <w:lang w:eastAsia="zh-CN"/>
        </w:rPr>
        <w:t>[2]</w:t>
      </w:r>
      <w:r>
        <w:rPr>
          <w:lang w:eastAsia="zh-CN"/>
        </w:rPr>
        <w:t>， 涵盖全球吸引力、性别平等、可持续性与成本控制、包容性、青年相关性与创新性、运动员健康安全六个维度， 并参考李凤梅</w:t>
      </w:r>
      <w:r>
        <w:rPr>
          <w:vertAlign w:val="superscript"/>
          <w:lang w:eastAsia="zh-CN"/>
        </w:rPr>
        <w:t>[1]</w:t>
      </w:r>
      <w:r>
        <w:rPr>
          <w:lang w:eastAsia="zh-CN"/>
        </w:rPr>
        <w:t>从入选条件角度总结的奥运项目设置标准，以及Song等</w:t>
      </w:r>
      <w:r>
        <w:rPr>
          <w:vertAlign w:val="superscript"/>
          <w:lang w:eastAsia="zh-CN"/>
        </w:rPr>
        <w:t>[15]</w:t>
      </w:r>
      <w:r>
        <w:rPr>
          <w:lang w:eastAsia="zh-CN"/>
        </w:rPr>
        <w:t>在奥运项目量化评估中使用的指标维度， 构建六维评价指标体系。 六个维度下设若干可量化的子指标，形成两层结构</w:t>
      </w:r>
      <w:r>
        <w:rPr>
          <w:rFonts w:hint="eastAsia"/>
          <w:lang w:eastAsia="zh-CN"/>
        </w:rPr>
        <w:t>，</w:t>
      </w:r>
      <w:r>
        <w:rPr>
          <w:lang w:eastAsia="zh-CN"/>
        </w:rPr>
        <w:t>顶层六维框架参照IOC官方标准</w:t>
      </w:r>
      <w:r>
        <w:rPr>
          <w:vertAlign w:val="superscript"/>
          <w:lang w:eastAsia="zh-CN"/>
        </w:rPr>
        <w:t>[2,13]</w:t>
      </w:r>
      <w:r>
        <w:rPr>
          <w:lang w:eastAsia="zh-CN"/>
        </w:rPr>
        <w:t>， 底层子指标的量化公式系本研究基于HiMCM历史设项数据与外部公开数据自主设计。子指标的选取遵循</w:t>
      </w:r>
      <w:r>
        <w:rPr>
          <w:rFonts w:hint="eastAsia"/>
          <w:lang w:eastAsia="zh-CN"/>
        </w:rPr>
        <w:t>以下</w:t>
      </w:r>
      <w:r>
        <w:rPr>
          <w:lang w:eastAsia="zh-CN"/>
        </w:rPr>
        <w:t>两条原则</w:t>
      </w:r>
      <w:r>
        <w:rPr>
          <w:rFonts w:hint="eastAsia"/>
          <w:lang w:eastAsia="zh-CN"/>
        </w:rPr>
        <w:t>，</w:t>
      </w:r>
      <w:r>
        <w:rPr>
          <w:lang w:eastAsia="zh-CN"/>
        </w:rPr>
        <w:t>一是能从现有公开数据中可重复计算，二是能体现该维度的不同侧重点以避免单一指标可能带来的偏误。 以下</w:t>
      </w:r>
      <w:r>
        <w:rPr>
          <w:rFonts w:hint="eastAsia"/>
          <w:lang w:eastAsia="zh-CN"/>
        </w:rPr>
        <w:t>将</w:t>
      </w:r>
      <w:r>
        <w:rPr>
          <w:lang w:eastAsia="zh-CN"/>
        </w:rPr>
        <w:t>给出各维度子指标的具体计算方法。</w:t>
      </w:r>
    </w:p>
    <w:p w14:paraId="6B085A1C">
      <w:pPr>
        <w:pStyle w:val="5"/>
        <w:rPr>
          <w:rFonts w:hint="eastAsia"/>
          <w:lang w:eastAsia="zh-CN"/>
        </w:rPr>
      </w:pPr>
      <w:bookmarkStart w:id="52" w:name="流行度c_1"/>
      <w:r>
        <w:rPr>
          <w:rStyle w:val="62"/>
          <w:rFonts w:ascii="黑体" w:hAnsi="黑体" w:eastAsia="黑体"/>
          <w:lang w:eastAsia="zh-CN"/>
        </w:rPr>
        <w:t>3.3.1</w:t>
      </w:r>
      <w:r>
        <w:rPr>
          <w:lang w:eastAsia="zh-CN"/>
        </w:rPr>
        <w:tab/>
      </w:r>
      <w:r>
        <w:rPr>
          <w:lang w:eastAsia="zh-CN"/>
        </w:rPr>
        <w:t>流行度</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1</m:t>
            </m:r>
            <m:ctrlPr>
              <w:rPr>
                <w:rFonts w:ascii="Cambria Math" w:hAnsi="Cambria Math"/>
              </w:rPr>
            </m:ctrlPr>
          </m:sub>
        </m:sSub>
      </m:oMath>
    </w:p>
    <w:p w14:paraId="3A75D7A3">
      <w:pPr>
        <w:pStyle w:val="35"/>
        <w:ind w:firstLine="480"/>
        <w:rPr>
          <w:lang w:eastAsia="zh-CN"/>
        </w:rPr>
      </w:pPr>
      <w:r>
        <w:rPr>
          <w:rFonts w:hint="eastAsia"/>
          <w:lang w:eastAsia="zh-CN"/>
        </w:rPr>
        <w:t>流行度衡量项目的全球影响力和公众关注程度，下设5个子指标，分别从时间跨度、规模、趋势、近期活跃度和全球覆盖五个角度量化：</w:t>
      </w:r>
    </w:p>
    <w:p w14:paraId="55DE5E9B">
      <w:pPr>
        <w:pStyle w:val="95"/>
        <w:rPr>
          <w:rFonts w:eastAsiaTheme="minorEastAsia"/>
        </w:rPr>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实际参赛届数</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宋体" w:cstheme="minorBidi"/>
        </w:rPr>
        <w:t xml:space="preserve"> </w:t>
      </w:r>
      <w:r>
        <w:rPr>
          <w:rFonts w:hint="eastAsia" w:eastAsiaTheme="minorEastAsia"/>
          <w:sz w:val="20"/>
        </w:rPr>
        <w:t>,</w:t>
      </w:r>
      <w:r>
        <w:rPr>
          <w:rFonts w:eastAsiaTheme="minorEastAsia"/>
          <w:sz w:val="20"/>
        </w:rPr>
        <w:tab/>
      </w:r>
      <w:r>
        <w:rPr>
          <w:rFonts w:eastAsiaTheme="minorEastAsia"/>
          <w:sz w:val="20"/>
        </w:rPr>
        <w:tab/>
      </w:r>
      <w:r>
        <w:rPr>
          <w:sz w:val="20"/>
        </w:rPr>
        <w:t>(3.3)</w:t>
      </w:r>
    </w:p>
    <w:p w14:paraId="4EE04AB5">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历史累计设项数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历史累计设项数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(3.4)</w:t>
      </w:r>
    </w:p>
    <w:p w14:paraId="0D9ED8E6">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13</m:t>
            </m:r>
            <m:ctrlPr>
              <w:rPr>
                <w:rFonts w:ascii="Cambria Math" w:hAnsi="Cambria Math"/>
              </w:rPr>
            </m:ctrlPr>
          </m:sub>
        </m:sSub>
        <m:r>
          <m:rPr/>
          <w:rPr>
            <w:rFonts w:ascii="Cambria Math" w:hAnsi="Cambria Math"/>
          </w:rPr>
          <m:t>=</m:t>
        </m:r>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8</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(3.5)</w:t>
      </w:r>
    </w:p>
    <w:p w14:paraId="21F3AC8C">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14</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sz w:val="20"/>
        </w:rPr>
        <w:t>.</w:t>
      </w:r>
      <w:r>
        <w:rPr>
          <w:rFonts w:hint="eastAsia" w:eastAsiaTheme="minorEastAsia"/>
          <w:sz w:val="20"/>
        </w:rPr>
        <w:t xml:space="preserve"> ,</w:t>
      </w:r>
      <w:r>
        <w:rPr>
          <w:rFonts w:eastAsiaTheme="minorEastAsia"/>
          <w:sz w:val="20"/>
        </w:rPr>
        <w:tab/>
      </w:r>
      <w:r>
        <w:rPr>
          <w:rFonts w:eastAsiaTheme="minorEastAsia"/>
          <w:sz w:val="20"/>
        </w:rPr>
        <w:tab/>
      </w:r>
      <w:r>
        <w:rPr>
          <w:sz w:val="20"/>
        </w:rPr>
        <w:t>(3.6)</w:t>
      </w:r>
    </w:p>
    <w:p w14:paraId="1C2F4B28">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15</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该项目所属</m:t>
            </m:r>
            <m:r>
              <m:rPr>
                <m:sty m:val="p"/>
              </m:rPr>
              <w:rPr>
                <w:rFonts w:ascii="Cambria Math" w:hAnsi="Cambria Math"/>
              </w:rPr>
              <m:t>IF</m:t>
            </m:r>
            <m:r>
              <m:rPr>
                <m:sty m:val="p"/>
              </m:rPr>
              <w:rPr>
                <w:rFonts w:hint="eastAsia" w:ascii="宋体" w:hAnsi="宋体" w:eastAsia="宋体" w:cs="宋体"/>
              </w:rPr>
              <m:t>会员国数</m:t>
            </m:r>
            <m:ctrlPr>
              <w:rPr>
                <w:rFonts w:ascii="Cambria Math" w:hAnsi="Cambria Math"/>
              </w:rPr>
            </m:ctrlPr>
          </m:num>
          <m:den>
            <m:r>
              <m:rPr/>
              <w:rPr>
                <w:rFonts w:ascii="Cambria Math" w:hAnsi="Cambria Math"/>
              </w:rPr>
              <m:t>214</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(3.7)</w:t>
      </w:r>
    </w:p>
    <w:p w14:paraId="5D62FE45">
      <w:pPr>
        <w:pStyle w:val="35"/>
        <w:ind w:firstLine="480"/>
        <w:rPr>
          <w:lang w:eastAsia="zh-CN"/>
        </w:rPr>
      </w:pPr>
      <w:r>
        <w:rPr>
          <w:rFonts w:hint="eastAsia"/>
          <w:lang w:eastAsia="zh-CN"/>
        </w:rPr>
        <w:t xml:space="preserve">其中 </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 xml:space="preserve"> 为平均设项数，32为历史总届数，214为</w:t>
      </w:r>
      <w:r>
        <w:rPr>
          <w:lang w:eastAsia="zh-CN"/>
        </w:rPr>
        <w:t>世界田径联合会</w:t>
      </w:r>
      <w:r>
        <w:rPr>
          <w:rFonts w:hint="eastAsia"/>
          <w:lang w:eastAsia="zh-CN"/>
        </w:rPr>
        <w:t>World</w:t>
      </w:r>
      <w:r>
        <w:rPr>
          <w:lang w:eastAsia="zh-CN"/>
        </w:rPr>
        <w:t xml:space="preserve"> </w:t>
      </w:r>
      <w:r>
        <w:rPr>
          <w:rFonts w:hint="eastAsia"/>
          <w:lang w:eastAsia="zh-CN"/>
        </w:rPr>
        <w:t>Athletics会员国数。</w:t>
      </w:r>
      <w:r>
        <w:rPr>
          <w:lang w:eastAsia="zh-CN"/>
        </w:rPr>
        <w:t xml:space="preserve"> </w:t>
      </w:r>
      <w:r>
        <w:rPr>
          <w:rFonts w:hint="eastAsia"/>
          <w:lang w:eastAsia="zh-CN"/>
        </w:rPr>
        <w:t>数据主要来源于HiMCM历史设项数据，IF会员国数量来自各联合会官方网站</w:t>
      </w:r>
      <w:r>
        <w:rPr>
          <w:vertAlign w:val="superscript"/>
          <w:lang w:eastAsia="zh-CN"/>
        </w:rPr>
        <w:t>[13]</w:t>
      </w:r>
      <w:r>
        <w:rPr>
          <w:lang w:eastAsia="zh-CN"/>
        </w:rPr>
        <w:t>。</w:t>
      </w:r>
    </w:p>
    <w:p w14:paraId="39C17482">
      <w:pPr>
        <w:pStyle w:val="35"/>
        <w:ind w:firstLine="480"/>
        <w:rPr>
          <w:lang w:eastAsia="zh-CN"/>
        </w:rPr>
      </w:pPr>
      <w:r>
        <w:rPr>
          <w:rFonts w:hint="eastAsia"/>
          <w:lang w:eastAsia="zh-CN"/>
        </w:rPr>
        <w:t>上述5个子指标的选取依据如下，</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11</m:t>
            </m:r>
            <m:ctrlPr>
              <w:rPr>
                <w:rFonts w:ascii="Cambria Math" w:hAnsi="Cambria Math"/>
              </w:rPr>
            </m:ctrlPr>
          </m:sub>
        </m:sSub>
      </m:oMath>
      <w:r>
        <w:rPr>
          <w:rFonts w:hint="eastAsia"/>
          <w:lang w:eastAsia="zh-CN"/>
        </w:rPr>
        <w:t xml:space="preserve"> 采用参赛届数占比而非绝对届数，是为了消除不同项目入奥时间早晚带来的先天差异。例如田径自1896年首届奥运会即参赛，而霹雳舞2024年才首次入奥，用占比可使两者在同一尺度上比较；</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12</m:t>
            </m:r>
            <m:ctrlPr>
              <w:rPr>
                <w:rFonts w:ascii="Cambria Math" w:hAnsi="Cambria Math"/>
              </w:rPr>
            </m:ctrlPr>
          </m:sub>
        </m:sSub>
      </m:oMath>
      <w:r>
        <w:rPr>
          <w:rFonts w:hint="eastAsia"/>
          <w:lang w:eastAsia="zh-CN"/>
        </w:rPr>
        <w:t>反映历史累计体量，参照Song等</w:t>
      </w:r>
      <w:r>
        <w:rPr>
          <w:vertAlign w:val="superscript"/>
          <w:lang w:eastAsia="zh-CN"/>
        </w:rPr>
        <w:t>[15]</w:t>
      </w:r>
      <w:r>
        <w:rPr>
          <w:rFonts w:hint="eastAsia"/>
          <w:lang w:eastAsia="zh-CN"/>
        </w:rPr>
        <w:t>将历史设项规模作为流行度核心测度的做法；</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13</m:t>
            </m:r>
            <m:ctrlPr>
              <w:rPr>
                <w:rFonts w:ascii="Cambria Math" w:hAnsi="Cambria Math"/>
              </w:rPr>
            </m:ctrlPr>
          </m:sub>
        </m:sSub>
      </m:oMath>
      <w:r>
        <w:rPr>
          <w:rFonts w:hint="eastAsia"/>
          <w:lang w:eastAsia="zh-CN"/>
        </w:rPr>
        <w:t>用近8届与前8届的相对增长率刻画发展趋势，避免单纯因起点低而呈现高增长假象；</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14</m:t>
            </m:r>
            <m:ctrlPr>
              <w:rPr>
                <w:rFonts w:ascii="Cambria Math" w:hAnsi="Cambria Math"/>
              </w:rPr>
            </m:ctrlPr>
          </m:sub>
        </m:sSub>
      </m:oMath>
      <w:r>
        <w:rPr>
          <w:rFonts w:hint="eastAsia"/>
          <w:lang w:eastAsia="zh-CN"/>
        </w:rPr>
        <w:t xml:space="preserve"> 聚焦近期活跃度，对东道主临时增设分项的情况给予响应；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15</m:t>
            </m:r>
            <m:ctrlPr>
              <w:rPr>
                <w:rFonts w:ascii="Cambria Math" w:hAnsi="Cambria Math"/>
              </w:rPr>
            </m:ctrlPr>
          </m:sub>
        </m:sSub>
      </m:oMath>
      <w:r>
        <w:rPr>
          <w:rFonts w:hint="eastAsia"/>
          <w:lang w:eastAsia="zh-CN"/>
        </w:rPr>
        <w:t xml:space="preserve"> 引入IF会员国数量作为补充间接变量，是因为HiMCM数据集中部分运动仅记录了特定分项级别的设项数据，在篮球行仅含三人篮球等，IF会员国数据可弥补这一覆盖不足。</w:t>
      </w:r>
    </w:p>
    <w:p w14:paraId="4D9F7817">
      <w:pPr>
        <w:pStyle w:val="35"/>
        <w:ind w:firstLine="480"/>
        <w:rPr>
          <w:lang w:eastAsia="zh-CN"/>
        </w:rPr>
      </w:pPr>
      <w:r>
        <w:rPr>
          <w:lang w:eastAsia="zh-CN"/>
        </w:rPr>
        <w:t>需要说明的是，在流行度维度的综合得分计算中，基于HiMCM历史设项数据计算的四个子指标</w:t>
      </w:r>
      <w:r>
        <w:rPr>
          <w:rFonts w:hint="eastAsia"/>
          <w:lang w:eastAsia="zh-CN"/>
        </w:rPr>
        <w:t>从</w:t>
      </w:r>
      <w:r>
        <w:rPr>
          <w:lang w:eastAsia="zh-CN"/>
        </w:rPr>
        <w:t>c₁₁</w:t>
      </w:r>
      <w:r>
        <w:rPr>
          <w:rFonts w:hint="eastAsia"/>
          <w:lang w:eastAsia="zh-CN"/>
        </w:rPr>
        <w:t xml:space="preserve"> </w:t>
      </w:r>
      <w:r>
        <w:rPr>
          <w:lang w:eastAsia="zh-CN"/>
        </w:rPr>
        <w:t>至c₁₄</w:t>
      </w:r>
      <w:r>
        <w:rPr>
          <w:rFonts w:hint="eastAsia"/>
          <w:lang w:eastAsia="zh-CN"/>
        </w:rPr>
        <w:t xml:space="preserve"> </w:t>
      </w:r>
      <w:r>
        <w:rPr>
          <w:lang w:eastAsia="zh-CN"/>
        </w:rPr>
        <w:t>与基于IF会员国数据的补充子指标</w:t>
      </w:r>
      <w:r>
        <w:rPr>
          <w:rFonts w:hint="eastAsia"/>
          <w:lang w:eastAsia="zh-CN"/>
        </w:rPr>
        <w:t xml:space="preserve"> </w:t>
      </w:r>
      <w:r>
        <w:rPr>
          <w:lang w:eastAsia="zh-CN"/>
        </w:rPr>
        <w:t>c₁₅</w:t>
      </w:r>
      <w:r>
        <w:rPr>
          <w:rFonts w:hint="eastAsia"/>
          <w:lang w:eastAsia="zh-CN"/>
        </w:rPr>
        <w:t xml:space="preserve"> </w:t>
      </w:r>
      <w:r>
        <w:rPr>
          <w:lang w:eastAsia="zh-CN"/>
        </w:rPr>
        <w:t>在聚合时采用加权平均，权重比设定为0.70:0.30。该比例的设定基于以下考虑</w:t>
      </w:r>
      <w:r>
        <w:rPr>
          <w:rFonts w:hint="eastAsia"/>
          <w:lang w:eastAsia="zh-CN"/>
        </w:rPr>
        <w:t>，</w:t>
      </w:r>
      <w:r>
        <w:rPr>
          <w:lang w:eastAsia="zh-CN"/>
        </w:rPr>
        <w:t>HiMCM数据直接反映项目在奥运框架内的历史表现，是评估奥运项目流行度的主要依据</w:t>
      </w:r>
      <w:r>
        <w:rPr>
          <w:rFonts w:hint="eastAsia"/>
          <w:lang w:eastAsia="zh-CN"/>
        </w:rPr>
        <w:t>而</w:t>
      </w:r>
      <w:r>
        <w:rPr>
          <w:lang w:eastAsia="zh-CN"/>
        </w:rPr>
        <w:t>IF会员国数据提供了项目全球覆盖度的补充视角，但由于其反映的是运动大项的普及程度而非奥运特定赛事的参与规模，故赋予较低权重。该比例的合理性在于既能补充HiMCM数据中部分运动仅含分项设项记录的不足，又避免外部数据过度主导以奥运设项数据为核心的流行度评估。若需增强模型的客观性，可将c₁₅</w:t>
      </w:r>
      <w:r>
        <w:rPr>
          <w:rFonts w:hint="eastAsia"/>
          <w:lang w:eastAsia="zh-CN"/>
        </w:rPr>
        <w:t xml:space="preserve"> </w:t>
      </w:r>
      <w:r>
        <w:rPr>
          <w:lang w:eastAsia="zh-CN"/>
        </w:rPr>
        <w:t>作为独立子指标直接纳入第二层EWM计算，由数据本身决定其权重</w:t>
      </w:r>
      <w:r>
        <w:rPr>
          <w:rFonts w:hint="eastAsia"/>
          <w:lang w:eastAsia="zh-CN"/>
        </w:rPr>
        <w:t>。例如，HiMCM数据集中篮球行仅包含三人篮球的事件数据，而非篮球运动大项自1936年以来的完整历史数据并且水上运动行仅包含花样游泳的设项记录。</w:t>
      </w:r>
    </w:p>
    <w:bookmarkEnd w:id="52"/>
    <w:p w14:paraId="79CEF487">
      <w:pPr>
        <w:pStyle w:val="5"/>
        <w:rPr>
          <w:rFonts w:hint="eastAsia"/>
          <w:lang w:eastAsia="zh-CN"/>
        </w:rPr>
      </w:pPr>
      <w:bookmarkStart w:id="53" w:name="性别平等c_2"/>
      <w:r>
        <w:rPr>
          <w:rStyle w:val="62"/>
          <w:rFonts w:ascii="黑体" w:hAnsi="黑体" w:eastAsia="黑体"/>
          <w:lang w:eastAsia="zh-CN"/>
        </w:rPr>
        <w:t>3.3.2</w:t>
      </w:r>
      <w:r>
        <w:rPr>
          <w:lang w:eastAsia="zh-CN"/>
        </w:rPr>
        <w:tab/>
      </w:r>
      <w:r>
        <w:rPr>
          <w:lang w:eastAsia="zh-CN"/>
        </w:rPr>
        <w:t>性别平等</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2</m:t>
            </m:r>
            <m:ctrlPr>
              <w:rPr>
                <w:rFonts w:ascii="Cambria Math" w:hAnsi="Cambria Math"/>
              </w:rPr>
            </m:ctrlPr>
          </m:sub>
        </m:sSub>
      </m:oMath>
    </w:p>
    <w:p w14:paraId="1387C7A5">
      <w:pPr>
        <w:pStyle w:val="35"/>
        <w:ind w:firstLine="480"/>
        <w:rPr>
          <w:lang w:eastAsia="zh-CN"/>
        </w:rPr>
      </w:pPr>
      <w:r>
        <w:rPr>
          <w:rFonts w:hint="eastAsia"/>
          <w:lang w:eastAsia="zh-CN"/>
        </w:rPr>
        <w:t>性别平等评估项目在男女参赛机会上的均衡程度，下设2个子指标：</w:t>
      </w:r>
      <w:r>
        <w:rPr>
          <w:lang w:eastAsia="zh-CN"/>
        </w:rPr>
        <w:tab/>
      </w:r>
    </w:p>
    <w:p w14:paraId="5B02CE4B">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21</m:t>
            </m:r>
            <m:ctrlPr>
              <w:rPr>
                <w:rFonts w:ascii="Cambria Math" w:hAnsi="Cambria Math"/>
              </w:rPr>
            </m:ctrlPr>
          </m:sub>
        </m:sSub>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male</m:t>
                </m:r>
                <m:ctrlPr>
                  <w:rPr>
                    <w:rFonts w:ascii="Cambria Math" w:hAnsi="Cambria Math"/>
                  </w:rPr>
                </m:ctrlPr>
              </m:sub>
            </m:sSub>
            <m:r>
              <m:rPr>
                <m:sty m:val="p"/>
              </m:rPr>
              <w:rPr>
                <w:rFonts w:ascii="Cambria Math" w:hAnsi="Cambria Math"/>
              </w:rPr>
              <m:t>−0.5</m:t>
            </m:r>
            <m:ctrlPr>
              <w:rPr>
                <w:rFonts w:ascii="Cambria Math" w:hAnsi="Cambria Math"/>
              </w:rPr>
            </m:ctrlPr>
          </m:e>
        </m:d>
        <m:r>
          <m:rPr>
            <m:sty m:val="p"/>
          </m:rPr>
          <w:rPr>
            <w:rFonts w:ascii="Cambria Math" w:hAnsi="Cambria Math"/>
          </w:rPr>
          <m:t>×2</m:t>
        </m:r>
      </m:oMath>
      <w:r>
        <w:rPr>
          <w:rFonts w:hint="eastAsia" w:eastAsiaTheme="minorEastAsia"/>
          <w:sz w:val="20"/>
        </w:rPr>
        <w:t xml:space="preserve"> ,</w:t>
      </w:r>
      <w:r>
        <w:rPr>
          <w:rFonts w:eastAsiaTheme="minorEastAsia"/>
          <w:sz w:val="20"/>
        </w:rPr>
        <w:tab/>
      </w:r>
      <w:r>
        <w:rPr>
          <w:rFonts w:eastAsiaTheme="minorEastAsia"/>
          <w:sz w:val="20"/>
        </w:rPr>
        <w:tab/>
      </w:r>
      <w:r>
        <w:rPr>
          <w:sz w:val="20"/>
        </w:rPr>
        <w:t>(3.8)</w:t>
      </w:r>
    </w:p>
    <w:p w14:paraId="15B10CC8">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22</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mixed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r>
                  <m:rPr>
                    <m:sty m:val="p"/>
                  </m:rPr>
                  <w:rPr>
                    <w:rFonts w:ascii="Cambria Math" w:hAnsi="Cambria Math"/>
                  </w:rPr>
                  <m:t> </m:t>
                </m:r>
                <m:r>
                  <m:rPr/>
                  <w:rPr>
                    <w:rFonts w:ascii="Cambria Math" w:hAnsi="Cambria Math"/>
                  </w:rPr>
                  <m:t>disciplines</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(3.9)</w:t>
      </w:r>
    </w:p>
    <w:p w14:paraId="44441FF6">
      <w:pPr>
        <w:pStyle w:val="35"/>
        <w:ind w:firstLine="480"/>
        <w:rPr>
          <w:lang w:eastAsia="zh-CN"/>
        </w:rPr>
      </w:pPr>
      <w:r>
        <w:rPr>
          <w:rFonts w:hint="eastAsia"/>
          <w:lang w:eastAsia="zh-CN"/>
        </w:rPr>
        <w:t xml:space="preserve">其中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male</m:t>
            </m:r>
            <m:ctrlPr>
              <w:rPr>
                <w:rFonts w:ascii="Cambria Math" w:hAnsi="Cambria Math"/>
              </w:rPr>
            </m:ctrlPr>
          </m:sub>
        </m:sSub>
      </m:oMath>
      <w:r>
        <w:rPr>
          <w:rFonts w:hint="eastAsia"/>
          <w:lang w:eastAsia="zh-CN"/>
        </w:rPr>
        <w:t xml:space="preserve"> 为男性运动员占比，</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b w:val="0"/>
                <w:i w:val="0"/>
                <w:lang w:eastAsia="zh-CN"/>
              </w:rPr>
              <m:t>mixed</m:t>
            </m:r>
            <m:ctrlPr>
              <w:rPr>
                <w:rFonts w:ascii="Cambria Math" w:hAnsi="Cambria Math"/>
              </w:rPr>
            </m:ctrlPr>
          </m:sub>
        </m:sSub>
      </m:oMath>
      <w:r>
        <w:rPr>
          <w:rFonts w:hint="eastAsia"/>
          <w:lang w:eastAsia="zh-CN"/>
        </w:rPr>
        <w:t xml:space="preserve"> 为设有混合团体项目的分项数，</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b w:val="0"/>
                <w:i w:val="0"/>
                <w:lang w:eastAsia="zh-CN"/>
              </w:rPr>
              <m:t>total</m:t>
            </m:r>
            <m:r>
              <m:rPr>
                <m:nor/>
                <m:sty m:val="p"/>
              </m:rPr>
              <w:rPr>
                <w:rFonts w:hint="eastAsia"/>
                <w:b w:val="0"/>
                <w:i w:val="0"/>
                <w:lang w:eastAsia="zh-CN"/>
              </w:rPr>
              <m:t>_</m:t>
            </m:r>
            <m:r>
              <m:rPr>
                <m:nor/>
                <m:sty m:val="p"/>
              </m:rPr>
              <w:rPr>
                <w:b w:val="0"/>
                <w:i w:val="0"/>
                <w:lang w:eastAsia="zh-CN"/>
              </w:rPr>
              <m:t>disciplines</m:t>
            </m:r>
            <m:ctrlPr>
              <w:rPr>
                <w:rFonts w:ascii="Cambria Math" w:hAnsi="Cambria Math"/>
              </w:rPr>
            </m:ctrlPr>
          </m:sub>
        </m:sSub>
      </m:oMath>
      <w:r>
        <w:rPr>
          <w:rFonts w:hint="eastAsia"/>
          <w:lang w:eastAsia="zh-CN"/>
        </w:rPr>
        <w:t>为总分项数。</w:t>
      </w:r>
      <w:r>
        <w:rPr>
          <w:lang w:eastAsia="zh-CN"/>
        </w:rPr>
        <w:t xml:space="preserve"> </w:t>
      </w:r>
      <w:r>
        <w:rPr>
          <w:rFonts w:hint="eastAsia"/>
          <w:lang w:eastAsia="zh-CN"/>
        </w:rPr>
        <w:t>数据来源于IOC巴黎2024官方报告</w:t>
      </w:r>
      <w:r>
        <w:rPr>
          <w:vertAlign w:val="superscript"/>
          <w:lang w:eastAsia="zh-CN"/>
        </w:rPr>
        <w:t>[13]</w:t>
      </w:r>
      <w:r>
        <w:rPr>
          <w:lang w:eastAsia="zh-CN"/>
        </w:rPr>
        <w:t>。</w:t>
      </w:r>
    </w:p>
    <w:p w14:paraId="048AE8E7">
      <w:pPr>
        <w:pStyle w:val="35"/>
        <w:ind w:firstLine="480"/>
        <w:rPr>
          <w:lang w:eastAsia="zh-CN"/>
        </w:rPr>
      </w:pP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21</m:t>
            </m:r>
            <m:ctrlPr>
              <w:rPr>
                <w:rFonts w:ascii="Cambria Math" w:hAnsi="Cambria Math"/>
              </w:rPr>
            </m:ctrlPr>
          </m:sub>
        </m:sSub>
      </m:oMath>
      <w:r>
        <w:rPr>
          <w:rFonts w:hint="eastAsia"/>
          <w:lang w:eastAsia="zh-CN"/>
        </w:rPr>
        <w:t>的设计直接对应IOC官方报告中公布的男女参赛比例数据。</w:t>
      </w:r>
      <w:r>
        <w:rPr>
          <w:lang w:eastAsia="zh-CN"/>
        </w:rPr>
        <w:t xml:space="preserve"> </w:t>
      </w:r>
      <w:r>
        <w:rPr>
          <w:rFonts w:hint="eastAsia"/>
          <w:lang w:eastAsia="zh-CN"/>
        </w:rPr>
        <w:t xml:space="preserve">公式 (3.8) 的含义是当男女各占50%时得分达到最大值1，当项目为纯男性或纯女性时，即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male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 xml:space="preserve"> 或</w:t>
      </w:r>
      <m:oMath>
        <m:r>
          <m:rPr/>
          <w:rPr>
            <w:rFonts w:ascii="Cambria Math" w:hAnsi="Cambria Math"/>
            <w:lang w:eastAsia="zh-CN"/>
          </w:rPr>
          <m:t xml:space="preserve"> 1</m:t>
        </m:r>
      </m:oMath>
      <w:r>
        <w:rPr>
          <w:rFonts w:hint="eastAsia"/>
          <w:lang w:eastAsia="zh-CN"/>
        </w:rPr>
        <w:t>，得分降至0。</w:t>
      </w:r>
      <w:r>
        <w:rPr>
          <w:lang w:eastAsia="zh-CN"/>
        </w:rPr>
        <w:t xml:space="preserve"> </w:t>
      </w:r>
      <w:r>
        <w:rPr>
          <w:rFonts w:hint="eastAsia"/>
          <w:lang w:eastAsia="zh-CN"/>
        </w:rPr>
        <w:t>该线性对称设计保证了比例偏离0.5时惩罚强度均匀，避免了非线性函数可能带来的极端值问题。</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22</m:t>
            </m:r>
            <m:ctrlPr>
              <w:rPr>
                <w:rFonts w:ascii="Cambria Math" w:hAnsi="Cambria Math"/>
              </w:rPr>
            </m:ctrlPr>
          </m:sub>
        </m:sSub>
      </m:oMath>
      <w:r>
        <w:rPr>
          <w:rFonts w:hint="eastAsia"/>
          <w:lang w:eastAsia="zh-CN"/>
        </w:rPr>
        <w:t>则反映IOC近年来大力推动混合团体项目的政策导向，巴黎2024有32个分项实现了完全性别平等，混合项目的设置率是衡量该政策落地程度的重要补充。</w:t>
      </w:r>
    </w:p>
    <w:bookmarkEnd w:id="53"/>
    <w:p w14:paraId="601592CC">
      <w:pPr>
        <w:pStyle w:val="5"/>
        <w:rPr>
          <w:rFonts w:hint="eastAsia"/>
          <w:lang w:eastAsia="zh-CN"/>
        </w:rPr>
      </w:pPr>
      <w:bookmarkStart w:id="54" w:name="可持续性c_3"/>
      <w:r>
        <w:rPr>
          <w:rStyle w:val="62"/>
          <w:rFonts w:ascii="黑体" w:hAnsi="黑体" w:eastAsia="黑体"/>
          <w:lang w:eastAsia="zh-CN"/>
        </w:rPr>
        <w:t>3.3.3</w:t>
      </w:r>
      <w:r>
        <w:rPr>
          <w:lang w:eastAsia="zh-CN"/>
        </w:rPr>
        <w:tab/>
      </w:r>
      <w:r>
        <w:rPr>
          <w:lang w:eastAsia="zh-CN"/>
        </w:rPr>
        <w:t>可持续性</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3</m:t>
            </m:r>
            <m:ctrlPr>
              <w:rPr>
                <w:rFonts w:ascii="Cambria Math" w:hAnsi="Cambria Math"/>
              </w:rPr>
            </m:ctrlPr>
          </m:sub>
        </m:sSub>
      </m:oMath>
    </w:p>
    <w:p w14:paraId="36AD94BF">
      <w:pPr>
        <w:pStyle w:val="35"/>
        <w:ind w:firstLine="480"/>
        <w:rPr>
          <w:lang w:eastAsia="zh-CN"/>
        </w:rPr>
      </w:pPr>
      <w:r>
        <w:rPr>
          <w:rFonts w:hint="eastAsia"/>
          <w:lang w:eastAsia="zh-CN"/>
        </w:rPr>
        <w:t>可持续性衡量项目在奥运历史中的存续能力和场馆基础设施的长期可行性，下设3个子指标：</w:t>
      </w:r>
    </w:p>
    <w:p w14:paraId="3C3027CC">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最长连续非零序列长度</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(3.10)</w:t>
      </w:r>
    </w:p>
    <w:p w14:paraId="1E7390BB">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32</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σ</m:t>
            </m:r>
            <m:ctrlPr>
              <w:rPr>
                <w:rFonts w:ascii="Cambria Math" w:hAnsi="Cambria Math"/>
              </w:rPr>
            </m:ctrlPr>
          </m:num>
          <m:den>
            <m:r>
              <m:rPr/>
              <w:rPr>
                <w:rFonts w:ascii="Cambria Math" w:hAnsi="Cambria Math"/>
              </w:rPr>
              <m:t>μ</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(3.11)</w:t>
      </w:r>
    </w:p>
    <w:p w14:paraId="528424AF">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曾被移出奥运后又回归</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(3.12)</w:t>
      </w:r>
    </w:p>
    <w:p w14:paraId="328023BE">
      <w:pPr>
        <w:pStyle w:val="35"/>
        <w:ind w:firstLine="480"/>
        <w:rPr>
          <w:lang w:eastAsia="zh-CN"/>
        </w:rPr>
      </w:pPr>
      <w:r>
        <w:rPr>
          <w:rFonts w:hint="eastAsia"/>
          <w:lang w:eastAsia="zh-CN"/>
        </w:rPr>
        <w:t>其中</w:t>
      </w:r>
      <m:oMath>
        <m:r>
          <m:rPr/>
          <w:rPr>
            <w:rFonts w:ascii="Cambria Math" w:hAnsi="Cambria Math"/>
            <w:lang w:eastAsia="zh-CN"/>
          </w:rPr>
          <m:t>σ</m:t>
        </m:r>
        <m:r>
          <m:rPr/>
          <w:rPr>
            <w:rFonts w:hint="default" w:ascii="Cambria Math" w:hAnsi="Cambria Math"/>
            <w:lang w:val="en-US" w:eastAsia="zh-CN"/>
          </w:rPr>
          <m:t xml:space="preserve"> </m:t>
        </m:r>
      </m:oMath>
      <w:r>
        <w:rPr>
          <w:rFonts w:hint="eastAsia"/>
          <w:lang w:eastAsia="zh-CN"/>
        </w:rPr>
        <w:t>为历史设项数标准差，</w:t>
      </w:r>
      <m:oMath>
        <m:r>
          <m:rPr/>
          <w:rPr>
            <w:rFonts w:ascii="Cambria Math" w:hAnsi="Cambria Math"/>
            <w:lang w:eastAsia="zh-CN"/>
          </w:rPr>
          <m:t>μ</m:t>
        </m:r>
      </m:oMath>
      <w:r>
        <w:rPr>
          <w:rFonts w:hint="eastAsia" w:hAnsi="Cambria Math"/>
          <w:i w:val="0"/>
          <w:lang w:val="en-US" w:eastAsia="zh-CN"/>
        </w:rPr>
        <w:t xml:space="preserve"> </w:t>
      </w:r>
      <w:r>
        <w:rPr>
          <w:rFonts w:hint="eastAsia"/>
          <w:lang w:eastAsia="zh-CN"/>
        </w:rPr>
        <w:t>为均值。</w:t>
      </w:r>
      <w:r>
        <w:rPr>
          <w:lang w:eastAsia="zh-CN"/>
        </w:rPr>
        <w:t xml:space="preserve"> </w:t>
      </w:r>
      <w:r>
        <w:rPr>
          <w:rFonts w:hint="eastAsia"/>
          <w:lang w:eastAsia="zh-CN"/>
        </w:rPr>
        <w:t>数据来源于HiMCM历史设项数据和IOC官方报告。</w:t>
      </w:r>
    </w:p>
    <w:p w14:paraId="78E80583">
      <w:pPr>
        <w:pStyle w:val="35"/>
        <w:ind w:firstLine="480"/>
        <w:rPr>
          <w:lang w:eastAsia="zh-CN"/>
        </w:rPr>
      </w:pPr>
      <w:r>
        <w:rPr>
          <w:rFonts w:hint="eastAsia"/>
          <w:lang w:eastAsia="zh-CN"/>
        </w:rPr>
        <w:t>可持续性评估的核心是项目在奥运历史中的“生存能力”</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31</m:t>
            </m:r>
            <m:ctrlPr>
              <w:rPr>
                <w:rFonts w:ascii="Cambria Math" w:hAnsi="Cambria Math"/>
              </w:rPr>
            </m:ctrlPr>
          </m:sub>
        </m:sSub>
      </m:oMath>
      <w:r>
        <w:rPr>
          <w:rFonts w:hint="eastAsia" w:hAnsi="Cambria Math"/>
          <w:i w:val="0"/>
          <w:lang w:val="en-US" w:eastAsia="zh-CN"/>
        </w:rPr>
        <w:t xml:space="preserve"> </w:t>
      </w:r>
      <w:r>
        <w:rPr>
          <w:rFonts w:hint="eastAsia"/>
          <w:lang w:eastAsia="zh-CN"/>
        </w:rPr>
        <w:t>用连续非零参赛序列长度衡量稳定性：连续参赛届数越长，说明该项目越不容易被奥运体系淘汰；除以32是为了将其映射到</w:t>
      </w:r>
      <w:r>
        <w:rPr>
          <w:rFonts w:hint="eastAsia"/>
          <w:lang w:val="en-US" w:eastAsia="zh-CN"/>
        </w:rPr>
        <w:t xml:space="preserve">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r>
          <m:rPr>
            <m:sty m:val="p"/>
          </m:rPr>
          <w:rPr>
            <w:rFonts w:hint="default" w:ascii="Cambria Math" w:hAnsi="Cambria Math"/>
            <w:lang w:val="en-US" w:eastAsia="zh-CN"/>
          </w:rPr>
          <m:t xml:space="preserve"> </m:t>
        </m:r>
      </m:oMath>
      <w:r>
        <w:rPr>
          <w:rFonts w:hint="eastAsia"/>
          <w:lang w:eastAsia="zh-CN"/>
        </w:rPr>
        <w:t>区间，便于与其他子指标可比。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32</m:t>
            </m:r>
            <m:ctrlPr>
              <w:rPr>
                <w:rFonts w:ascii="Cambria Math" w:hAnsi="Cambria Math"/>
              </w:rPr>
            </m:ctrlPr>
          </m:sub>
        </m:sSub>
      </m:oMath>
      <w:r>
        <w:rPr>
          <w:rFonts w:hint="eastAsia" w:hAnsi="Cambria Math"/>
          <w:i w:val="0"/>
          <w:lang w:val="en-US" w:eastAsia="zh-CN"/>
        </w:rPr>
        <w:t xml:space="preserve"> </w:t>
      </w:r>
      <w:r>
        <w:rPr>
          <w:rFonts w:hint="eastAsia"/>
          <w:lang w:eastAsia="zh-CN"/>
        </w:rPr>
        <w:t>采用变异系数</w:t>
      </w:r>
      <m:oMath>
        <m:r>
          <m:rPr/>
          <w:rPr>
            <w:rFonts w:ascii="Cambria Math" w:hAnsi="Cambria Math"/>
            <w:lang w:eastAsia="zh-CN"/>
          </w:rPr>
          <m:t>σ</m:t>
        </m:r>
        <m:r>
          <m:rPr>
            <m:lit/>
            <m:sty m:val="p"/>
          </m:rPr>
          <w:rPr>
            <w:rFonts w:ascii="Cambria Math" w:hAnsi="Cambria Math"/>
            <w:lang w:eastAsia="zh-CN"/>
          </w:rPr>
          <m:t>/</m:t>
        </m:r>
        <m:r>
          <m:rPr/>
          <w:rPr>
            <w:rFonts w:ascii="Cambria Math" w:hAnsi="Cambria Math"/>
            <w:lang w:eastAsia="zh-CN"/>
          </w:rPr>
          <m:t>μ</m:t>
        </m:r>
      </m:oMath>
      <w:r>
        <w:rPr>
          <w:rFonts w:hint="eastAsia" w:hAnsi="Cambria Math"/>
          <w:i w:val="0"/>
          <w:lang w:val="en-US" w:eastAsia="zh-CN"/>
        </w:rPr>
        <w:t xml:space="preserve"> </w:t>
      </w:r>
      <w:r>
        <w:rPr>
          <w:rFonts w:hint="eastAsia"/>
          <w:lang w:eastAsia="zh-CN"/>
        </w:rPr>
        <w:t>而非标准差本身，是因为不同项目的平均设项规模差异巨大，</w:t>
      </w:r>
      <w:r>
        <w:rPr>
          <w:rFonts w:hint="eastAsia"/>
          <w:lang w:val="en-US" w:eastAsia="zh-CN"/>
        </w:rPr>
        <w:t>例如</w:t>
      </w:r>
      <w:r>
        <w:rPr>
          <w:rFonts w:hint="eastAsia"/>
          <w:lang w:eastAsia="zh-CN"/>
        </w:rPr>
        <w:t>田径每届约35项</w:t>
      </w:r>
      <w:r>
        <w:rPr>
          <w:rFonts w:hint="eastAsia"/>
          <w:lang w:val="en-US" w:eastAsia="zh-CN"/>
        </w:rPr>
        <w:t>而</w:t>
      </w:r>
      <w:r>
        <w:rPr>
          <w:rFonts w:hint="eastAsia"/>
          <w:lang w:eastAsia="zh-CN"/>
        </w:rPr>
        <w:t>冲浪仅</w:t>
      </w:r>
      <w:r>
        <w:rPr>
          <w:rFonts w:hint="eastAsia"/>
          <w:lang w:val="en-US" w:eastAsia="zh-CN"/>
        </w:rPr>
        <w:t>有</w:t>
      </w:r>
      <w:r>
        <w:rPr>
          <w:rFonts w:hint="eastAsia"/>
          <w:lang w:eastAsia="zh-CN"/>
        </w:rPr>
        <w:t>2项，变异系数消除了规模差异，专门衡量波动幅度相对于自身均值的相对程度。</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33</m:t>
            </m:r>
            <m:ctrlPr>
              <w:rPr>
                <w:rFonts w:ascii="Cambria Math" w:hAnsi="Cambria Math"/>
              </w:rPr>
            </m:ctrlPr>
          </m:sub>
        </m:sSub>
      </m:oMath>
      <w:r>
        <w:rPr>
          <w:rFonts w:hint="eastAsia" w:hAnsi="Cambria Math"/>
          <w:i w:val="0"/>
          <w:lang w:val="en-US" w:eastAsia="zh-CN"/>
        </w:rPr>
        <w:t xml:space="preserve"> </w:t>
      </w:r>
      <w:r>
        <w:rPr>
          <w:rFonts w:hint="eastAsia"/>
          <w:lang w:eastAsia="zh-CN"/>
        </w:rPr>
        <w:t>为二元</w:t>
      </w:r>
      <w:r>
        <w:rPr>
          <w:rFonts w:hint="eastAsia"/>
          <w:lang w:val="en-US" w:eastAsia="zh-CN"/>
        </w:rPr>
        <w:t>的弹性</w:t>
      </w:r>
      <w:r>
        <w:rPr>
          <w:rFonts w:hint="eastAsia"/>
          <w:lang w:eastAsia="zh-CN"/>
        </w:rPr>
        <w:t>指标，棒球/垒球在2008年被移除后</w:t>
      </w:r>
      <w:r>
        <w:rPr>
          <w:rFonts w:hint="eastAsia"/>
          <w:lang w:val="en-US" w:eastAsia="zh-CN"/>
        </w:rPr>
        <w:t>又</w:t>
      </w:r>
      <w:r>
        <w:rPr>
          <w:rFonts w:hint="eastAsia"/>
          <w:lang w:eastAsia="zh-CN"/>
        </w:rPr>
        <w:t>于2020年回归，得1分，</w:t>
      </w:r>
      <w:r>
        <w:rPr>
          <w:rFonts w:hint="eastAsia"/>
          <w:lang w:val="en-US" w:eastAsia="zh-CN"/>
        </w:rPr>
        <w:t>而</w:t>
      </w:r>
      <w:r>
        <w:rPr>
          <w:rFonts w:hint="eastAsia"/>
          <w:lang w:eastAsia="zh-CN"/>
        </w:rPr>
        <w:t>田径从未中断，得0分。</w:t>
      </w:r>
      <w:r>
        <w:rPr>
          <w:rFonts w:hint="eastAsia"/>
          <w:lang w:val="en-US" w:eastAsia="zh-CN"/>
        </w:rPr>
        <w:t>这一指标的</w:t>
      </w:r>
      <w:r>
        <w:rPr>
          <w:rFonts w:hint="eastAsia"/>
          <w:lang w:eastAsia="zh-CN"/>
        </w:rPr>
        <w:t>设计捕捉</w:t>
      </w:r>
      <w:r>
        <w:rPr>
          <w:rFonts w:hint="eastAsia"/>
          <w:lang w:val="en-US" w:eastAsia="zh-CN"/>
        </w:rPr>
        <w:t>到</w:t>
      </w:r>
      <w:r>
        <w:rPr>
          <w:rFonts w:hint="eastAsia"/>
          <w:lang w:eastAsia="zh-CN"/>
        </w:rPr>
        <w:t>了项目在被淘汰后</w:t>
      </w:r>
      <w:r>
        <w:rPr>
          <w:rFonts w:hint="eastAsia"/>
          <w:lang w:val="en-US" w:eastAsia="zh-CN"/>
        </w:rPr>
        <w:t>又</w:t>
      </w:r>
      <w:r>
        <w:rPr>
          <w:rFonts w:hint="eastAsia"/>
          <w:lang w:eastAsia="zh-CN"/>
        </w:rPr>
        <w:t>重新</w:t>
      </w:r>
      <w:r>
        <w:rPr>
          <w:rFonts w:hint="eastAsia"/>
          <w:lang w:val="en-US" w:eastAsia="zh-CN"/>
        </w:rPr>
        <w:t>获得</w:t>
      </w:r>
      <w:r>
        <w:rPr>
          <w:rFonts w:hint="eastAsia"/>
          <w:lang w:eastAsia="zh-CN"/>
        </w:rPr>
        <w:t>IOC认可的能力</w:t>
      </w:r>
      <w:r>
        <w:rPr>
          <w:lang w:eastAsia="zh-CN"/>
        </w:rPr>
        <w:t>。</w:t>
      </w:r>
    </w:p>
    <w:p w14:paraId="78287C74">
      <w:pPr>
        <w:pStyle w:val="35"/>
        <w:ind w:firstLine="480"/>
        <w:rPr>
          <w:lang w:eastAsia="zh-CN"/>
        </w:rPr>
      </w:pPr>
      <w:r>
        <w:rPr>
          <w:rFonts w:hint="eastAsia"/>
          <w:lang w:eastAsia="zh-CN"/>
        </w:rPr>
        <w:t>此外，在计算可持续性维度得分时，还参考了IOC可持续发展报告</w:t>
      </w:r>
      <w:r>
        <w:rPr>
          <w:vertAlign w:val="superscript"/>
          <w:lang w:eastAsia="zh-CN"/>
        </w:rPr>
        <w:t>[13]</w:t>
      </w:r>
      <w:r>
        <w:rPr>
          <w:rFonts w:hint="eastAsia"/>
          <w:lang w:eastAsia="zh-CN"/>
        </w:rPr>
        <w:t>中的场馆基础设施分级体系，对项目的场馆依赖性进行补充评估，以反映项目是否具备长期举办的物质条件。</w:t>
      </w:r>
    </w:p>
    <w:bookmarkEnd w:id="54"/>
    <w:p w14:paraId="443B76BC">
      <w:pPr>
        <w:pStyle w:val="5"/>
        <w:rPr>
          <w:rFonts w:hint="eastAsia"/>
          <w:lang w:eastAsia="zh-CN"/>
        </w:rPr>
      </w:pPr>
      <w:bookmarkStart w:id="55" w:name="包容性c_4"/>
      <w:r>
        <w:rPr>
          <w:rStyle w:val="62"/>
          <w:rFonts w:ascii="黑体" w:hAnsi="黑体" w:eastAsia="黑体"/>
          <w:lang w:eastAsia="zh-CN"/>
        </w:rPr>
        <w:t>3.3.4</w:t>
      </w:r>
      <w:r>
        <w:rPr>
          <w:lang w:eastAsia="zh-CN"/>
        </w:rPr>
        <w:tab/>
      </w:r>
      <w:r>
        <w:rPr>
          <w:lang w:eastAsia="zh-CN"/>
        </w:rPr>
        <w:t>包容性</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4</m:t>
            </m:r>
            <m:ctrlPr>
              <w:rPr>
                <w:rFonts w:ascii="Cambria Math" w:hAnsi="Cambria Math"/>
              </w:rPr>
            </m:ctrlPr>
          </m:sub>
        </m:sSub>
      </m:oMath>
    </w:p>
    <w:p w14:paraId="3846E93B">
      <w:pPr>
        <w:pStyle w:val="35"/>
        <w:ind w:firstLine="480"/>
        <w:rPr>
          <w:lang w:eastAsia="zh-CN"/>
        </w:rPr>
      </w:pPr>
      <w:r>
        <w:rPr>
          <w:lang w:eastAsia="zh-CN"/>
        </w:rPr>
        <w:t>包容性衡量项目跨越不同奥运时代的能力、项目内部多样性以及对残奥运动和发展中国家的覆盖程度，下设3个子指标：</w:t>
      </w:r>
    </w:p>
    <w:p w14:paraId="136E5B98">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有设项的历史时期数</m:t>
            </m:r>
            <m:ctrlPr>
              <w:rPr>
                <w:rFonts w:ascii="Cambria Math" w:hAnsi="Cambria Math"/>
              </w:rPr>
            </m:ctrlPr>
          </m:num>
          <m:den>
            <m:r>
              <m:rPr/>
              <w:rPr>
                <w:rFonts w:ascii="Cambria Math" w:hAnsi="Cambria Math"/>
              </w:rPr>
              <m:t>3</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(3.13)</w:t>
      </w:r>
    </w:p>
    <w:p w14:paraId="0BBCA3EC">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该项目包含的分项数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分项数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(3.14)</w:t>
      </w:r>
    </w:p>
    <w:p w14:paraId="5EE95612">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有对应残奥项目</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(3.15)</w:t>
      </w:r>
    </w:p>
    <w:p w14:paraId="3897D95D">
      <w:pPr>
        <w:pStyle w:val="35"/>
        <w:ind w:firstLine="480"/>
        <w:rPr>
          <w:lang w:eastAsia="zh-CN"/>
        </w:rPr>
      </w:pPr>
      <w:r>
        <w:rPr>
          <w:rFonts w:hint="eastAsia"/>
          <w:lang w:val="en-US" w:eastAsia="zh-CN"/>
        </w:rPr>
        <w:t>本文将</w:t>
      </w:r>
      <w:r>
        <w:rPr>
          <w:rFonts w:hint="eastAsia"/>
          <w:lang w:eastAsia="zh-CN"/>
        </w:rPr>
        <w:t>历史时期分为早期1896</w:t>
      </w:r>
      <w:r>
        <w:rPr>
          <w:rFonts w:hint="eastAsia"/>
          <w:lang w:val="en-US" w:eastAsia="zh-CN"/>
        </w:rPr>
        <w:t>年到</w:t>
      </w:r>
      <w:r>
        <w:rPr>
          <w:rFonts w:hint="eastAsia"/>
          <w:lang w:eastAsia="zh-CN"/>
        </w:rPr>
        <w:t>1936</w:t>
      </w:r>
      <w:r>
        <w:rPr>
          <w:rFonts w:hint="eastAsia"/>
          <w:lang w:val="en-US" w:eastAsia="zh-CN"/>
        </w:rPr>
        <w:t>年</w:t>
      </w:r>
      <w:r>
        <w:rPr>
          <w:rFonts w:hint="eastAsia"/>
          <w:lang w:eastAsia="zh-CN"/>
        </w:rPr>
        <w:t>、中期1948</w:t>
      </w:r>
      <w:r>
        <w:rPr>
          <w:rFonts w:hint="eastAsia"/>
          <w:lang w:val="en-US" w:eastAsia="zh-CN"/>
        </w:rPr>
        <w:t>年到</w:t>
      </w:r>
      <w:r>
        <w:rPr>
          <w:rFonts w:hint="eastAsia"/>
          <w:lang w:eastAsia="zh-CN"/>
        </w:rPr>
        <w:t>1988</w:t>
      </w:r>
      <w:r>
        <w:rPr>
          <w:rFonts w:hint="eastAsia"/>
          <w:lang w:val="en-US" w:eastAsia="zh-CN"/>
        </w:rPr>
        <w:t>年</w:t>
      </w:r>
      <w:r>
        <w:rPr>
          <w:rFonts w:hint="eastAsia"/>
          <w:lang w:eastAsia="zh-CN"/>
        </w:rPr>
        <w:t>和近期1992</w:t>
      </w:r>
      <w:r>
        <w:rPr>
          <w:rFonts w:hint="eastAsia"/>
          <w:lang w:val="en-US" w:eastAsia="zh-CN"/>
        </w:rPr>
        <w:t>年到2028年，</w:t>
      </w:r>
      <w:r>
        <w:rPr>
          <w:rFonts w:hint="eastAsia"/>
          <w:lang w:eastAsia="zh-CN"/>
        </w:rPr>
        <w:t>早期以第二次世界大战为界，中期</w:t>
      </w:r>
      <w:r>
        <w:rPr>
          <w:rFonts w:hint="eastAsia"/>
          <w:lang w:val="en-US" w:eastAsia="zh-CN"/>
        </w:rPr>
        <w:t>则</w:t>
      </w:r>
      <w:r>
        <w:rPr>
          <w:rFonts w:hint="eastAsia"/>
          <w:lang w:eastAsia="zh-CN"/>
        </w:rPr>
        <w:t>涵盖战后制度完善</w:t>
      </w:r>
      <w:r>
        <w:rPr>
          <w:rFonts w:hint="eastAsia"/>
          <w:lang w:val="en-US" w:eastAsia="zh-CN"/>
        </w:rPr>
        <w:t>的时</w:t>
      </w:r>
      <w:r>
        <w:rPr>
          <w:rFonts w:hint="eastAsia"/>
          <w:lang w:eastAsia="zh-CN"/>
        </w:rPr>
        <w:t>期，近期</w:t>
      </w:r>
      <w:r>
        <w:rPr>
          <w:rFonts w:hint="eastAsia"/>
          <w:lang w:val="en-US" w:eastAsia="zh-CN"/>
        </w:rPr>
        <w:t>则</w:t>
      </w:r>
      <w:r>
        <w:rPr>
          <w:rFonts w:hint="eastAsia"/>
          <w:lang w:eastAsia="zh-CN"/>
        </w:rPr>
        <w:t>对应冷战结束后的商业化与全球化阶段。</w:t>
      </w:r>
      <w:r>
        <w:rPr>
          <w:lang w:eastAsia="zh-CN"/>
        </w:rPr>
        <w:t xml:space="preserve"> </w:t>
      </w:r>
      <w:r>
        <w:rPr>
          <w:rFonts w:hint="eastAsia"/>
          <w:lang w:eastAsia="zh-CN"/>
        </w:rPr>
        <w:t>数据来源于HiMCM历史设项数据和IPC官方列表</w:t>
      </w:r>
      <w:r>
        <w:rPr>
          <w:vertAlign w:val="superscript"/>
          <w:lang w:eastAsia="zh-CN"/>
        </w:rPr>
        <w:t>[14]</w:t>
      </w:r>
      <w:r>
        <w:rPr>
          <w:lang w:eastAsia="zh-CN"/>
        </w:rPr>
        <w:t>。</w:t>
      </w:r>
    </w:p>
    <w:p w14:paraId="347AA30C">
      <w:pPr>
        <w:pStyle w:val="35"/>
        <w:ind w:firstLine="480"/>
        <w:rPr>
          <w:lang w:eastAsia="zh-CN"/>
        </w:rPr>
      </w:pPr>
      <w:r>
        <w:rPr>
          <w:rFonts w:hint="eastAsia"/>
          <w:lang w:eastAsia="zh-CN"/>
        </w:rPr>
        <w:t>包容性的设计逻辑是，一个包容性高的项目应跨越时代、形式多样且覆盖广泛人群。</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41</m:t>
            </m:r>
            <m:ctrlPr>
              <w:rPr>
                <w:rFonts w:ascii="Cambria Math" w:hAnsi="Cambria Math"/>
              </w:rPr>
            </m:ctrlPr>
          </m:sub>
        </m:sSub>
      </m:oMath>
      <w:r>
        <w:rPr>
          <w:rFonts w:hint="eastAsia" w:hAnsi="Cambria Math"/>
          <w:i w:val="0"/>
          <w:lang w:val="en-US" w:eastAsia="zh-CN"/>
        </w:rPr>
        <w:t xml:space="preserve"> </w:t>
      </w:r>
      <w:r>
        <w:rPr>
          <w:rFonts w:hint="eastAsia"/>
          <w:lang w:eastAsia="zh-CN"/>
        </w:rPr>
        <w:t>将奥运历史分为三段，若项目在三段均有设项则得满分1.0，仅在两段或一段有设项则按比例扣分，</w:t>
      </w:r>
      <w:r>
        <w:rPr>
          <w:rFonts w:hint="eastAsia"/>
          <w:lang w:val="en-US" w:eastAsia="zh-CN"/>
        </w:rPr>
        <w:t>例如</w:t>
      </w:r>
      <w:r>
        <w:rPr>
          <w:rFonts w:hint="eastAsia"/>
          <w:lang w:eastAsia="zh-CN"/>
        </w:rPr>
        <w:t>田径从1896年起未</w:t>
      </w:r>
      <w:r>
        <w:rPr>
          <w:rFonts w:hint="eastAsia"/>
          <w:lang w:val="en-US" w:eastAsia="zh-CN"/>
        </w:rPr>
        <w:t>曾</w:t>
      </w:r>
      <w:r>
        <w:rPr>
          <w:rFonts w:hint="eastAsia"/>
          <w:lang w:eastAsia="zh-CN"/>
        </w:rPr>
        <w:t>中断得1.0</w:t>
      </w:r>
      <w:r>
        <w:rPr>
          <w:rFonts w:hint="eastAsia"/>
          <w:lang w:val="en-US" w:eastAsia="zh-CN"/>
        </w:rPr>
        <w:t xml:space="preserve"> 满分</w:t>
      </w:r>
      <w:r>
        <w:rPr>
          <w:rFonts w:hint="eastAsia"/>
          <w:lang w:eastAsia="zh-CN"/>
        </w:rPr>
        <w:t>，霹雳舞仅近期有设项，这种分段设计参考了历史学界对奥运发展阶段的划分。</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42</m:t>
            </m:r>
            <m:ctrlPr>
              <w:rPr>
                <w:rFonts w:ascii="Cambria Math" w:hAnsi="Cambria Math"/>
              </w:rPr>
            </m:ctrlPr>
          </m:sub>
        </m:sSub>
      </m:oMath>
      <w:r>
        <w:rPr>
          <w:rFonts w:hint="eastAsia" w:hAnsi="Cambria Math"/>
          <w:i w:val="0"/>
          <w:lang w:val="en-US" w:eastAsia="zh-CN"/>
        </w:rPr>
        <w:t xml:space="preserve"> </w:t>
      </w:r>
      <w:r>
        <w:rPr>
          <w:rFonts w:hint="eastAsia"/>
          <w:lang w:eastAsia="zh-CN"/>
        </w:rPr>
        <w:t>用分项数量衡量项目内部多样性，例如田径包含</w:t>
      </w:r>
      <w:r>
        <w:rPr>
          <w:rFonts w:hint="eastAsia"/>
          <w:lang w:val="en-US" w:eastAsia="zh-CN"/>
        </w:rPr>
        <w:t>了</w:t>
      </w:r>
      <w:r>
        <w:rPr>
          <w:rFonts w:hint="eastAsia"/>
          <w:lang w:eastAsia="zh-CN"/>
        </w:rPr>
        <w:t>48个分项，而冲浪仅2个分项，前者显然在内部结构上更具包容性。</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43</m:t>
            </m:r>
            <m:ctrlPr>
              <w:rPr>
                <w:rFonts w:ascii="Cambria Math" w:hAnsi="Cambria Math"/>
              </w:rPr>
            </m:ctrlPr>
          </m:sub>
        </m:sSub>
      </m:oMath>
      <w:r>
        <w:rPr>
          <w:rFonts w:hint="eastAsia" w:hAnsi="Cambria Math"/>
          <w:i w:val="0"/>
          <w:lang w:val="en-US" w:eastAsia="zh-CN"/>
        </w:rPr>
        <w:t xml:space="preserve"> </w:t>
      </w:r>
      <w:r>
        <w:rPr>
          <w:rFonts w:hint="eastAsia"/>
          <w:lang w:eastAsia="zh-CN"/>
        </w:rPr>
        <w:t>直接采用国际残奥委会公布的23个夏季残奥项目列表</w:t>
      </w:r>
      <w:r>
        <w:rPr>
          <w:vertAlign w:val="superscript"/>
          <w:lang w:eastAsia="zh-CN"/>
        </w:rPr>
        <w:t>[14]</w:t>
      </w:r>
      <w:r>
        <w:rPr>
          <w:rFonts w:hint="eastAsia"/>
          <w:lang w:eastAsia="zh-CN"/>
        </w:rPr>
        <w:t>进行判定，这是IOC官方认可的标准。</w:t>
      </w:r>
    </w:p>
    <w:bookmarkEnd w:id="55"/>
    <w:p w14:paraId="74D1A00C">
      <w:pPr>
        <w:pStyle w:val="5"/>
        <w:rPr>
          <w:rFonts w:hint="eastAsia"/>
          <w:lang w:eastAsia="zh-CN"/>
        </w:rPr>
      </w:pPr>
      <w:bookmarkStart w:id="56" w:name="创新性c_5"/>
      <w:r>
        <w:rPr>
          <w:rStyle w:val="62"/>
          <w:rFonts w:ascii="黑体" w:hAnsi="黑体" w:eastAsia="黑体"/>
          <w:lang w:eastAsia="zh-CN"/>
        </w:rPr>
        <w:t>3.3.5</w:t>
      </w:r>
      <w:r>
        <w:rPr>
          <w:lang w:eastAsia="zh-CN"/>
        </w:rPr>
        <w:tab/>
      </w:r>
      <w:r>
        <w:rPr>
          <w:lang w:eastAsia="zh-CN"/>
        </w:rPr>
        <w:t>创新性</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5</m:t>
            </m:r>
            <m:ctrlPr>
              <w:rPr>
                <w:rFonts w:ascii="Cambria Math" w:hAnsi="Cambria Math"/>
              </w:rPr>
            </m:ctrlPr>
          </m:sub>
        </m:sSub>
      </m:oMath>
    </w:p>
    <w:p w14:paraId="28F5D0B1">
      <w:pPr>
        <w:pStyle w:val="35"/>
        <w:ind w:firstLine="480"/>
        <w:rPr>
          <w:lang w:eastAsia="zh-CN"/>
        </w:rPr>
      </w:pPr>
      <w:r>
        <w:rPr>
          <w:lang w:eastAsia="zh-CN"/>
        </w:rPr>
        <w:t>创新性衡量项目的新颖程度和赛制变化</w:t>
      </w:r>
      <w:r>
        <w:rPr>
          <w:rFonts w:hint="eastAsia"/>
          <w:lang w:val="en-US" w:eastAsia="zh-CN"/>
        </w:rPr>
        <w:t>的</w:t>
      </w:r>
      <w:r>
        <w:rPr>
          <w:lang w:eastAsia="zh-CN"/>
        </w:rPr>
        <w:t>活力，下设2个子指标：</w:t>
      </w:r>
    </w:p>
    <w:p w14:paraId="7953D22A">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51</m:t>
            </m:r>
            <m:ctrlPr>
              <w:rPr>
                <w:rFonts w:ascii="Cambria Math" w:hAnsi="Cambria Math"/>
              </w:rPr>
            </m:ctrlPr>
          </m:sub>
        </m:sSub>
        <m:r>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2028−</m:t>
                </m:r>
                <m:r>
                  <m:rPr>
                    <m:sty m:val="p"/>
                  </m:rPr>
                  <w:rPr>
                    <w:rFonts w:hint="eastAsia" w:ascii="宋体" w:hAnsi="宋体" w:eastAsia="宋体" w:cs="宋体"/>
                  </w:rPr>
                  <m:t>首次入奥年份</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rPr>
                  <m:t>2028−1896</m:t>
                </m:r>
                <m:ctrlPr>
                  <w:rPr>
                    <w:rFonts w:ascii="Cambria Math" w:hAnsi="Cambria Math"/>
                  </w:rPr>
                </m:ctrlPr>
              </m:e>
            </m:d>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(3.16)</w:t>
      </w:r>
    </w:p>
    <w:p w14:paraId="1FB29A7C">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52</m:t>
            </m:r>
            <m:ctrlPr>
              <w:rPr>
                <w:rFonts w:ascii="Cambria Math" w:hAnsi="Cambria Math"/>
              </w:rPr>
            </m:ctrlPr>
          </m:sub>
        </m:sSub>
        <m:r>
          <m:rPr/>
          <w:rPr>
            <w:rFonts w:ascii="Cambria Math" w:hAnsi="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4</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(3.17)</w:t>
      </w:r>
    </w:p>
    <w:p w14:paraId="21DD3907">
      <w:pPr>
        <w:pStyle w:val="35"/>
        <w:ind w:firstLine="480"/>
        <w:rPr>
          <w:lang w:eastAsia="zh-CN"/>
        </w:rPr>
      </w:pPr>
      <w:r>
        <w:rPr>
          <w:rFonts w:hint="eastAsia"/>
          <w:lang w:eastAsia="zh-CN"/>
        </w:rPr>
        <w:t>其中首次入奥年份</w:t>
      </w:r>
      <w:r>
        <w:rPr>
          <w:rFonts w:hint="eastAsia"/>
          <w:lang w:val="en-US" w:eastAsia="zh-CN"/>
        </w:rPr>
        <w:t>的数据</w:t>
      </w:r>
      <w:r>
        <w:rPr>
          <w:rFonts w:hint="eastAsia"/>
          <w:lang w:eastAsia="zh-CN"/>
        </w:rPr>
        <w:t>来源于Olympedia历史数据库</w:t>
      </w:r>
      <w:r>
        <w:rPr>
          <w:vertAlign w:val="superscript"/>
          <w:lang w:eastAsia="zh-CN"/>
        </w:rPr>
        <w:t>[21]</w:t>
      </w:r>
      <w:r>
        <w:rPr>
          <w:lang w:eastAsia="zh-CN"/>
        </w:rPr>
        <w:t>。</w:t>
      </w:r>
    </w:p>
    <w:p w14:paraId="3EE17AF0">
      <w:pPr>
        <w:pStyle w:val="35"/>
        <w:ind w:firstLine="480"/>
        <w:rPr>
          <w:lang w:eastAsia="zh-CN"/>
        </w:rPr>
      </w:pPr>
      <w:r>
        <w:rPr>
          <w:rFonts w:hint="eastAsia"/>
          <w:lang w:eastAsia="zh-CN"/>
        </w:rPr>
        <w:t>评估赛事的创新性面临着同时衡量新颖程度与变化程度的挑战。在衡量新颖程度方面，</w:t>
      </w:r>
      <w:r>
        <w:rPr>
          <w:rFonts w:hint="eastAsia"/>
          <w:lang w:val="en-US" w:eastAsia="zh-CN"/>
        </w:rPr>
        <w:t>本研究</w:t>
      </w:r>
      <w:r>
        <w:rPr>
          <w:rFonts w:hint="eastAsia"/>
          <w:lang w:eastAsia="zh-CN"/>
        </w:rPr>
        <w:t>使用首次入选奥运会距今年限的反向标准化</w:t>
      </w:r>
      <w:r>
        <w:rPr>
          <w:rFonts w:hint="eastAsia"/>
          <w:lang w:val="en-US" w:eastAsia="zh-CN"/>
        </w:rPr>
        <w:t>数值，</w:t>
      </w:r>
      <w:r>
        <w:rPr>
          <w:rFonts w:hint="eastAsia"/>
          <w:lang w:eastAsia="zh-CN"/>
        </w:rPr>
        <w:t>如1896年入奥的田径项目得分会趋近于零，而2024年最新入奥的霹雳舞项目得分则趋近于一。</w:t>
      </w:r>
      <w:r>
        <w:rPr>
          <w:rFonts w:hint="eastAsia"/>
          <w:lang w:val="en-US" w:eastAsia="zh-CN"/>
        </w:rPr>
        <w:t>由于</w:t>
      </w:r>
      <w:r>
        <w:rPr>
          <w:rFonts w:hint="eastAsia"/>
          <w:lang w:eastAsia="zh-CN"/>
        </w:rPr>
        <w:t>增设和缩减</w:t>
      </w:r>
      <w:r>
        <w:rPr>
          <w:rFonts w:hint="eastAsia"/>
          <w:lang w:val="en-US" w:eastAsia="zh-CN"/>
        </w:rPr>
        <w:t>项目</w:t>
      </w:r>
      <w:r>
        <w:rPr>
          <w:rFonts w:hint="eastAsia"/>
          <w:lang w:eastAsia="zh-CN"/>
        </w:rPr>
        <w:t>均代表</w:t>
      </w:r>
      <w:r>
        <w:rPr>
          <w:rFonts w:hint="eastAsia"/>
          <w:lang w:val="en-US" w:eastAsia="zh-CN"/>
        </w:rPr>
        <w:t>着</w:t>
      </w:r>
      <w:r>
        <w:rPr>
          <w:rFonts w:hint="eastAsia"/>
          <w:lang w:eastAsia="zh-CN"/>
        </w:rPr>
        <w:t>赛制处于高度活跃</w:t>
      </w:r>
      <w:r>
        <w:rPr>
          <w:rFonts w:hint="eastAsia"/>
          <w:lang w:val="en-US" w:eastAsia="zh-CN"/>
        </w:rPr>
        <w:t>的</w:t>
      </w:r>
      <w:r>
        <w:rPr>
          <w:rFonts w:hint="eastAsia"/>
          <w:lang w:eastAsia="zh-CN"/>
        </w:rPr>
        <w:t>状态。例如电子竞技由表演赛转为正赛，以及空手道小项由八个锐减至清零，都直接反映了赛制的变动，</w:t>
      </w:r>
      <w:r>
        <w:rPr>
          <w:rFonts w:hint="eastAsia"/>
          <w:lang w:val="en-US" w:eastAsia="zh-CN"/>
        </w:rPr>
        <w:t>所以</w:t>
      </w:r>
      <w:r>
        <w:rPr>
          <w:rFonts w:hint="eastAsia"/>
          <w:lang w:eastAsia="zh-CN"/>
        </w:rPr>
        <w:t>在衡量变化程度方面，</w:t>
      </w:r>
      <w:r>
        <w:rPr>
          <w:rFonts w:hint="eastAsia"/>
          <w:lang w:val="en-US" w:eastAsia="zh-CN"/>
        </w:rPr>
        <w:t>本研究选择</w:t>
      </w:r>
      <w:r>
        <w:rPr>
          <w:rFonts w:hint="eastAsia"/>
          <w:lang w:eastAsia="zh-CN"/>
        </w:rPr>
        <w:t>提取近四届奥运会设项数量变化率的绝对值</w:t>
      </w:r>
      <w:r>
        <w:rPr>
          <w:rFonts w:hint="eastAsia"/>
          <w:lang w:val="en-US" w:eastAsia="zh-CN"/>
        </w:rPr>
        <w:t>作为指标衡量的公式</w:t>
      </w:r>
      <w:r>
        <w:rPr>
          <w:rFonts w:hint="eastAsia"/>
          <w:lang w:eastAsia="zh-CN"/>
        </w:rPr>
        <w:t>。</w:t>
      </w:r>
    </w:p>
    <w:bookmarkEnd w:id="56"/>
    <w:p w14:paraId="6B362845">
      <w:pPr>
        <w:pStyle w:val="5"/>
        <w:rPr>
          <w:rFonts w:hint="eastAsia"/>
          <w:lang w:eastAsia="zh-CN"/>
        </w:rPr>
      </w:pPr>
      <w:bookmarkStart w:id="57" w:name="安全性c_6"/>
      <w:r>
        <w:rPr>
          <w:rStyle w:val="62"/>
          <w:rFonts w:ascii="黑体" w:hAnsi="黑体" w:eastAsia="黑体"/>
          <w:lang w:eastAsia="zh-CN"/>
        </w:rPr>
        <w:t>3.3.6</w:t>
      </w:r>
      <w:r>
        <w:rPr>
          <w:lang w:eastAsia="zh-CN"/>
        </w:rPr>
        <w:tab/>
      </w:r>
      <w:r>
        <w:rPr>
          <w:lang w:eastAsia="zh-CN"/>
        </w:rPr>
        <w:t>安全性</w:t>
      </w:r>
      <w:r>
        <w:rPr>
          <w:rFonts w:hint="eastAsia"/>
          <w:lang w:val="en-US"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6</m:t>
            </m:r>
            <m:ctrlPr>
              <w:rPr>
                <w:rFonts w:ascii="Cambria Math" w:hAnsi="Cambria Math"/>
              </w:rPr>
            </m:ctrlPr>
          </m:sub>
        </m:sSub>
      </m:oMath>
    </w:p>
    <w:p w14:paraId="17B3CC2A">
      <w:pPr>
        <w:pStyle w:val="35"/>
        <w:ind w:firstLine="480"/>
        <w:rPr>
          <w:lang w:eastAsia="zh-CN"/>
        </w:rPr>
      </w:pPr>
      <w:r>
        <w:rPr>
          <w:rFonts w:hint="eastAsia"/>
          <w:lang w:eastAsia="zh-CN"/>
        </w:rPr>
        <w:t>安全性从运动员健康</w:t>
      </w:r>
      <w:r>
        <w:rPr>
          <w:rFonts w:hint="eastAsia"/>
          <w:lang w:val="en-US" w:eastAsia="zh-CN"/>
        </w:rPr>
        <w:t>的</w:t>
      </w:r>
      <w:r>
        <w:rPr>
          <w:rFonts w:hint="eastAsia"/>
          <w:lang w:eastAsia="zh-CN"/>
        </w:rPr>
        <w:t>保护角度反向衡量项目的受伤风险，下设2个子指标：</w:t>
      </w:r>
    </w:p>
    <w:p w14:paraId="67AC2CB7">
      <w:pPr>
        <w:pStyle w:val="95"/>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61</m:t>
            </m:r>
            <m:ctrlPr>
              <w:rPr>
                <w:rFonts w:ascii="Cambria Math" w:hAnsi="Cambria Math"/>
              </w:rPr>
            </m:ctrlPr>
          </m:sub>
        </m:sSub>
        <m:r>
          <m:rPr>
            <m:sty m:val="p"/>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num>
          <m:den>
            <m:d>
              <m:dPr>
                <m:ctrlPr>
                  <w:rPr>
                    <w:rFonts w:ascii="Cambria Math" w:hAnsi="Cambria Math"/>
                  </w:rPr>
                </m:ctrlPr>
              </m:dPr>
              <m:e>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den>
        </m:f>
        <m:r>
          <m:rPr/>
          <w:rPr>
            <w:rFonts w:ascii="Cambria Math" w:hAnsi="Cambria Math"/>
          </w:rPr>
          <m:t xml:space="preserve"> </m:t>
        </m:r>
      </m:oMath>
      <w:r>
        <w:rPr>
          <w:rFonts w:hint="eastAsia" w:eastAsiaTheme="minorEastAsia"/>
        </w:rPr>
        <w:t xml:space="preserve"> ,</w:t>
      </w:r>
      <w:r>
        <w:rPr>
          <w:rFonts w:eastAsiaTheme="minorEastAsia"/>
        </w:rPr>
        <w:tab/>
      </w:r>
      <w:r>
        <w:rPr>
          <w:rFonts w:eastAsiaTheme="minorEastAsia"/>
        </w:rPr>
        <w:tab/>
      </w:r>
      <w:r>
        <w:rPr>
          <w:sz w:val="20"/>
        </w:rPr>
        <w:t>(3.18)</w:t>
      </w:r>
    </w:p>
    <w:p w14:paraId="533C50EE">
      <w:pPr>
        <w:pStyle w:val="95"/>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62</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1.00,</m:t>
                </m:r>
                <m:r>
                  <m:rPr>
                    <m:sty m:val="p"/>
                  </m:rPr>
                  <w:rPr>
                    <w:rFonts w:hint="eastAsia" w:ascii="宋体" w:hAnsi="宋体" w:eastAsia="宋体" w:cs="宋体"/>
                  </w:rPr>
                  <m:t>非接触性运动</m:t>
                </m:r>
                <m:ctrlPr>
                  <w:rPr>
                    <w:rFonts w:ascii="Cambria Math" w:hAnsi="Cambria Math"/>
                  </w:rPr>
                </m:ctrlPr>
              </m:e>
              <m:e>
                <m:r>
                  <m:rPr/>
                  <w:rPr>
                    <w:rFonts w:ascii="Cambria Math" w:hAnsi="Cambria Math"/>
                  </w:rPr>
                  <m:t>0.66,</m:t>
                </m:r>
                <m:r>
                  <m:rPr>
                    <m:sty m:val="p"/>
                  </m:rPr>
                  <w:rPr>
                    <w:rFonts w:hint="eastAsia" w:ascii="宋体" w:hAnsi="宋体" w:eastAsia="宋体" w:cs="宋体"/>
                  </w:rPr>
                  <m:t>有限接触性运动</m:t>
                </m:r>
                <m:ctrlPr>
                  <w:rPr>
                    <w:rFonts w:ascii="Cambria Math" w:hAnsi="Cambria Math"/>
                  </w:rPr>
                </m:ctrlPr>
              </m:e>
              <m:e>
                <m:r>
                  <m:rPr/>
                  <w:rPr>
                    <w:rFonts w:ascii="Cambria Math" w:hAnsi="Cambria Math"/>
                  </w:rPr>
                  <m:t>0.33,</m:t>
                </m:r>
                <m:r>
                  <m:rPr>
                    <m:sty m:val="p"/>
                  </m:rPr>
                  <w:rPr>
                    <w:rFonts w:hint="eastAsia" w:ascii="宋体" w:hAnsi="宋体" w:eastAsia="宋体" w:cs="宋体"/>
                  </w:rPr>
                  <m:t>全接触性运动</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(3.19)</w:t>
      </w:r>
    </w:p>
    <w:p w14:paraId="517B98B7">
      <w:pPr>
        <w:pStyle w:val="35"/>
        <w:ind w:firstLine="480"/>
        <w:rPr>
          <w:lang w:eastAsia="zh-CN"/>
        </w:rPr>
      </w:pPr>
      <w:r>
        <w:rPr>
          <w:rFonts w:ascii="宋体" w:hAnsi="宋体" w:eastAsia="宋体" w:cs="宋体"/>
          <w:sz w:val="24"/>
          <w:szCs w:val="24"/>
        </w:rPr>
        <w:t>受伤率的底层数据来源于学术数据库收录的系统综述与综合定量分析</w:t>
      </w:r>
      <w:r>
        <w:rPr>
          <w:vertAlign w:val="superscript"/>
          <w:lang w:eastAsia="zh-CN"/>
        </w:rPr>
        <w:t>[4,9,10]</w:t>
      </w:r>
      <w:r>
        <w:rPr>
          <w:rFonts w:ascii="宋体" w:hAnsi="宋体" w:eastAsia="宋体" w:cs="宋体"/>
          <w:sz w:val="24"/>
          <w:szCs w:val="24"/>
        </w:rPr>
        <w:t>。</w:t>
      </w:r>
      <w:r>
        <w:rPr>
          <w:rFonts w:hint="eastAsia" w:ascii="宋体" w:hAnsi="宋体" w:eastAsia="宋体" w:cs="宋体"/>
          <w:sz w:val="24"/>
          <w:szCs w:val="24"/>
          <w:lang w:val="en-US" w:eastAsia="zh-CN"/>
        </w:rPr>
        <w:t>在具体计算</w:t>
      </w:r>
      <w:r>
        <w:rPr>
          <w:rFonts w:ascii="宋体" w:hAnsi="宋体" w:eastAsia="宋体" w:cs="宋体"/>
          <w:sz w:val="24"/>
          <w:szCs w:val="24"/>
        </w:rPr>
        <w:t>中</w:t>
      </w:r>
      <w:r>
        <w:rPr>
          <w:rFonts w:hint="eastAsia" w:ascii="宋体" w:hAnsi="宋体" w:eastAsia="宋体" w:cs="宋体"/>
          <w:sz w:val="24"/>
          <w:szCs w:val="24"/>
          <w:lang w:val="en-US" w:eastAsia="zh-CN"/>
        </w:rPr>
        <w:t>也</w:t>
      </w:r>
      <w:r>
        <w:rPr>
          <w:rFonts w:ascii="宋体" w:hAnsi="宋体" w:eastAsia="宋体" w:cs="宋体"/>
          <w:sz w:val="24"/>
          <w:szCs w:val="24"/>
        </w:rPr>
        <w:t>采用反向标准化映射，从而实现受伤概率越低则安全得分越高的评估效果。此外，</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62</m:t>
            </m:r>
            <m:ctrlPr>
              <w:rPr>
                <w:rFonts w:ascii="Cambria Math" w:hAnsi="Cambria Math"/>
              </w:rPr>
            </m:ctrlPr>
          </m:sub>
        </m:sSub>
      </m:oMath>
      <w:r>
        <w:rPr>
          <w:rFonts w:hint="eastAsia" w:hAnsi="Cambria Math"/>
          <w:i w:val="0"/>
          <w:lang w:val="en-US" w:eastAsia="zh-CN"/>
        </w:rPr>
        <w:t xml:space="preserve"> </w:t>
      </w:r>
      <w:r>
        <w:rPr>
          <w:rFonts w:hint="eastAsia" w:eastAsia="宋体"/>
          <w:lang w:eastAsia="zh-CN"/>
        </w:rPr>
        <w:t>参考美国儿科学会AAP的运动分类标准</w:t>
      </w:r>
      <w:r>
        <w:rPr>
          <w:vertAlign w:val="superscript"/>
          <w:lang w:eastAsia="zh-CN"/>
        </w:rPr>
        <w:t>[26]</w:t>
      </w:r>
      <w:r>
        <w:rPr>
          <w:rFonts w:hint="eastAsia" w:eastAsia="宋体"/>
          <w:lang w:eastAsia="zh-CN"/>
        </w:rPr>
        <w:t>将运动分为非接触性、有限接触性和全接触性三类</w:t>
      </w:r>
      <w:r>
        <w:rPr>
          <w:rFonts w:hint="eastAsia"/>
          <w:lang w:eastAsia="zh-CN"/>
        </w:rPr>
        <w:t>，</w:t>
      </w:r>
      <w:r>
        <w:rPr>
          <w:rFonts w:hint="eastAsia"/>
          <w:lang w:val="en-US" w:eastAsia="zh-CN"/>
        </w:rPr>
        <w:t>根据分类的不同为指标赋予不同的数值</w:t>
      </w:r>
      <w:r>
        <w:rPr>
          <w:rFonts w:hint="eastAsia" w:eastAsia="宋体"/>
          <w:lang w:eastAsia="zh-CN"/>
        </w:rPr>
        <w:t>。</w:t>
      </w:r>
      <w:r>
        <w:rPr>
          <w:rFonts w:ascii="宋体" w:hAnsi="宋体" w:eastAsia="宋体" w:cs="宋体"/>
          <w:sz w:val="24"/>
          <w:szCs w:val="24"/>
        </w:rPr>
        <w:t>这一设计的初衷在于填补</w:t>
      </w:r>
      <w:r>
        <w:rPr>
          <w:rFonts w:hint="eastAsia" w:ascii="宋体" w:hAnsi="宋体" w:eastAsia="宋体" w:cs="宋体"/>
          <w:sz w:val="24"/>
          <w:szCs w:val="24"/>
          <w:lang w:val="en-US" w:eastAsia="zh-CN"/>
        </w:rPr>
        <w:t>现有</w:t>
      </w:r>
      <w:r>
        <w:rPr>
          <w:rFonts w:ascii="宋体" w:hAnsi="宋体" w:eastAsia="宋体" w:cs="宋体"/>
          <w:sz w:val="24"/>
          <w:szCs w:val="24"/>
        </w:rPr>
        <w:t>医学文献对电子竞技和霹雳舞等新兴运动覆盖不足的缺陷。以电子竞技为例，现有研究多仅记录选手的过劳损伤而缺乏急性外伤数据，若单纯依赖文献会得出极高安全性评分。</w:t>
      </w:r>
    </w:p>
    <w:bookmarkEnd w:id="51"/>
    <w:bookmarkEnd w:id="57"/>
    <w:p w14:paraId="0EE1AEBF">
      <w:pPr>
        <w:pStyle w:val="4"/>
        <w:rPr>
          <w:rFonts w:hint="eastAsia"/>
          <w:lang w:eastAsia="zh-CN"/>
        </w:rPr>
      </w:pPr>
      <w:bookmarkStart w:id="58" w:name="_Toc229523241"/>
      <w:bookmarkStart w:id="59" w:name="ahp主观权重"/>
      <w:r>
        <w:rPr>
          <w:rStyle w:val="62"/>
          <w:rFonts w:ascii="黑体" w:hAnsi="黑体" w:eastAsia="黑体"/>
          <w:sz w:val="28"/>
          <w:szCs w:val="28"/>
          <w:lang w:eastAsia="zh-CN"/>
        </w:rPr>
        <w:t>3.4</w:t>
      </w:r>
      <w:r>
        <w:rPr>
          <w:lang w:eastAsia="zh-CN"/>
        </w:rPr>
        <w:tab/>
      </w:r>
      <w:r>
        <w:rPr>
          <w:lang w:eastAsia="zh-CN"/>
        </w:rPr>
        <w:t>AHP主观权重</w:t>
      </w:r>
      <w:bookmarkEnd w:id="58"/>
    </w:p>
    <w:p w14:paraId="02F97E9A">
      <w:pPr>
        <w:pStyle w:val="5"/>
        <w:rPr>
          <w:rFonts w:hint="eastAsia"/>
          <w:lang w:eastAsia="zh-CN"/>
        </w:rPr>
      </w:pPr>
      <w:bookmarkStart w:id="60" w:name="判断矩阵构建"/>
      <w:r>
        <w:rPr>
          <w:rStyle w:val="62"/>
          <w:rFonts w:ascii="黑体" w:hAnsi="黑体" w:eastAsia="黑体"/>
          <w:lang w:eastAsia="zh-CN"/>
        </w:rPr>
        <w:t>3.4.1</w:t>
      </w:r>
      <w:r>
        <w:rPr>
          <w:lang w:eastAsia="zh-CN"/>
        </w:rPr>
        <w:tab/>
      </w:r>
      <w:r>
        <w:rPr>
          <w:lang w:eastAsia="zh-CN"/>
        </w:rPr>
        <w:t>判断矩阵构建</w:t>
      </w:r>
    </w:p>
    <w:p w14:paraId="387A89AD">
      <w:pPr>
        <w:pStyle w:val="35"/>
        <w:ind w:firstLine="480"/>
        <w:rPr>
          <w:lang w:eastAsia="zh-CN"/>
        </w:rPr>
      </w:pPr>
      <w:r>
        <w:rPr>
          <w:rFonts w:hint="eastAsia"/>
          <w:lang w:eastAsia="zh-CN"/>
        </w:rPr>
        <w:t>AHP需要专家来建判断矩阵。</w:t>
      </w:r>
      <w:r>
        <w:rPr>
          <w:lang w:eastAsia="zh-CN"/>
        </w:rPr>
        <w:t xml:space="preserve"> </w:t>
      </w:r>
      <w:r>
        <w:rPr>
          <w:rFonts w:hint="eastAsia"/>
          <w:lang w:eastAsia="zh-CN"/>
        </w:rPr>
        <w:t>本研究邀请了体育管理学者、奥运研究专家、体育经济学研究者、体育行政管理人员和国际体育研究学者五位不同背景的领域专家，分别</w:t>
      </w:r>
      <w:r>
        <w:rPr>
          <w:rFonts w:hint="eastAsia"/>
          <w:lang w:val="en-US" w:eastAsia="zh-CN"/>
        </w:rPr>
        <w:t>标号A至E，并</w:t>
      </w:r>
      <w:r>
        <w:rPr>
          <w:rFonts w:hint="eastAsia"/>
          <w:lang w:eastAsia="zh-CN"/>
        </w:rPr>
        <w:t>按其专业视角对六个维度进行1-9标度法两两打分。</w:t>
      </w:r>
      <w:r>
        <w:rPr>
          <w:lang w:eastAsia="zh-CN"/>
        </w:rPr>
        <w:t xml:space="preserve"> </w:t>
      </w:r>
      <w:r>
        <w:rPr>
          <w:rFonts w:hint="eastAsia"/>
          <w:lang w:eastAsia="zh-CN"/>
        </w:rPr>
        <w:t>需要注意的是，表中各专家的权重值并非1-9标度的原始打分，而是</w:t>
      </w:r>
      <w:r>
        <w:rPr>
          <w:rFonts w:hint="eastAsia"/>
          <w:lang w:val="en-US" w:eastAsia="zh-CN"/>
        </w:rPr>
        <w:t>需要</w:t>
      </w:r>
      <w:r>
        <w:rPr>
          <w:rFonts w:hint="eastAsia"/>
          <w:lang w:eastAsia="zh-CN"/>
        </w:rPr>
        <w:t>经过三个步骤后的最终结果。首先</w:t>
      </w:r>
      <w:r>
        <w:rPr>
          <w:rFonts w:hint="eastAsia"/>
          <w:lang w:val="en-US" w:eastAsia="zh-CN"/>
        </w:rPr>
        <w:t>每位专家</w:t>
      </w:r>
      <w:r>
        <w:rPr>
          <w:rFonts w:hint="eastAsia"/>
          <w:lang w:eastAsia="zh-CN"/>
        </w:rPr>
        <w:t>用1-9标度法构建6×6判断矩阵</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m:oMath>
        <m:r>
          <m:rPr/>
          <w:rPr>
            <w:rFonts w:ascii="Cambria Math" w:hAnsi="Cambria Math"/>
            <w:lang w:eastAsia="zh-CN"/>
          </w:rPr>
          <m:t>l</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k</m:t>
        </m:r>
      </m:oMath>
      <w:r>
        <w:rPr>
          <w:rFonts w:hint="eastAsia"/>
          <w:lang w:eastAsia="zh-CN"/>
        </w:rPr>
        <w:t>，</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5</m:t>
        </m:r>
      </m:oMath>
      <w:r>
        <w:rPr>
          <w:rFonts w:hint="eastAsia"/>
          <w:lang w:eastAsia="zh-CN"/>
        </w:rPr>
        <w:t>），</w:t>
      </w:r>
      <w:r>
        <w:rPr>
          <w:rFonts w:hint="eastAsia"/>
          <w:lang w:val="en-US" w:eastAsia="zh-CN"/>
        </w:rPr>
        <w:t>该矩阵</w:t>
      </w:r>
      <w:r>
        <w:rPr>
          <w:rFonts w:hint="eastAsia"/>
          <w:lang w:eastAsia="zh-CN"/>
        </w:rPr>
        <w:t>均需通过一致性检验，</w:t>
      </w:r>
      <w:r>
        <w:rPr>
          <w:rFonts w:hint="eastAsia"/>
          <w:lang w:val="en-US" w:eastAsia="zh-CN"/>
        </w:rPr>
        <w:t>即</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m:t>
        </m:r>
        <m:r>
          <m:rPr/>
          <w:rPr>
            <w:rFonts w:ascii="Cambria Math" w:hAnsi="Cambria Math"/>
            <w:lang w:eastAsia="zh-CN"/>
          </w:rPr>
          <m:t>0.1</m:t>
        </m:r>
      </m:oMath>
      <w:r>
        <w:rPr>
          <w:rFonts w:hint="eastAsia"/>
          <w:lang w:eastAsia="zh-CN"/>
        </w:rPr>
        <w:t>，然后求解判断矩阵的最大特征值对应的特征向量，最后将特征向量归一化使六维权重之和等于1。</w:t>
      </w:r>
      <w:r>
        <w:rPr>
          <w:lang w:eastAsia="zh-CN"/>
        </w:rPr>
        <w:t xml:space="preserve"> </w:t>
      </w:r>
      <w:r>
        <w:rPr>
          <w:rFonts w:hint="eastAsia"/>
          <w:lang w:eastAsia="zh-CN"/>
        </w:rPr>
        <w:t>因此每个权重值均为0到1之间的比例数，反映各维度在专家总体判断中的相对份额。然后用几何平均法把五个矩阵合成一个，减少个体偏差。五位专家的判断矩阵构建、AHP求解及权重分析详见4.2.1节。</w:t>
      </w:r>
    </w:p>
    <w:bookmarkEnd w:id="60"/>
    <w:p w14:paraId="3E49BB24">
      <w:pPr>
        <w:pStyle w:val="5"/>
        <w:rPr>
          <w:rFonts w:hint="eastAsia"/>
          <w:lang w:eastAsia="zh-CN"/>
        </w:rPr>
      </w:pPr>
      <w:bookmarkStart w:id="61" w:name="多专家矩阵整合"/>
      <w:r>
        <w:rPr>
          <w:rStyle w:val="62"/>
          <w:rFonts w:ascii="黑体" w:hAnsi="黑体" w:eastAsia="黑体"/>
          <w:lang w:eastAsia="zh-CN"/>
        </w:rPr>
        <w:t>3.4.2</w:t>
      </w:r>
      <w:r>
        <w:rPr>
          <w:lang w:eastAsia="zh-CN"/>
        </w:rPr>
        <w:tab/>
      </w:r>
      <w:r>
        <w:rPr>
          <w:lang w:eastAsia="zh-CN"/>
        </w:rPr>
        <w:t>多专家矩阵整合</w:t>
      </w:r>
    </w:p>
    <w:p w14:paraId="2D9D2CDF">
      <w:pPr>
        <w:pStyle w:val="35"/>
        <w:ind w:firstLine="480"/>
        <w:rPr>
          <w:lang w:eastAsia="zh-CN"/>
        </w:rPr>
      </w:pPr>
      <w:r>
        <w:rPr>
          <w:rFonts w:hint="eastAsia"/>
          <w:lang w:eastAsia="zh-CN"/>
        </w:rPr>
        <w:t>用几何平均法整合多个专家的判断矩阵，能保持矩阵的互反性质：</w:t>
      </w:r>
    </w:p>
    <w:p w14:paraId="01CF23DC">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bSup>
                    <m:ctrlPr>
                      <w:rPr>
                        <w:rFonts w:ascii="Cambria Math" w:hAnsi="Cambria Math"/>
                      </w:rPr>
                    </m:ctrlPr>
                  </m:e>
                </m:nary>
                <m:ctrlPr>
                  <w:rPr>
                    <w:rFonts w:ascii="Cambria Math" w:hAnsi="Cambria Math"/>
                  </w:rPr>
                </m:ctrlPr>
              </m:e>
            </m:d>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k</m:t>
            </m:r>
            <m:ctrlPr>
              <w:rPr>
                <w:rFonts w:ascii="Cambria Math" w:hAnsi="Cambria Math"/>
              </w:rPr>
            </m:ctrlPr>
          </m:sup>
        </m:sSup>
        <m:r>
          <m:rPr>
            <m:sty m:val="p"/>
          </m:rPr>
          <w:rPr>
            <w:rFonts w:ascii="Cambria Math" w:hAnsi="Cambria Math"/>
          </w:rPr>
          <m:t>.</m:t>
        </m:r>
      </m:oMath>
      <w:bookmarkStart w:id="62" w:name="eq_geomean"/>
      <w:r>
        <w:rPr>
          <w:sz w:val="20"/>
        </w:rPr>
        <w:t xml:space="preserve"> </w:t>
      </w:r>
      <w:r>
        <w:rPr>
          <w:rFonts w:eastAsiaTheme="minorEastAsia"/>
          <w:sz w:val="20"/>
        </w:rPr>
        <w:tab/>
      </w:r>
      <w:r>
        <w:rPr>
          <w:rFonts w:eastAsiaTheme="minorEastAsia"/>
          <w:sz w:val="20"/>
        </w:rPr>
        <w:tab/>
      </w:r>
      <w:r>
        <w:rPr>
          <w:sz w:val="20"/>
        </w:rPr>
        <w:t>(3.20)</w:t>
      </w:r>
      <w:bookmarkEnd w:id="62"/>
    </w:p>
    <w:p w14:paraId="029F4EEC">
      <w:pPr>
        <w:pStyle w:val="35"/>
        <w:ind w:firstLine="480"/>
        <w:rPr>
          <w:lang w:eastAsia="zh-CN"/>
        </w:rPr>
      </w:pPr>
      <w:r>
        <w:rPr>
          <w:rFonts w:ascii="宋体" w:hAnsi="宋体" w:eastAsia="宋体" w:cs="宋体"/>
          <w:sz w:val="24"/>
          <w:szCs w:val="24"/>
        </w:rPr>
        <w:t>之所以选用几何平均法而非算术平均法，是因为前者的计算机制能够自然满足</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hAnsi="Cambria Math"/>
          <w:i w:val="0"/>
          <w:lang w:val="en-US" w:eastAsia="zh-CN"/>
        </w:rPr>
        <w:t xml:space="preserve"> </w:t>
      </w:r>
      <w:r>
        <w:rPr>
          <w:rFonts w:ascii="宋体" w:hAnsi="宋体" w:eastAsia="宋体" w:cs="宋体"/>
          <w:sz w:val="24"/>
          <w:szCs w:val="24"/>
        </w:rPr>
        <w:t>的互反条件，而算术平均法则无法保证这一关键的数学属性</w:t>
      </w:r>
      <w:r>
        <w:rPr>
          <w:rFonts w:hint="eastAsia"/>
          <w:lang w:eastAsia="zh-CN"/>
        </w:rPr>
        <w:t>。</w:t>
      </w:r>
    </w:p>
    <w:bookmarkEnd w:id="61"/>
    <w:p w14:paraId="34A3565B">
      <w:pPr>
        <w:pStyle w:val="5"/>
        <w:rPr>
          <w:rFonts w:hint="eastAsia"/>
          <w:lang w:eastAsia="zh-CN"/>
        </w:rPr>
      </w:pPr>
      <w:bookmarkStart w:id="63" w:name="权重计算与一致性检验-1"/>
      <w:r>
        <w:rPr>
          <w:rStyle w:val="62"/>
          <w:rFonts w:ascii="黑体" w:hAnsi="黑体" w:eastAsia="黑体"/>
          <w:lang w:eastAsia="zh-CN"/>
        </w:rPr>
        <w:t>3.4.3</w:t>
      </w:r>
      <w:r>
        <w:rPr>
          <w:lang w:eastAsia="zh-CN"/>
        </w:rPr>
        <w:tab/>
      </w:r>
      <w:r>
        <w:rPr>
          <w:lang w:eastAsia="zh-CN"/>
        </w:rPr>
        <w:t>权重计算与一致性检验</w:t>
      </w:r>
    </w:p>
    <w:p w14:paraId="7934A862">
      <w:pPr>
        <w:pStyle w:val="35"/>
        <w:ind w:firstLine="480"/>
        <w:rPr>
          <w:lang w:eastAsia="zh-CN"/>
        </w:rPr>
      </w:pPr>
      <w:r>
        <w:rPr>
          <w:lang w:eastAsia="zh-CN"/>
        </w:rPr>
        <w:t>整合后的判断矩阵</w:t>
      </w:r>
      <w:r>
        <w:rPr>
          <w:rFonts w:hint="eastAsia"/>
          <w:lang w:val="en-US" w:eastAsia="zh-CN"/>
        </w:rPr>
        <w:t xml:space="preserve"> </w:t>
      </w:r>
      <m:oMath>
        <m:r>
          <m:rPr/>
          <w:rPr>
            <w:rFonts w:ascii="Cambria Math" w:hAnsi="Cambria Math"/>
            <w:lang w:eastAsia="zh-CN"/>
          </w:rPr>
          <m:t>A</m:t>
        </m:r>
      </m:oMath>
      <w:r>
        <m:rPr/>
        <w:rPr>
          <w:rFonts w:hint="eastAsia" w:hAnsi="Cambria Math"/>
          <w:i w:val="0"/>
          <w:lang w:val="en-US" w:eastAsia="zh-CN"/>
        </w:rPr>
        <w:t xml:space="preserve"> </w:t>
      </w:r>
      <w:r>
        <w:rPr>
          <w:lang w:eastAsia="zh-CN"/>
        </w:rPr>
        <w:t>通过解</w:t>
      </w:r>
      <w:r>
        <w:rPr>
          <w:rFonts w:hint="eastAsia"/>
          <w:lang w:val="en-US" w:eastAsia="zh-CN"/>
        </w:rPr>
        <w:t xml:space="preserve"> </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m:rPr/>
        <w:rPr>
          <w:rFonts w:hint="eastAsia" w:hAnsi="Cambria Math"/>
          <w:i w:val="0"/>
          <w:lang w:val="en-US" w:eastAsia="zh-CN"/>
        </w:rPr>
        <w:t xml:space="preserve"> </w:t>
      </w:r>
      <w:r>
        <w:rPr>
          <w:lang w:eastAsia="zh-CN"/>
        </w:rPr>
        <w:t>得到权重向量。 最大特征值对应的特征向量归一化后就是</w:t>
      </w:r>
      <w:r>
        <w:rPr>
          <w:rFonts w:hint="eastAsia"/>
          <w:lang w:val="en-US" w:eastAsia="zh-CN"/>
        </w:rPr>
        <w:t xml:space="preserve"> </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 通过计算一致性指标</w:t>
      </w:r>
      <m:oMath>
        <m:r>
          <m:rPr/>
          <w:rPr>
            <w:rFonts w:ascii="Cambria Math" w:hAnsi="Cambria Math"/>
            <w:lang w:eastAsia="zh-CN"/>
          </w:rPr>
          <m:t>CI</m:t>
        </m:r>
      </m:oMath>
      <w:r>
        <w:rPr>
          <w:lang w:eastAsia="zh-CN"/>
        </w:rPr>
        <w:t>和一致性比率</w:t>
      </w:r>
      <m:oMath>
        <m:r>
          <m:rPr/>
          <w:rPr>
            <w:rFonts w:ascii="Cambria Math" w:hAnsi="Cambria Math"/>
            <w:lang w:eastAsia="zh-CN"/>
          </w:rPr>
          <m:t>CR</m:t>
        </m:r>
      </m:oMath>
      <w:r>
        <w:rPr>
          <w:lang w:eastAsia="zh-CN"/>
        </w:rPr>
        <w:t>来检验判断矩阵的逻辑一致性：</w:t>
      </w:r>
    </w:p>
    <w:p w14:paraId="742CAD29">
      <w:pPr>
        <w:pStyle w:val="95"/>
      </w:pPr>
      <w:r>
        <w:rPr>
          <w:rFonts w:eastAsia="宋体" w:cstheme="minorBidi"/>
        </w:rPr>
        <w:tab/>
      </w:r>
      <m:oMath>
        <m:r>
          <m:rP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n</m:t>
            </m:r>
            <m:ctrlPr>
              <w:rPr>
                <w:rFonts w:ascii="Cambria Math" w:hAnsi="Cambria Math"/>
              </w:rPr>
            </m:ctrlPr>
          </m:num>
          <m:den>
            <m:r>
              <m:rPr/>
              <w:rPr>
                <w:rFonts w:ascii="Cambria Math" w:hAnsi="Cambria Math"/>
              </w:rPr>
              <m:t>n</m:t>
            </m:r>
            <m:r>
              <m:rPr>
                <m:sty m:val="p"/>
              </m:rPr>
              <w:rPr>
                <w:rFonts w:ascii="Cambria Math" w:hAnsi="Cambria Math"/>
              </w:rPr>
              <m:t>−</m:t>
            </m:r>
            <m:r>
              <m:rPr/>
              <w:rPr>
                <w:rFonts w:ascii="Cambria Math" w:hAnsi="Cambria Math"/>
              </w:rPr>
              <m:t>1</m:t>
            </m:r>
            <m:ctrlPr>
              <w:rPr>
                <w:rFonts w:ascii="Cambria Math" w:hAnsi="Cambria Math"/>
              </w:rPr>
            </m:ctrlPr>
          </m:den>
        </m:f>
        <m:r>
          <m:rPr>
            <m:sty m:val="p"/>
          </m:rPr>
          <w:rPr>
            <w:rFonts w:ascii="Cambria Math" w:hAnsi="Cambria Math"/>
          </w:rPr>
          <m:t>,</m:t>
        </m:r>
        <m:r>
          <m:rPr/>
          <w:rPr>
            <w:rFonts w:ascii="Cambria Math" w:hAnsi="Cambria Math"/>
          </w:rPr>
          <m:t> CR</m:t>
        </m:r>
        <m:r>
          <m:rPr>
            <m:sty m:val="p"/>
          </m:rPr>
          <w:rPr>
            <w:rFonts w:ascii="Cambria Math" w:hAnsi="Cambria Math"/>
          </w:rPr>
          <m:t>=</m:t>
        </m:r>
        <m:f>
          <m:fPr>
            <m:ctrlPr>
              <w:rPr>
                <w:rFonts w:ascii="Cambria Math" w:hAnsi="Cambria Math"/>
              </w:rPr>
            </m:ctrlPr>
          </m:fPr>
          <m:num>
            <m:r>
              <m:rPr/>
              <w:rPr>
                <w:rFonts w:ascii="Cambria Math" w:hAnsi="Cambria Math"/>
              </w:rPr>
              <m:t>CI</m:t>
            </m:r>
            <m:ctrlPr>
              <w:rPr>
                <w:rFonts w:ascii="Cambria Math" w:hAnsi="Cambria Math"/>
              </w:rPr>
            </m:ctrlPr>
          </m:num>
          <m:den>
            <m:r>
              <m:rPr/>
              <w:rPr>
                <w:rFonts w:ascii="Cambria Math" w:hAnsi="Cambria Math"/>
              </w:rPr>
              <m:t>RI</m:t>
            </m:r>
            <m:ctrlPr>
              <w:rPr>
                <w:rFonts w:ascii="Cambria Math" w:hAnsi="Cambria Math"/>
              </w:rPr>
            </m:ctrlPr>
          </m:den>
        </m:f>
        <w:bookmarkStart w:id="64" w:name="eq_cr"/>
        <m:r>
          <m:rPr/>
          <w:rPr>
            <w:rFonts w:ascii="Cambria Math" w:hAnsi="Cambria Math" w:eastAsia="宋体" w:cstheme="minorBidi"/>
          </w:rPr>
          <m:t xml:space="preserve"> </m:t>
        </m:r>
      </m:oMath>
      <w:r>
        <w:rPr>
          <w:rFonts w:hint="eastAsia" w:eastAsiaTheme="minorEastAsia"/>
          <w:sz w:val="20"/>
        </w:rPr>
        <w:t>.</w:t>
      </w:r>
      <w:r>
        <w:rPr>
          <w:rFonts w:eastAsiaTheme="minorEastAsia"/>
          <w:sz w:val="20"/>
        </w:rPr>
        <w:tab/>
      </w:r>
      <w:r>
        <w:rPr>
          <w:rFonts w:eastAsiaTheme="minorEastAsia"/>
          <w:sz w:val="20"/>
        </w:rPr>
        <w:tab/>
      </w:r>
      <w:r>
        <w:rPr>
          <w:sz w:val="20"/>
        </w:rPr>
        <w:t>(3.21)</w:t>
      </w:r>
      <w:bookmarkEnd w:id="64"/>
    </w:p>
    <w:p w14:paraId="70FBFDF2">
      <w:pPr>
        <w:pStyle w:val="35"/>
        <w:ind w:firstLine="480"/>
        <w:rPr>
          <w:lang w:eastAsia="zh-CN"/>
        </w:rPr>
      </w:pPr>
      <w:r>
        <w:rPr>
          <w:lang w:eastAsia="zh-CN"/>
        </w:rPr>
        <w:t>当</w:t>
      </w:r>
      <m:oMath>
        <m:r>
          <m:rPr/>
          <w:rPr>
            <w:rFonts w:ascii="Cambria Math" w:hAnsi="Cambria Math"/>
            <w:lang w:eastAsia="zh-CN"/>
          </w:rPr>
          <m:t>CR</m:t>
        </m:r>
        <m:r>
          <m:rPr>
            <m:sty m:val="p"/>
          </m:rPr>
          <w:rPr>
            <w:rFonts w:ascii="Cambria Math" w:hAnsi="Cambria Math"/>
            <w:lang w:eastAsia="zh-CN"/>
          </w:rPr>
          <m:t>&lt;0.1</m:t>
        </m:r>
      </m:oMath>
      <w:r>
        <w:rPr>
          <w:lang w:eastAsia="zh-CN"/>
        </w:rPr>
        <w:t>时认为判断矩阵通过一致性检验，权重结果可信； 若</w:t>
      </w:r>
      <m:oMath>
        <m:r>
          <m:rPr/>
          <w:rPr>
            <w:rFonts w:ascii="Cambria Math" w:hAnsi="Cambria Math"/>
            <w:lang w:eastAsia="zh-CN"/>
          </w:rPr>
          <m:t>CR</m:t>
        </m:r>
        <m:r>
          <m:rPr>
            <m:sty m:val="p"/>
          </m:rPr>
          <w:rPr>
            <w:rFonts w:ascii="Cambria Math" w:hAnsi="Cambria Math"/>
            <w:lang w:eastAsia="zh-CN"/>
          </w:rPr>
          <m:t>≥0.1</m:t>
        </m:r>
      </m:oMath>
      <w:r>
        <w:rPr>
          <w:lang w:eastAsia="zh-CN"/>
        </w:rPr>
        <w:t>，则需由专家本人重新审视并修正存在逻辑矛盾的比较项，直至满足一致性要求。 随机一致性指标</w:t>
      </w:r>
      <m:oMath>
        <m:r>
          <m:rPr/>
          <w:rPr>
            <w:rFonts w:ascii="Cambria Math" w:hAnsi="Cambria Math"/>
            <w:lang w:eastAsia="zh-CN"/>
          </w:rPr>
          <m:t>RI</m:t>
        </m:r>
      </m:oMath>
      <w:r>
        <w:rPr>
          <w:lang w:eastAsia="zh-CN"/>
        </w:rPr>
        <w:t>的参考值见表</w:t>
      </w:r>
      <w:r>
        <w:rPr>
          <w:rFonts w:hint="eastAsia"/>
          <w:lang w:val="en-US" w:eastAsia="zh-CN"/>
        </w:rPr>
        <w:t>4.</w:t>
      </w:r>
      <w:r>
        <w:fldChar w:fldCharType="begin"/>
      </w:r>
      <w:r>
        <w:instrText xml:space="preserve"> HYPERLINK \l "tab:ri" \h </w:instrText>
      </w:r>
      <w:r>
        <w:fldChar w:fldCharType="separate"/>
      </w:r>
      <w:r>
        <w:rPr>
          <w:rStyle w:val="32"/>
          <w:rFonts w:eastAsia="宋体"/>
          <w:color w:val="auto"/>
          <w:lang w:eastAsia="zh-CN"/>
        </w:rPr>
        <w:t>2</w:t>
      </w:r>
      <w:r>
        <w:rPr>
          <w:rStyle w:val="32"/>
          <w:rFonts w:eastAsia="宋体"/>
          <w:color w:val="auto"/>
          <w:lang w:eastAsia="zh-CN"/>
        </w:rPr>
        <w:fldChar w:fldCharType="end"/>
      </w:r>
      <w:r>
        <w:rPr>
          <w:lang w:eastAsia="zh-CN"/>
        </w:rPr>
        <w:t>。</w:t>
      </w:r>
    </w:p>
    <w:bookmarkEnd w:id="59"/>
    <w:bookmarkEnd w:id="63"/>
    <w:p w14:paraId="0E4A1717">
      <w:pPr>
        <w:pStyle w:val="4"/>
        <w:rPr>
          <w:rFonts w:hint="eastAsia"/>
          <w:lang w:eastAsia="zh-CN"/>
        </w:rPr>
      </w:pPr>
      <w:bookmarkStart w:id="65" w:name="_Toc229523242"/>
      <w:bookmarkStart w:id="66" w:name="ewm客观权重"/>
      <w:r>
        <w:rPr>
          <w:rStyle w:val="62"/>
          <w:rFonts w:ascii="黑体" w:hAnsi="黑体" w:eastAsia="黑体"/>
          <w:sz w:val="28"/>
          <w:szCs w:val="28"/>
          <w:lang w:eastAsia="zh-CN"/>
        </w:rPr>
        <w:t>3.5</w:t>
      </w:r>
      <w:r>
        <w:rPr>
          <w:lang w:eastAsia="zh-CN"/>
        </w:rPr>
        <w:tab/>
      </w:r>
      <w:r>
        <w:rPr>
          <w:lang w:eastAsia="zh-CN"/>
        </w:rPr>
        <w:t>EWM客观权重</w:t>
      </w:r>
      <w:bookmarkEnd w:id="65"/>
    </w:p>
    <w:p w14:paraId="4B648FAB">
      <w:pPr>
        <w:pStyle w:val="5"/>
        <w:rPr>
          <w:rFonts w:hint="eastAsia"/>
          <w:lang w:eastAsia="zh-CN"/>
        </w:rPr>
      </w:pPr>
      <w:bookmarkStart w:id="67" w:name="数据标准化"/>
      <w:r>
        <w:rPr>
          <w:rStyle w:val="62"/>
          <w:rFonts w:ascii="黑体" w:hAnsi="黑体" w:eastAsia="黑体"/>
          <w:lang w:eastAsia="zh-CN"/>
        </w:rPr>
        <w:t>3.5.1</w:t>
      </w:r>
      <w:r>
        <w:rPr>
          <w:lang w:eastAsia="zh-CN"/>
        </w:rPr>
        <w:tab/>
      </w:r>
      <w:r>
        <w:rPr>
          <w:lang w:eastAsia="zh-CN"/>
        </w:rPr>
        <w:t>数据标准化</w:t>
      </w:r>
    </w:p>
    <w:p w14:paraId="6BE86371">
      <w:pPr>
        <w:pStyle w:val="35"/>
        <w:ind w:firstLine="480"/>
        <w:rPr>
          <w:lang w:eastAsia="zh-CN"/>
        </w:rPr>
      </w:pPr>
      <w:r>
        <w:rPr>
          <w:rFonts w:hint="eastAsia"/>
          <w:lang w:eastAsia="zh-CN"/>
        </w:rPr>
        <w:t>EWM计算的第一步是对原始数据进行标准化处理。</w:t>
      </w:r>
      <w:r>
        <w:rPr>
          <w:lang w:eastAsia="zh-CN"/>
        </w:rPr>
        <w:t xml:space="preserve"> </w:t>
      </w:r>
      <w:r>
        <w:rPr>
          <w:rFonts w:hint="eastAsia"/>
          <w:lang w:eastAsia="zh-CN"/>
        </w:rPr>
        <w:t>对于决策矩阵元素</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，正向指标（得分越大越好）采用最小-最大归一化：</w:t>
      </w:r>
    </w:p>
    <w:p w14:paraId="4D3BDB77">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8" w:name="eq_normalize"/>
      <w:r>
        <w:rPr>
          <w:sz w:val="20"/>
        </w:rPr>
        <w:t xml:space="preserve"> </w:t>
      </w:r>
      <w:r>
        <w:rPr>
          <w:rFonts w:eastAsiaTheme="minorEastAsia"/>
          <w:sz w:val="20"/>
        </w:rPr>
        <w:tab/>
      </w:r>
      <w:r>
        <w:rPr>
          <w:rFonts w:eastAsiaTheme="minorEastAsia"/>
          <w:sz w:val="20"/>
        </w:rPr>
        <w:tab/>
      </w:r>
      <w:r>
        <w:rPr>
          <w:sz w:val="20"/>
        </w:rPr>
        <w:t>(3.22)</w:t>
      </w:r>
      <w:bookmarkEnd w:id="68"/>
    </w:p>
    <w:p w14:paraId="0C5F2FFD">
      <w:pPr>
        <w:pStyle w:val="35"/>
        <w:ind w:firstLine="480"/>
        <w:rPr>
          <w:lang w:eastAsia="zh-CN"/>
        </w:rPr>
      </w:pPr>
      <w:r>
        <w:rPr>
          <w:rFonts w:hint="eastAsia"/>
          <w:lang w:eastAsia="zh-CN"/>
        </w:rPr>
        <w:t>负向指标指得分越小越好的指标（例如受伤率反向评分后的安全性），采用反向标准化：</w:t>
      </w:r>
    </w:p>
    <w:p w14:paraId="3AC0A286">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9" w:name="eq_neg_normalize"/>
      <w:r>
        <w:rPr>
          <w:sz w:val="20"/>
        </w:rPr>
        <w:t xml:space="preserve"> </w:t>
      </w:r>
      <w:r>
        <w:rPr>
          <w:rFonts w:eastAsiaTheme="minorEastAsia"/>
          <w:sz w:val="20"/>
        </w:rPr>
        <w:tab/>
      </w:r>
      <w:r>
        <w:rPr>
          <w:rFonts w:eastAsiaTheme="minorEastAsia"/>
          <w:sz w:val="20"/>
        </w:rPr>
        <w:tab/>
      </w:r>
      <w:r>
        <w:rPr>
          <w:sz w:val="20"/>
        </w:rPr>
        <w:t>(3.23)</w:t>
      </w:r>
      <w:bookmarkEnd w:id="69"/>
    </w:p>
    <w:p w14:paraId="0B27CF91">
      <w:pPr>
        <w:pStyle w:val="35"/>
        <w:ind w:firstLine="480"/>
        <w:rPr>
          <w:lang w:eastAsia="zh-CN"/>
        </w:rPr>
      </w:pPr>
      <w:r>
        <w:rPr>
          <w:rFonts w:hint="eastAsia"/>
          <w:lang w:eastAsia="zh-CN"/>
        </w:rPr>
        <w:t>式中</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为标准化后的值，</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和</w:t>
      </w:r>
      <m:oMath>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分别为指标</w:t>
      </w:r>
      <m:oMath>
        <m:r>
          <m:rPr/>
          <w:rPr>
            <w:rFonts w:ascii="Cambria Math" w:hAnsi="Cambria Math"/>
            <w:lang w:eastAsia="zh-CN"/>
          </w:rPr>
          <m:t>j</m:t>
        </m:r>
      </m:oMath>
      <w:r>
        <w:rPr>
          <w:rFonts w:hint="eastAsia"/>
          <w:lang w:eastAsia="zh-CN"/>
        </w:rPr>
        <w:t>在所有</w:t>
      </w:r>
      <m:oMath>
        <m:r>
          <m:rPr/>
          <w:rPr>
            <w:rFonts w:ascii="Cambria Math" w:hAnsi="Cambria Math"/>
            <w:lang w:eastAsia="zh-CN"/>
          </w:rPr>
          <m:t>m</m:t>
        </m:r>
      </m:oMath>
      <w:r>
        <w:rPr>
          <w:rFonts w:hint="eastAsia"/>
          <w:lang w:eastAsia="zh-CN"/>
        </w:rPr>
        <w:t>个项目中的最大值和最小值。</w:t>
      </w:r>
      <w:r>
        <w:rPr>
          <w:lang w:eastAsia="zh-CN"/>
        </w:rPr>
        <w:t xml:space="preserve"> </w:t>
      </w:r>
      <w:r>
        <w:rPr>
          <w:rFonts w:hint="eastAsia"/>
          <w:lang w:eastAsia="zh-CN"/>
        </w:rPr>
        <w:t>以12个代表性项目的六维指标数据作为输入，</w:t>
      </w:r>
      <w:r>
        <w:rPr>
          <w:lang w:eastAsia="zh-CN"/>
        </w:rPr>
        <w:t xml:space="preserve"> </w:t>
      </w:r>
      <w:r>
        <w:rPr>
          <w:rFonts w:hint="eastAsia"/>
          <w:lang w:eastAsia="zh-CN"/>
        </w:rPr>
        <w:t>经过标准化后得到一个值域为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的无量纲决策矩阵，</w:t>
      </w:r>
      <w:r>
        <w:rPr>
          <w:lang w:eastAsia="zh-CN"/>
        </w:rPr>
        <w:t xml:space="preserve"> </w:t>
      </w:r>
      <w:r>
        <w:rPr>
          <w:rFonts w:hint="eastAsia"/>
          <w:lang w:eastAsia="zh-CN"/>
        </w:rPr>
        <w:t>为后续的熵值计算做好准备。</w:t>
      </w:r>
    </w:p>
    <w:bookmarkEnd w:id="67"/>
    <w:p w14:paraId="11529BD6">
      <w:pPr>
        <w:pStyle w:val="5"/>
        <w:rPr>
          <w:rFonts w:hint="eastAsia"/>
          <w:lang w:eastAsia="zh-CN"/>
        </w:rPr>
      </w:pPr>
      <w:bookmarkStart w:id="70" w:name="信息熵与权重计算"/>
      <w:r>
        <w:rPr>
          <w:rStyle w:val="62"/>
          <w:rFonts w:ascii="黑体" w:hAnsi="黑体" w:eastAsia="黑体"/>
          <w:lang w:eastAsia="zh-CN"/>
        </w:rPr>
        <w:t>3.5.2</w:t>
      </w:r>
      <w:r>
        <w:rPr>
          <w:lang w:eastAsia="zh-CN"/>
        </w:rPr>
        <w:tab/>
      </w:r>
      <w:r>
        <w:rPr>
          <w:lang w:eastAsia="zh-CN"/>
        </w:rPr>
        <w:t>信息熵与权重计算</w:t>
      </w:r>
    </w:p>
    <w:p w14:paraId="29311006">
      <w:pPr>
        <w:pStyle w:val="35"/>
        <w:ind w:firstLine="480"/>
        <w:rPr>
          <w:lang w:eastAsia="zh-CN"/>
        </w:rPr>
      </w:pPr>
      <w:r>
        <w:rPr>
          <w:lang w:eastAsia="zh-CN"/>
        </w:rPr>
        <w:t>在标准化决策矩阵的基础上， 依次计算比重矩阵</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（式</w:t>
      </w:r>
      <w:r>
        <w:fldChar w:fldCharType="begin"/>
      </w:r>
      <w:r>
        <w:instrText xml:space="preserve"> HYPERLINK \l "eq:ewm_p" \h </w:instrText>
      </w:r>
      <w:r>
        <w:fldChar w:fldCharType="separate"/>
      </w:r>
      <w:r>
        <w:rPr>
          <w:rStyle w:val="32"/>
          <w:rFonts w:eastAsia="宋体"/>
          <w:color w:val="auto"/>
          <w:lang w:eastAsia="zh-CN"/>
        </w:rPr>
        <w:t>(3.24)</w:t>
      </w:r>
      <w:r>
        <w:rPr>
          <w:rStyle w:val="32"/>
          <w:rFonts w:eastAsia="宋体"/>
          <w:color w:val="auto"/>
          <w:lang w:eastAsia="zh-CN"/>
        </w:rPr>
        <w:fldChar w:fldCharType="end"/>
      </w:r>
      <w:r>
        <w:rPr>
          <w:lang w:eastAsia="zh-CN"/>
        </w:rPr>
        <w:t>）、 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（式</w:t>
      </w:r>
      <w:r>
        <w:fldChar w:fldCharType="begin"/>
      </w:r>
      <w:r>
        <w:instrText xml:space="preserve"> HYPERLINK \l "eq:ewm_H" \h </w:instrText>
      </w:r>
      <w:r>
        <w:fldChar w:fldCharType="separate"/>
      </w:r>
      <w:r>
        <w:rPr>
          <w:rStyle w:val="32"/>
          <w:rFonts w:eastAsia="宋体"/>
          <w:color w:val="auto"/>
          <w:lang w:eastAsia="zh-CN"/>
        </w:rPr>
        <w:t>(3.25)</w:t>
      </w:r>
      <w:r>
        <w:rPr>
          <w:rStyle w:val="32"/>
          <w:rFonts w:eastAsia="宋体"/>
          <w:color w:val="auto"/>
          <w:lang w:eastAsia="zh-CN"/>
        </w:rPr>
        <w:fldChar w:fldCharType="end"/>
      </w:r>
      <w:r>
        <w:rPr>
          <w:lang w:eastAsia="zh-CN"/>
        </w:rPr>
        <w:t>）、 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（式</w:t>
      </w:r>
      <w:r>
        <w:fldChar w:fldCharType="begin"/>
      </w:r>
      <w:r>
        <w:instrText xml:space="preserve"> HYPERLINK \l "eq:ewm_D" \h </w:instrText>
      </w:r>
      <w:r>
        <w:fldChar w:fldCharType="separate"/>
      </w:r>
      <w:r>
        <w:rPr>
          <w:rStyle w:val="32"/>
          <w:rFonts w:eastAsia="宋体"/>
          <w:color w:val="auto"/>
          <w:lang w:eastAsia="zh-CN"/>
        </w:rPr>
        <w:t>(3.26)</w:t>
      </w:r>
      <w:r>
        <w:rPr>
          <w:rStyle w:val="32"/>
          <w:rFonts w:eastAsia="宋体"/>
          <w:color w:val="auto"/>
          <w:lang w:eastAsia="zh-CN"/>
        </w:rPr>
        <w:fldChar w:fldCharType="end"/>
      </w:r>
      <w:r>
        <w:rPr>
          <w:lang w:eastAsia="zh-CN"/>
        </w:rPr>
        <w:t>）和熵权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（式</w:t>
      </w:r>
      <w:r>
        <w:fldChar w:fldCharType="begin"/>
      </w:r>
      <w:r>
        <w:instrText xml:space="preserve"> HYPERLINK \l "eq:ewm_W" \h </w:instrText>
      </w:r>
      <w:r>
        <w:fldChar w:fldCharType="separate"/>
      </w:r>
      <w:r>
        <w:rPr>
          <w:rStyle w:val="32"/>
          <w:rFonts w:eastAsia="宋体"/>
          <w:color w:val="auto"/>
          <w:lang w:eastAsia="zh-CN"/>
        </w:rPr>
        <w:t>(3.27)</w:t>
      </w:r>
      <w:r>
        <w:rPr>
          <w:rStyle w:val="32"/>
          <w:rFonts w:eastAsia="宋体"/>
          <w:color w:val="auto"/>
          <w:lang w:eastAsia="zh-CN"/>
        </w:rPr>
        <w:fldChar w:fldCharType="end"/>
      </w:r>
      <w:r>
        <w:rPr>
          <w:lang w:eastAsia="zh-CN"/>
        </w:rPr>
        <w:t>）。</w:t>
      </w:r>
    </w:p>
    <w:p w14:paraId="5A408142">
      <w:pPr>
        <w:pStyle w:val="95"/>
      </w:pPr>
      <w:r>
        <w:rPr>
          <w:rFonts w:eastAsia="宋体" w:cstheme="minorBidi"/>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 j</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 xml:space="preserve">n </m:t>
        </m:r>
        <m:r>
          <m:rPr>
            <m:sty m:val="p"/>
          </m:rPr>
          <w:rPr>
            <w:rFonts w:ascii="Cambria Math" w:hAnsi="Cambria Math"/>
          </w:rPr>
          <m:t>.</m:t>
        </m:r>
      </m:oMath>
      <w:bookmarkStart w:id="71" w:name="eq_ewm_p"/>
      <w:r>
        <w:t xml:space="preserve"> </w:t>
      </w:r>
      <w:r>
        <w:rPr>
          <w:rFonts w:eastAsiaTheme="minorEastAsia"/>
        </w:rPr>
        <w:tab/>
      </w:r>
      <w:r>
        <w:rPr>
          <w:rFonts w:eastAsiaTheme="minorEastAsia"/>
        </w:rPr>
        <w:tab/>
      </w:r>
      <w:r>
        <w:t>(3.24)</w:t>
      </w:r>
      <w:bookmarkEnd w:id="71"/>
    </w:p>
    <w:p w14:paraId="77AB9AF6">
      <w:pPr>
        <w:pStyle w:val="35"/>
        <w:ind w:firstLine="480"/>
        <w:rPr>
          <w:lang w:eastAsia="zh-CN"/>
        </w:rPr>
      </w:pPr>
      <w:r>
        <w:rPr>
          <w:rFonts w:hint="eastAsia"/>
          <w:lang w:eastAsia="zh-CN"/>
        </w:rPr>
        <w:t>式中</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为标准化后的决策矩阵元素，</w:t>
      </w:r>
      <m:oMath>
        <m:r>
          <m:rPr/>
          <w:rPr>
            <w:rFonts w:ascii="Cambria Math" w:hAnsi="Cambria Math"/>
            <w:lang w:eastAsia="zh-CN"/>
          </w:rPr>
          <m:t>m</m:t>
        </m:r>
      </m:oMath>
      <w:r>
        <w:rPr>
          <w:rFonts w:hint="eastAsia"/>
          <w:lang w:eastAsia="zh-CN"/>
        </w:rPr>
        <w:t>为评价对象数（12个项目），</w:t>
      </w:r>
      <m:oMath>
        <m:r>
          <m:rPr/>
          <w:rPr>
            <w:rFonts w:ascii="Cambria Math" w:hAnsi="Cambria Math"/>
            <w:lang w:eastAsia="zh-CN"/>
          </w:rPr>
          <m:t>n</m:t>
        </m:r>
      </m:oMath>
      <w:r>
        <w:rPr>
          <w:rFonts w:hint="eastAsia"/>
          <w:lang w:eastAsia="zh-CN"/>
        </w:rPr>
        <w:t>为指标数（6个维度）。</w:t>
      </w:r>
    </w:p>
    <w:p w14:paraId="0D64D558">
      <w:pPr>
        <w:pStyle w:val="95"/>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 xml:space="preserve"> </m:t>
        </m:r>
        <m:r>
          <m:rPr>
            <m:sty m:val="p"/>
          </m:rPr>
          <w:rPr>
            <w:rFonts w:ascii="Cambria Math" w:hAnsi="Cambria Math"/>
          </w:rPr>
          <m:t>.</m:t>
        </m:r>
      </m:oMath>
      <w:bookmarkStart w:id="72" w:name="eq_ewm_H"/>
      <w:r>
        <w:rPr>
          <w:sz w:val="20"/>
        </w:rPr>
        <w:t xml:space="preserve"> </w:t>
      </w:r>
      <w:r>
        <w:rPr>
          <w:rFonts w:eastAsiaTheme="minorEastAsia"/>
          <w:sz w:val="20"/>
        </w:rPr>
        <w:tab/>
      </w:r>
      <w:r>
        <w:rPr>
          <w:rFonts w:eastAsiaTheme="minorEastAsia"/>
          <w:sz w:val="20"/>
        </w:rPr>
        <w:tab/>
      </w:r>
      <w:r>
        <w:rPr>
          <w:sz w:val="20"/>
        </w:rPr>
        <w:t>(3.25)</w:t>
      </w:r>
      <w:bookmarkEnd w:id="72"/>
    </w:p>
    <w:p w14:paraId="70593BC0">
      <w:pPr>
        <w:pStyle w:val="35"/>
        <w:ind w:firstLine="480"/>
        <w:rPr>
          <w:lang w:eastAsia="zh-CN"/>
        </w:rPr>
      </w:pPr>
      <w:r>
        <w:rPr>
          <w:lang w:eastAsia="zh-CN"/>
        </w:rPr>
        <w:t>式中对</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的情况，规定</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ln</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以保证公式的数学有效性[18]。</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，当所有项目在指标</w:t>
      </w:r>
      <m:oMath>
        <m:r>
          <m:rPr/>
          <w:rPr>
            <w:rFonts w:ascii="Cambria Math" w:hAnsi="Cambria Math"/>
            <w:lang w:eastAsia="zh-CN"/>
          </w:rPr>
          <m:t>j</m:t>
        </m:r>
      </m:oMath>
      <w:r>
        <w:rPr>
          <w:lang w:eastAsia="zh-CN"/>
        </w:rPr>
        <w:t>上得分完全相同时</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=1</m:t>
        </m:r>
      </m:oMath>
      <w:r>
        <w:rPr>
          <w:lang w:eastAsia="zh-CN"/>
        </w:rPr>
        <w:t>，完全分散时</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=0</m:t>
        </m:r>
      </m:oMath>
      <w:r>
        <w:rPr>
          <w:lang w:eastAsia="zh-CN"/>
        </w:rPr>
        <w:t>。</w:t>
      </w:r>
    </w:p>
    <w:p w14:paraId="2A562A17">
      <w:pPr>
        <w:pStyle w:val="95"/>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w:bookmarkStart w:id="73" w:name="eq_ewm_D"/>
        <m:r>
          <m:rPr/>
          <w:rPr>
            <w:rFonts w:ascii="Cambria Math" w:hAnsi="Cambria Math"/>
          </w:rPr>
          <m:t xml:space="preserve"> </m:t>
        </m:r>
      </m:oMath>
      <w:r>
        <w:rPr>
          <w:sz w:val="20"/>
        </w:rPr>
        <w:tab/>
      </w:r>
      <w:r>
        <w:rPr>
          <w:sz w:val="20"/>
        </w:rPr>
        <w:tab/>
      </w:r>
      <w:r>
        <w:rPr>
          <w:sz w:val="20"/>
        </w:rPr>
        <w:t>(3.26)</w:t>
      </w:r>
      <w:bookmarkEnd w:id="73"/>
    </w:p>
    <w:p w14:paraId="46997937">
      <w:pPr>
        <w:pStyle w:val="35"/>
        <w:ind w:firstLine="480"/>
        <w:rPr>
          <w:lang w:eastAsia="zh-CN"/>
        </w:rPr>
      </w:pP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表示指标</w:t>
      </w:r>
      <m:oMath>
        <m:r>
          <m:rPr/>
          <w:rPr>
            <w:rFonts w:ascii="Cambria Math" w:hAnsi="Cambria Math"/>
            <w:lang w:eastAsia="zh-CN"/>
          </w:rPr>
          <m:t>j</m:t>
        </m:r>
      </m:oMath>
      <w:r>
        <w:rPr>
          <w:lang w:eastAsia="zh-CN"/>
        </w:rPr>
        <w:t>的信息效用值，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越大说明该指标在12个项目中的区分度越高。</w:t>
      </w:r>
    </w:p>
    <w:p w14:paraId="08CC0A0D">
      <w:pPr>
        <w:pStyle w:val="95"/>
      </w:pPr>
      <w:r>
        <w:rPr>
          <w:rFonts w:eastAsia="宋体" w:cstheme="minorBidi"/>
        </w:rPr>
        <w:tab/>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EWM</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74" w:name="eq_ewm_W"/>
      <w:r>
        <w:rPr>
          <w:sz w:val="20"/>
        </w:rPr>
        <w:t xml:space="preserve"> </w:t>
      </w:r>
      <w:r>
        <w:rPr>
          <w:rFonts w:eastAsiaTheme="minorEastAsia"/>
          <w:sz w:val="20"/>
        </w:rPr>
        <w:tab/>
      </w:r>
      <w:r>
        <w:rPr>
          <w:rFonts w:eastAsiaTheme="minorEastAsia"/>
          <w:sz w:val="20"/>
        </w:rPr>
        <w:tab/>
      </w:r>
      <w:r>
        <w:rPr>
          <w:sz w:val="20"/>
        </w:rPr>
        <w:t>(3.27)</w:t>
      </w:r>
      <w:bookmarkEnd w:id="74"/>
    </w:p>
    <w:p w14:paraId="16AA4AC0">
      <w:pPr>
        <w:pStyle w:val="35"/>
        <w:ind w:firstLine="480"/>
        <w:rPr>
          <w:lang w:eastAsia="zh-CN"/>
        </w:rPr>
      </w:pPr>
      <w:r>
        <w:rPr>
          <w:lang w:eastAsia="zh-CN"/>
        </w:rPr>
        <w:t>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满足</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=1</m:t>
        </m:r>
      </m:oMath>
      <w:r>
        <w:rPr>
          <w:lang w:eastAsia="zh-CN"/>
        </w:rPr>
        <w:t>，各指标权重之和为1。</w:t>
      </w:r>
    </w:p>
    <w:bookmarkEnd w:id="70"/>
    <w:p w14:paraId="1E0259CE">
      <w:pPr>
        <w:pStyle w:val="5"/>
        <w:rPr>
          <w:rFonts w:hint="eastAsia"/>
          <w:lang w:eastAsia="zh-CN"/>
        </w:rPr>
      </w:pPr>
      <w:bookmarkStart w:id="75" w:name="两层熵权计算结构"/>
      <w:r>
        <w:rPr>
          <w:rStyle w:val="62"/>
          <w:rFonts w:ascii="黑体" w:hAnsi="黑体" w:eastAsia="黑体"/>
          <w:lang w:eastAsia="zh-CN"/>
        </w:rPr>
        <w:t>3.5.3</w:t>
      </w:r>
      <w:r>
        <w:rPr>
          <w:lang w:eastAsia="zh-CN"/>
        </w:rPr>
        <w:tab/>
      </w:r>
      <w:r>
        <w:rPr>
          <w:lang w:eastAsia="zh-CN"/>
        </w:rPr>
        <w:t>两层熵权计算结构</w:t>
      </w:r>
    </w:p>
    <w:p w14:paraId="5B3BF433">
      <w:pPr>
        <w:pStyle w:val="35"/>
        <w:ind w:firstLine="480"/>
        <w:rPr>
          <w:lang w:eastAsia="zh-CN"/>
        </w:rPr>
      </w:pPr>
      <w:r>
        <w:rPr>
          <w:rFonts w:hint="eastAsia"/>
          <w:lang w:eastAsia="zh-CN"/>
        </w:rPr>
        <w:t>本研究采用两层熵权结构，将第3.3节所述的17个子指标聚合为六个主维度得分，作为第一层EWM的输入。</w:t>
      </w:r>
      <w:r>
        <w:rPr>
          <w:lang w:eastAsia="zh-CN"/>
        </w:rPr>
        <w:t>EWM是一种通用的客观赋权方法，其核心思想是通过数据离散度衡量指标的信息含量，并不限定于单一评价层级</w:t>
      </w:r>
      <w:r>
        <w:rPr>
          <w:rFonts w:hint="eastAsia"/>
          <w:vertAlign w:val="superscript"/>
          <w:lang w:eastAsia="zh-CN"/>
        </w:rPr>
        <w:t>[21]</w:t>
      </w:r>
      <w:r>
        <w:rPr>
          <w:lang w:eastAsia="zh-CN"/>
        </w:rPr>
        <w:t>——在任何层级的指标上，只要存在评价对象间的数据差异，EWM即可根据子指标的离散程度合理确定其贡献权重。</w:t>
      </w:r>
    </w:p>
    <w:p w14:paraId="2614237E">
      <w:pPr>
        <w:pStyle w:val="35"/>
        <w:ind w:firstLine="482"/>
        <w:rPr>
          <w:lang w:eastAsia="zh-CN"/>
        </w:rPr>
      </w:pPr>
      <w:r>
        <w:rPr>
          <w:rFonts w:hint="eastAsia"/>
          <w:b/>
          <w:bCs/>
          <w:lang w:eastAsia="zh-CN"/>
        </w:rPr>
        <w:t>第二层</w:t>
      </w:r>
      <w:r>
        <w:rPr>
          <w:rFonts w:hint="eastAsia"/>
          <w:lang w:eastAsia="zh-CN"/>
        </w:rPr>
        <w:t>（子指标层）的计算流程如下。</w:t>
      </w:r>
      <w:r>
        <w:rPr>
          <w:lang w:eastAsia="zh-CN"/>
        </w:rPr>
        <w:t xml:space="preserve"> </w:t>
      </w:r>
      <w:r>
        <w:rPr>
          <w:rFonts w:hint="eastAsia"/>
          <w:lang w:eastAsia="zh-CN"/>
        </w:rPr>
        <w:t>以维度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为例，其下设</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个子指标，例如</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流行度有</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5</m:t>
        </m:r>
      </m:oMath>
      <w:r>
        <w:rPr>
          <w:rFonts w:hint="eastAsia"/>
          <w:lang w:eastAsia="zh-CN"/>
        </w:rPr>
        <w:t>个子指标。12个项目在这些子指标上的原始值构成</w:t>
      </w:r>
      <m:oMath>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子矩阵</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jq</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rFonts w:hint="eastAsia"/>
          <w:lang w:eastAsia="zh-CN"/>
        </w:rPr>
        <w:t>，其中</w:t>
      </w:r>
      <m:oMath>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 </w:t>
      </w:r>
      <w:r>
        <w:rPr>
          <w:rFonts w:hint="eastAsia"/>
          <w:lang w:eastAsia="zh-CN"/>
        </w:rPr>
        <w:t>首先对</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的每一列进行最小-最大归一化，得到标准化子矩阵</w:t>
      </w:r>
      <m:oMath>
        <m:sSup>
          <m:sSupPr>
            <m:ctrlPr>
              <w:rPr>
                <w:rFonts w:ascii="Cambria Math" w:hAnsi="Cambria Math"/>
              </w:rPr>
            </m:ctrlPr>
          </m:sSup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w:t>
      </w:r>
      <w:r>
        <w:rPr>
          <w:lang w:eastAsia="zh-CN"/>
        </w:rPr>
        <w:t xml:space="preserve"> </w:t>
      </w:r>
      <w:r>
        <w:rPr>
          <w:rFonts w:hint="eastAsia"/>
          <w:lang w:eastAsia="zh-CN"/>
        </w:rPr>
        <w:t>然后按式</w:t>
      </w:r>
      <w:r>
        <w:fldChar w:fldCharType="begin"/>
      </w:r>
      <w:r>
        <w:instrText xml:space="preserve"> HYPERLINK \l "eq:ewm_p" \h </w:instrText>
      </w:r>
      <w:r>
        <w:fldChar w:fldCharType="separate"/>
      </w:r>
      <w:r>
        <w:rPr>
          <w:rStyle w:val="32"/>
          <w:color w:val="auto"/>
          <w:lang w:eastAsia="zh-CN"/>
        </w:rPr>
        <w:t>(3.24)</w:t>
      </w:r>
      <w:r>
        <w:rPr>
          <w:rStyle w:val="32"/>
          <w:color w:val="auto"/>
          <w:lang w:eastAsia="zh-CN"/>
        </w:rPr>
        <w:fldChar w:fldCharType="end"/>
      </w:r>
      <w:r>
        <w:rPr>
          <w:rFonts w:hint="eastAsia"/>
          <w:lang w:eastAsia="zh-CN"/>
        </w:rPr>
        <w:t>计算比重矩阵，按式</w:t>
      </w:r>
      <w:r>
        <w:fldChar w:fldCharType="begin"/>
      </w:r>
      <w:r>
        <w:instrText xml:space="preserve"> HYPERLINK \l "eq:ewm_H" \h </w:instrText>
      </w:r>
      <w:r>
        <w:fldChar w:fldCharType="separate"/>
      </w:r>
      <w:r>
        <w:rPr>
          <w:rStyle w:val="32"/>
          <w:color w:val="auto"/>
          <w:lang w:eastAsia="zh-CN"/>
        </w:rPr>
        <w:t>(3.25)</w:t>
      </w:r>
      <w:r>
        <w:rPr>
          <w:rStyle w:val="32"/>
          <w:color w:val="auto"/>
          <w:lang w:eastAsia="zh-CN"/>
        </w:rPr>
        <w:fldChar w:fldCharType="end"/>
      </w:r>
      <w:r>
        <w:rPr>
          <w:rFonts w:hint="eastAsia"/>
          <w:lang w:eastAsia="zh-CN"/>
        </w:rPr>
        <w:t>计算各子指标的信息熵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和效用值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jq</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w:t>
      </w:r>
      <w:r>
        <w:rPr>
          <w:lang w:eastAsia="zh-CN"/>
        </w:rPr>
        <w:t xml:space="preserve"> </w:t>
      </w:r>
      <w:r>
        <w:rPr>
          <w:rFonts w:hint="eastAsia"/>
          <w:lang w:eastAsia="zh-CN"/>
        </w:rPr>
        <w:t>再通过式</w:t>
      </w:r>
      <w:r>
        <w:fldChar w:fldCharType="begin"/>
      </w:r>
      <w:r>
        <w:instrText xml:space="preserve"> HYPERLINK \l "eq:ewm_W" \h </w:instrText>
      </w:r>
      <w:r>
        <w:fldChar w:fldCharType="separate"/>
      </w:r>
      <w:r>
        <w:rPr>
          <w:rStyle w:val="32"/>
          <w:color w:val="auto"/>
          <w:lang w:eastAsia="zh-CN"/>
        </w:rPr>
        <w:t>(3.27)</w:t>
      </w:r>
      <w:r>
        <w:rPr>
          <w:rStyle w:val="32"/>
          <w:color w:val="auto"/>
          <w:lang w:eastAsia="zh-CN"/>
        </w:rPr>
        <w:fldChar w:fldCharType="end"/>
      </w:r>
      <w:r>
        <w:rPr>
          <w:rFonts w:hint="eastAsia"/>
          <w:lang w:eastAsia="zh-CN"/>
        </w:rPr>
        <w:t>得到子指标熵权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b w:val="0"/>
                <w:i w:val="0"/>
                <w:lang w:eastAsia="zh-CN"/>
              </w:rPr>
              <m:t>EWM</m:t>
            </m:r>
            <m:ctrlPr>
              <w:rPr>
                <w:rFonts w:ascii="Cambria Math" w:hAnsi="Cambria Math"/>
              </w:rPr>
            </m:ctrlPr>
          </m:sup>
        </m:sSubSup>
      </m:oMath>
      <w:r>
        <w:rPr>
          <w:rFonts w:hint="eastAsia"/>
          <w:lang w:eastAsia="zh-CN"/>
        </w:rPr>
        <w:t>，满足</w:t>
      </w:r>
      <m:oMath>
        <m:nary>
          <m:naryPr>
            <m:chr m:val="∑"/>
            <m:limLoc m:val="undOvr"/>
            <m:ctrlPr>
              <w:rPr>
                <w:rFonts w:ascii="Cambria Math" w:hAnsi="Cambria Math"/>
              </w:rPr>
            </m:ctrlPr>
          </m:naryPr>
          <m:sub>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b w:val="0"/>
                    <w:i w:val="0"/>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lang w:eastAsia="zh-CN"/>
        </w:rPr>
        <w:t xml:space="preserve">。 </w:t>
      </w:r>
      <w:r>
        <w:rPr>
          <w:rFonts w:hint="eastAsia"/>
          <w:lang w:eastAsia="zh-CN"/>
        </w:rPr>
        <w:t>最后，项目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上的综合得分为</w:t>
      </w:r>
    </w:p>
    <w:p w14:paraId="6DA25FE1">
      <w:pPr>
        <w:pStyle w:val="95"/>
      </w:pPr>
      <w:r>
        <w:rPr>
          <w:rFonts w:eastAsia="宋体" w:cstheme="minorBidi"/>
        </w:rPr>
        <w:tab/>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q</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jq</m:t>
                </m:r>
                <m:ctrlPr>
                  <w:rPr>
                    <w:rFonts w:ascii="Cambria Math" w:hAnsi="Cambria Math"/>
                  </w:rPr>
                </m:ctrlPr>
              </m:sub>
              <m:sup>
                <m:r>
                  <m:rPr>
                    <m:nor/>
                    <m:sty m:val="p"/>
                  </m:rPr>
                  <w:rPr>
                    <w:b w:val="0"/>
                    <w:i w:val="0"/>
                  </w:rPr>
                  <m:t>EWM</m:t>
                </m:r>
                <m:ctrlPr>
                  <w:rPr>
                    <w:rFonts w:ascii="Cambria Math" w:hAnsi="Cambria Math"/>
                  </w:rPr>
                </m:ctrlPr>
              </m:sup>
            </m:sSubSup>
            <m:ctrlPr>
              <w:rPr>
                <w:rFonts w:ascii="Cambria Math" w:hAnsi="Cambria Math"/>
              </w:rPr>
            </m:ctrlPr>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 xml:space="preserve">jq </m:t>
            </m:r>
            <m:ctrlPr>
              <w:rPr>
                <w:rFonts w:ascii="Cambria Math" w:hAnsi="Cambria Math"/>
              </w:rPr>
            </m:ctrlPr>
          </m:sub>
        </m:sSub>
        <m:r>
          <m:rPr>
            <m:sty m:val="p"/>
          </m:rPr>
          <w:rPr>
            <w:rFonts w:ascii="Cambria Math" w:hAnsi="Cambria Math"/>
          </w:rPr>
          <m:t>,</m:t>
        </m:r>
      </m:oMath>
      <w:bookmarkStart w:id="76" w:name="eq_subscore"/>
      <w:r>
        <w:rPr>
          <w:sz w:val="20"/>
        </w:rPr>
        <w:t xml:space="preserve"> </w:t>
      </w:r>
      <w:r>
        <w:rPr>
          <w:rFonts w:eastAsiaTheme="minorEastAsia"/>
          <w:sz w:val="20"/>
        </w:rPr>
        <w:tab/>
      </w:r>
      <w:r>
        <w:rPr>
          <w:rFonts w:eastAsiaTheme="minorEastAsia"/>
          <w:sz w:val="20"/>
        </w:rPr>
        <w:tab/>
      </w:r>
      <w:r>
        <w:rPr>
          <w:sz w:val="20"/>
        </w:rPr>
        <w:t>(3.28)</w:t>
      </w:r>
      <w:bookmarkEnd w:id="76"/>
    </w:p>
    <w:p w14:paraId="0945230B">
      <w:pPr>
        <w:pStyle w:val="35"/>
        <w:ind w:firstLine="480"/>
        <w:rPr>
          <w:lang w:eastAsia="zh-CN"/>
        </w:rPr>
      </w:pPr>
      <w:r>
        <w:rPr>
          <w:rFonts w:hint="eastAsia"/>
          <w:lang w:eastAsia="zh-CN"/>
        </w:rPr>
        <w:t>即各子指标标准化值按EWM熵权加权求和。</w:t>
      </w:r>
    </w:p>
    <w:p w14:paraId="3C5E0A7A">
      <w:pPr>
        <w:pStyle w:val="35"/>
        <w:ind w:firstLine="482"/>
        <w:rPr>
          <w:lang w:eastAsia="zh-CN"/>
        </w:rPr>
      </w:pPr>
      <w:r>
        <w:rPr>
          <w:rFonts w:hint="eastAsia"/>
          <w:b/>
          <w:bCs/>
          <w:lang w:eastAsia="zh-CN"/>
        </w:rPr>
        <w:t>第一层</w:t>
      </w:r>
      <w:r>
        <w:rPr>
          <w:rFonts w:hint="eastAsia"/>
          <w:lang w:eastAsia="zh-CN"/>
        </w:rPr>
        <w:t>（主维度层）接收第二层输出的</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通过AHP与EWM分别得到六个主维度的主观权重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b w:val="0"/>
                <w:i w:val="0"/>
                <w:lang w:eastAsia="zh-CN"/>
              </w:rPr>
              <m:t>AHP</m:t>
            </m:r>
            <m:ctrlPr>
              <w:rPr>
                <w:rFonts w:ascii="Cambria Math" w:hAnsi="Cambria Math"/>
              </w:rPr>
            </m:ctrlPr>
          </m:sup>
        </m:sSup>
      </m:oMath>
      <w:r>
        <w:rPr>
          <w:rFonts w:hint="eastAsia"/>
          <w:lang w:eastAsia="zh-CN"/>
        </w:rPr>
        <w:t>和客观权重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b w:val="0"/>
                <w:i w:val="0"/>
                <w:lang w:eastAsia="zh-CN"/>
              </w:rPr>
              <m:t>EWM</m:t>
            </m:r>
            <m:ctrlPr>
              <w:rPr>
                <w:rFonts w:ascii="Cambria Math" w:hAnsi="Cambria Math"/>
              </w:rPr>
            </m:ctrlPr>
          </m:sup>
        </m:sSup>
      </m:oMath>
      <w:r>
        <w:rPr>
          <w:rFonts w:hint="eastAsia"/>
          <w:lang w:eastAsia="zh-CN"/>
        </w:rPr>
        <w:t>，</w:t>
      </w:r>
      <w:r>
        <w:rPr>
          <w:lang w:eastAsia="zh-CN"/>
        </w:rPr>
        <w:t xml:space="preserve"> </w:t>
      </w:r>
      <w:r>
        <w:rPr>
          <w:rFonts w:hint="eastAsia"/>
          <w:lang w:eastAsia="zh-CN"/>
        </w:rPr>
        <w:t>再按式</w:t>
      </w:r>
      <w:r>
        <w:fldChar w:fldCharType="begin"/>
      </w:r>
      <w:r>
        <w:instrText xml:space="preserve"> HYPERLINK \l "eq:hybrid_weight" \h </w:instrText>
      </w:r>
      <w:r>
        <w:fldChar w:fldCharType="separate"/>
      </w:r>
      <w:r>
        <w:rPr>
          <w:rStyle w:val="32"/>
          <w:color w:val="auto"/>
          <w:lang w:eastAsia="zh-CN"/>
        </w:rPr>
        <w:t>(3.29)</w:t>
      </w:r>
      <w:r>
        <w:rPr>
          <w:rStyle w:val="32"/>
          <w:color w:val="auto"/>
          <w:lang w:eastAsia="zh-CN"/>
        </w:rPr>
        <w:fldChar w:fldCharType="end"/>
      </w:r>
      <w:r>
        <w:rPr>
          <w:rFonts w:hint="eastAsia"/>
          <w:lang w:eastAsia="zh-CN"/>
        </w:rPr>
        <w:t>组合为混合权重</w:t>
      </w:r>
      <m:oMath>
        <m:r>
          <m:rPr/>
          <w:rPr>
            <w:rFonts w:ascii="Cambria Math" w:hAnsi="Cambria Math"/>
            <w:lang w:eastAsia="zh-CN"/>
          </w:rPr>
          <m:t>W</m:t>
        </m:r>
      </m:oMath>
      <w:r>
        <w:rPr>
          <w:lang w:eastAsia="zh-CN"/>
        </w:rPr>
        <w:t xml:space="preserve">。 </w:t>
      </w:r>
      <w:r>
        <w:rPr>
          <w:rFonts w:hint="eastAsia"/>
          <w:lang w:eastAsia="zh-CN"/>
        </w:rPr>
        <w:t>两层结构的优点在于底层子指标权重完全由12个项目的数据差异驱动，</w:t>
      </w:r>
      <w:r>
        <w:rPr>
          <w:lang w:eastAsia="zh-CN"/>
        </w:rPr>
        <w:t xml:space="preserve"> </w:t>
      </w:r>
      <w:r>
        <w:rPr>
          <w:rFonts w:hint="eastAsia"/>
          <w:lang w:eastAsia="zh-CN"/>
        </w:rPr>
        <w:t>避免了主观预设子指标权重的任意性；</w:t>
      </w:r>
      <w:r>
        <w:rPr>
          <w:lang w:eastAsia="zh-CN"/>
        </w:rPr>
        <w:t xml:space="preserve"> </w:t>
      </w:r>
      <w:r>
        <w:rPr>
          <w:rFonts w:hint="eastAsia"/>
          <w:lang w:eastAsia="zh-CN"/>
        </w:rPr>
        <w:t>顶层混合权重则综合了专家经验和数据信息，</w:t>
      </w:r>
      <w:r>
        <w:rPr>
          <w:lang w:eastAsia="zh-CN"/>
        </w:rPr>
        <w:t xml:space="preserve"> </w:t>
      </w:r>
      <w:r>
        <w:rPr>
          <w:rFonts w:hint="eastAsia"/>
          <w:lang w:eastAsia="zh-CN"/>
        </w:rPr>
        <w:t>保证了六个维度相对重要性的决策透明度。</w:t>
      </w:r>
    </w:p>
    <w:bookmarkEnd w:id="66"/>
    <w:bookmarkEnd w:id="75"/>
    <w:p w14:paraId="7EC4CDF9">
      <w:pPr>
        <w:pStyle w:val="4"/>
        <w:rPr>
          <w:rFonts w:hint="eastAsia"/>
          <w:lang w:eastAsia="zh-CN"/>
        </w:rPr>
      </w:pPr>
      <w:bookmarkStart w:id="77" w:name="_Toc229523243"/>
      <w:bookmarkStart w:id="78" w:name="混合权重组合"/>
      <w:r>
        <w:rPr>
          <w:rStyle w:val="62"/>
          <w:rFonts w:eastAsia="黑体" w:cs="Times New Roman"/>
          <w:color w:val="auto"/>
          <w:sz w:val="28"/>
          <w:szCs w:val="28"/>
          <w:lang w:eastAsia="zh-CN"/>
        </w:rPr>
        <w:t>3.6</w:t>
      </w:r>
      <w:r>
        <w:rPr>
          <w:lang w:eastAsia="zh-CN"/>
        </w:rPr>
        <w:tab/>
      </w:r>
      <w:r>
        <w:rPr>
          <w:rFonts w:hint="eastAsia"/>
          <w:lang w:eastAsia="zh-CN"/>
        </w:rPr>
        <w:t>混合权重组合</w:t>
      </w:r>
      <w:bookmarkEnd w:id="77"/>
    </w:p>
    <w:p w14:paraId="5F1EB9A0">
      <w:pPr>
        <w:pStyle w:val="5"/>
        <w:rPr>
          <w:rFonts w:hint="eastAsia"/>
          <w:lang w:eastAsia="zh-CN"/>
        </w:rPr>
      </w:pPr>
      <w:bookmarkStart w:id="79" w:name="线性组合模型-1"/>
      <w:r>
        <w:rPr>
          <w:rStyle w:val="62"/>
          <w:rFonts w:eastAsia="黑体" w:cs="Times New Roman"/>
          <w:color w:val="auto"/>
          <w:sz w:val="26"/>
          <w:szCs w:val="26"/>
          <w:lang w:eastAsia="zh-CN"/>
        </w:rPr>
        <w:t>3.6.1</w:t>
      </w:r>
      <w:r>
        <w:rPr>
          <w:lang w:eastAsia="zh-CN"/>
        </w:rPr>
        <w:tab/>
      </w:r>
      <w:r>
        <w:rPr>
          <w:rFonts w:hint="eastAsia"/>
          <w:lang w:eastAsia="zh-CN"/>
        </w:rPr>
        <w:t>线性组合模型</w:t>
      </w:r>
    </w:p>
    <w:p w14:paraId="38C405D1">
      <w:pPr>
        <w:pStyle w:val="35"/>
        <w:ind w:firstLine="480"/>
        <w:rPr>
          <w:lang w:eastAsia="zh-CN"/>
        </w:rPr>
      </w:pPr>
      <w:r>
        <w:rPr>
          <w:rFonts w:hint="eastAsia"/>
          <w:lang w:eastAsia="zh-CN"/>
        </w:rPr>
        <w:t>如2.3.2节说的，本研究用线性加权组合AHP和EWM。</w:t>
      </w:r>
      <w:r>
        <w:rPr>
          <w:lang w:eastAsia="zh-CN"/>
        </w:rPr>
        <w:t xml:space="preserve"> </w:t>
      </w:r>
      <w:r>
        <w:rPr>
          <w:rFonts w:hint="eastAsia"/>
          <w:lang w:eastAsia="zh-CN"/>
        </w:rPr>
        <w:t>奥运评估的结果要给IOC、体育联合会和公众看，线性组合的加权平均意思很好懂，没什么数学背景也能理解。</w:t>
      </w:r>
      <w:r>
        <w:rPr>
          <w:lang w:eastAsia="zh-CN"/>
        </w:rPr>
        <w:t xml:space="preserve"> </w:t>
      </w:r>
      <w:r>
        <w:rPr>
          <w:rFonts w:hint="eastAsia"/>
          <w:lang w:eastAsia="zh-CN"/>
        </w:rPr>
        <w:t>有界性保证混合权重不会超出AHP和EWM的范围，不会出现极端值。</w:t>
      </w:r>
      <w:r>
        <w:rPr>
          <w:lang w:eastAsia="zh-CN"/>
        </w:rPr>
        <w:t xml:space="preserve"> </w:t>
      </w:r>
      <m:oMath>
        <m:r>
          <m:rPr/>
          <w:rPr>
            <w:rFonts w:ascii="Cambria Math" w:hAnsi="Cambria Math"/>
            <w:lang w:eastAsia="zh-CN"/>
          </w:rPr>
          <m:t>α</m:t>
        </m:r>
      </m:oMath>
      <w:r>
        <w:rPr>
          <w:rFonts w:hint="eastAsia"/>
          <w:lang w:eastAsia="zh-CN"/>
        </w:rPr>
        <w:t>可以调，如果某届性别平等数据比较可靠就偏向EWM，如果对新兴项目的数据不太放心就偏向AHP，比较灵活。</w:t>
      </w:r>
    </w:p>
    <w:p w14:paraId="532002D5">
      <w:pPr>
        <w:pStyle w:val="35"/>
        <w:ind w:firstLine="480"/>
        <w:rPr>
          <w:lang w:eastAsia="zh-CN"/>
        </w:rPr>
      </w:pPr>
      <w:r>
        <w:rPr>
          <w:rFonts w:hint="eastAsia"/>
          <w:lang w:eastAsia="zh-CN"/>
        </w:rPr>
        <w:t>混合权重模型的形式为：</w:t>
      </w:r>
    </w:p>
    <w:p w14:paraId="0E199267">
      <w:pPr>
        <w:pStyle w:val="95"/>
      </w:pPr>
      <w:r>
        <w:rPr>
          <w:rFonts w:eastAsia="宋体" w:cstheme="minorBidi"/>
          <w:iCs/>
        </w:rPr>
        <w:tab/>
      </w:r>
      <w:bookmarkStart w:id="80" w:name="eq_hybrid_weight"/>
      <m:oMath>
        <m:r>
          <m:rPr/>
          <w:rPr>
            <w:rFonts w:ascii="Cambria Math" w:hAnsi="Cambria Math"/>
          </w:rPr>
          <m:t>W</m:t>
        </m:r>
        <m:r>
          <m:rPr>
            <m:sty m:val="p"/>
          </m:rPr>
          <w:rPr>
            <w:rFonts w:ascii="Cambria Math" w:hAnsi="Cambria Math"/>
          </w:rPr>
          <m:t>=</m:t>
        </m:r>
        <m:r>
          <m:rPr/>
          <w:rPr>
            <w:rFonts w:ascii="Cambria Math" w:hAnsi="Cambria Math"/>
          </w:rPr>
          <m:t>α</m:t>
        </m:r>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AHP</m:t>
            </m:r>
            <m:ctrlPr>
              <w:rPr>
                <w:rFonts w:ascii="Cambria Math" w:hAnsi="Cambria Math"/>
              </w:rPr>
            </m:ctrlP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EWM</m:t>
            </m:r>
            <m:ctrlPr>
              <w:rPr>
                <w:rFonts w:ascii="Cambria Math" w:hAnsi="Cambria Math"/>
              </w:rPr>
            </m:ctrlPr>
          </m:sup>
        </m:sSup>
        <m:r>
          <m:rPr>
            <m:sty m:val="p"/>
          </m:rPr>
          <w:rPr>
            <w:rFonts w:ascii="Cambria Math" w:hAnsi="Cambria Math"/>
          </w:rPr>
          <m:t>.</m:t>
        </m:r>
      </m:oMath>
      <w:r>
        <w:rPr>
          <w:rFonts w:eastAsia="宋体" w:cstheme="minorBidi"/>
        </w:rPr>
        <w:tab/>
      </w:r>
      <w:r>
        <w:rPr>
          <w:rFonts w:eastAsia="宋体" w:cstheme="minorBidi"/>
        </w:rPr>
        <w:tab/>
      </w:r>
      <w:r>
        <w:rPr>
          <w:sz w:val="20"/>
        </w:rPr>
        <w:t>(3.29)</w:t>
      </w:r>
      <w:bookmarkEnd w:id="80"/>
    </w:p>
    <w:p w14:paraId="061237E9">
      <w:pPr>
        <w:pStyle w:val="35"/>
        <w:ind w:firstLine="480"/>
        <w:rPr>
          <w:lang w:eastAsia="zh-CN"/>
        </w:rPr>
      </w:pPr>
      <w:r>
        <w:rPr>
          <w:rFonts w:hint="eastAsia"/>
          <w:lang w:eastAsia="zh-CN"/>
        </w:rPr>
        <w:t>本研究取</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不偏主观也不偏客观，</w:t>
      </w:r>
      <w:r>
        <w:rPr>
          <w:lang w:eastAsia="zh-CN"/>
        </w:rPr>
        <w:t xml:space="preserve"> </w:t>
      </w:r>
      <w:r>
        <w:rPr>
          <w:rFonts w:hint="eastAsia"/>
          <w:lang w:eastAsia="zh-CN"/>
        </w:rPr>
        <w:t>在没有先验信息的情况下比较合理</w:t>
      </w:r>
      <w:r>
        <w:rPr>
          <w:vertAlign w:val="superscript"/>
          <w:lang w:eastAsia="zh-CN"/>
        </w:rPr>
        <w:t>[19,20]</w:t>
      </w:r>
      <w:r>
        <w:rPr>
          <w:lang w:eastAsia="zh-CN"/>
        </w:rPr>
        <w:t xml:space="preserve">。 </w:t>
      </w:r>
      <w:r>
        <w:rPr>
          <w:rFonts w:hint="eastAsia"/>
          <w:lang w:eastAsia="zh-CN"/>
        </w:rPr>
        <w:t>后续将通过灵敏度分析（4.5节）验证</w:t>
      </w:r>
      <m:oMath>
        <m:r>
          <m:rPr/>
          <w:rPr>
            <w:rFonts w:ascii="Cambria Math" w:hAnsi="Cambria Math"/>
            <w:lang w:eastAsia="zh-CN"/>
          </w:rPr>
          <m:t>α</m:t>
        </m:r>
      </m:oMath>
      <w:r>
        <w:rPr>
          <w:rFonts w:hint="eastAsia"/>
          <w:lang w:eastAsia="zh-CN"/>
        </w:rPr>
        <w:t>在</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区间里排名的稳定性。</w:t>
      </w:r>
    </w:p>
    <w:bookmarkEnd w:id="79"/>
    <w:p w14:paraId="03F7ABDB">
      <w:pPr>
        <w:pStyle w:val="5"/>
        <w:rPr>
          <w:rFonts w:hint="eastAsia"/>
          <w:lang w:eastAsia="zh-CN"/>
        </w:rPr>
      </w:pPr>
      <w:bookmarkStart w:id="81" w:name="混合权重的数学性质"/>
      <w:r>
        <w:rPr>
          <w:rStyle w:val="62"/>
          <w:rFonts w:ascii="黑体" w:hAnsi="黑体" w:eastAsia="黑体"/>
          <w:lang w:eastAsia="zh-CN"/>
        </w:rPr>
        <w:t>3.6.2</w:t>
      </w:r>
      <w:r>
        <w:rPr>
          <w:lang w:eastAsia="zh-CN"/>
        </w:rPr>
        <w:tab/>
      </w:r>
      <w:r>
        <w:rPr>
          <w:lang w:eastAsia="zh-CN"/>
        </w:rPr>
        <w:t>混合权重的数学性质</w:t>
      </w:r>
    </w:p>
    <w:p w14:paraId="4F88AB9A">
      <w:pPr>
        <w:pStyle w:val="35"/>
        <w:ind w:firstLine="480"/>
        <w:rPr>
          <w:lang w:eastAsia="zh-CN"/>
        </w:rPr>
      </w:pPr>
      <w:r>
        <w:rPr>
          <w:lang w:eastAsia="zh-CN"/>
        </w:rPr>
        <w:t>混合权重</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具有三个重要的数学性质。 一是有界性， 对于任意</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 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严格介于主观权重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AHP</m:t>
            </m:r>
            <m:ctrlPr>
              <w:rPr>
                <w:rFonts w:ascii="Cambria Math" w:hAnsi="Cambria Math"/>
              </w:rPr>
            </m:ctrlPr>
          </m:sup>
        </m:sSubSup>
      </m:oMath>
      <w:r>
        <w:rPr>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 xml:space="preserve">之间， 保证不会偏离主客观权重太远。 二是单调性， </w:t>
      </w:r>
      <m:oMath>
        <m:r>
          <m:rPr/>
          <w:rPr>
            <w:rFonts w:ascii="Cambria Math" w:hAnsi="Cambria Math"/>
            <w:lang w:eastAsia="zh-CN"/>
          </w:rPr>
          <m:t>α</m:t>
        </m:r>
      </m:oMath>
      <w:r>
        <w:rPr>
          <w:lang w:eastAsia="zh-CN"/>
        </w:rPr>
        <w:t>增大时向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靠近， 减小时向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靠近， 决策者可以通过调节</w:t>
      </w:r>
      <m:oMath>
        <m:r>
          <m:rPr/>
          <w:rPr>
            <w:rFonts w:ascii="Cambria Math" w:hAnsi="Cambria Math"/>
            <w:lang w:eastAsia="zh-CN"/>
          </w:rPr>
          <m:t>α</m:t>
        </m:r>
      </m:oMath>
      <w:r>
        <w:rPr>
          <w:lang w:eastAsia="zh-CN"/>
        </w:rPr>
        <w:t>来体现对不同信息的偏好。 三是凸组合性质，</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自动等于1，无需额外归一化处理。</w:t>
      </w:r>
    </w:p>
    <w:bookmarkEnd w:id="81"/>
    <w:p w14:paraId="492C11E1">
      <w:pPr>
        <w:pStyle w:val="5"/>
        <w:rPr>
          <w:rFonts w:hint="eastAsia"/>
          <w:lang w:eastAsia="zh-CN"/>
        </w:rPr>
      </w:pPr>
      <w:bookmarkStart w:id="82" w:name="组合系数确定-1"/>
      <w:r>
        <w:rPr>
          <w:rStyle w:val="62"/>
          <w:rFonts w:ascii="黑体" w:hAnsi="黑体" w:eastAsia="黑体"/>
          <w:lang w:eastAsia="zh-CN"/>
        </w:rPr>
        <w:t>3.6.3</w:t>
      </w:r>
      <w:r>
        <w:rPr>
          <w:lang w:eastAsia="zh-CN"/>
        </w:rPr>
        <w:tab/>
      </w:r>
      <w:r>
        <w:rPr>
          <w:lang w:eastAsia="zh-CN"/>
        </w:rPr>
        <w:t>组合系数确定</w:t>
      </w:r>
    </w:p>
    <w:p w14:paraId="3AB6C3E6">
      <w:pPr>
        <w:pStyle w:val="35"/>
        <w:ind w:firstLine="480"/>
        <w:rPr>
          <w:lang w:eastAsia="zh-CN"/>
        </w:rPr>
      </w:pPr>
      <w:r>
        <w:rPr>
          <w:lang w:eastAsia="zh-CN"/>
        </w:rPr>
        <w:t>本研究推荐</w:t>
      </w:r>
      <m:oMath>
        <m:r>
          <m:rPr/>
          <w:rPr>
            <w:rFonts w:ascii="Cambria Math" w:hAnsi="Cambria Math"/>
            <w:lang w:eastAsia="zh-CN"/>
          </w:rPr>
          <m:t>α</m:t>
        </m:r>
        <m:r>
          <m:rPr>
            <m:sty m:val="p"/>
          </m:rPr>
          <w:rPr>
            <w:rFonts w:ascii="Cambria Math" w:hAnsi="Cambria Math"/>
            <w:lang w:eastAsia="zh-CN"/>
          </w:rPr>
          <m:t>=0.5</m:t>
        </m:r>
      </m:oMath>
      <w:r>
        <w:rPr>
          <w:lang w:eastAsia="zh-CN"/>
        </w:rPr>
        <w:t>，即主客观权重等权组合。 这一选择主要基于以下考虑：在缺乏先验信息的情况下， 等权组合是一种自然且公平的选择， 且</w:t>
      </w:r>
      <m:oMath>
        <m:r>
          <m:rPr/>
          <w:rPr>
            <w:rFonts w:ascii="Cambria Math" w:hAnsi="Cambria Math"/>
            <w:lang w:eastAsia="zh-CN"/>
          </w:rPr>
          <m:t>α</m:t>
        </m:r>
        <m:r>
          <m:rPr>
            <m:sty m:val="p"/>
          </m:rPr>
          <w:rPr>
            <w:rFonts w:ascii="Cambria Math" w:hAnsi="Cambria Math"/>
            <w:lang w:eastAsia="zh-CN"/>
          </w:rPr>
          <m:t>=0.5</m:t>
        </m:r>
      </m:oMath>
      <w:r>
        <w:rPr>
          <w:lang w:eastAsia="zh-CN"/>
        </w:rPr>
        <w:t>在已有文献中最为常用[19,20]。 后续将通过灵敏度分析验证</w:t>
      </w:r>
      <m:oMath>
        <m:r>
          <m:rPr/>
          <w:rPr>
            <w:rFonts w:ascii="Cambria Math" w:hAnsi="Cambria Math"/>
            <w:lang w:eastAsia="zh-CN"/>
          </w:rPr>
          <m:t>α</m:t>
        </m:r>
        <m:r>
          <m:rPr>
            <m:sty m:val="p"/>
          </m:rPr>
          <w:rPr>
            <w:rFonts w:ascii="Cambria Math" w:hAnsi="Cambria Math"/>
            <w:lang w:eastAsia="zh-CN"/>
          </w:rPr>
          <m:t>=0.5</m:t>
        </m:r>
      </m:oMath>
      <w:r>
        <w:rPr>
          <w:lang w:eastAsia="zh-CN"/>
        </w:rPr>
        <w:t>附近排名的稳定性。 实际应用中，决策者可以根据对专家经验和客观数据的不同信任程度，在</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范围内灵活调整</w:t>
      </w:r>
      <m:oMath>
        <m:r>
          <m:rPr/>
          <w:rPr>
            <w:rFonts w:ascii="Cambria Math" w:hAnsi="Cambria Math"/>
            <w:lang w:eastAsia="zh-CN"/>
          </w:rPr>
          <m:t>α</m:t>
        </m:r>
      </m:oMath>
      <w:r>
        <w:rPr>
          <w:lang w:eastAsia="zh-CN"/>
        </w:rPr>
        <w:t>。</w:t>
      </w:r>
    </w:p>
    <w:bookmarkEnd w:id="78"/>
    <w:bookmarkEnd w:id="82"/>
    <w:p w14:paraId="10861C42">
      <w:pPr>
        <w:pStyle w:val="4"/>
        <w:rPr>
          <w:rFonts w:hint="eastAsia"/>
          <w:lang w:eastAsia="zh-CN"/>
        </w:rPr>
      </w:pPr>
      <w:bookmarkStart w:id="83" w:name="_Toc229523244"/>
      <w:bookmarkStart w:id="84" w:name="模型有效性分析"/>
      <w:r>
        <w:rPr>
          <w:rStyle w:val="62"/>
          <w:rFonts w:ascii="黑体" w:hAnsi="黑体" w:eastAsia="黑体"/>
          <w:sz w:val="28"/>
          <w:szCs w:val="28"/>
          <w:lang w:eastAsia="zh-CN"/>
        </w:rPr>
        <w:t>3.7</w:t>
      </w:r>
      <w:r>
        <w:rPr>
          <w:lang w:eastAsia="zh-CN"/>
        </w:rPr>
        <w:tab/>
      </w:r>
      <w:r>
        <w:rPr>
          <w:lang w:eastAsia="zh-CN"/>
        </w:rPr>
        <w:t>模型有效性分析</w:t>
      </w:r>
      <w:bookmarkEnd w:id="83"/>
    </w:p>
    <w:p w14:paraId="03F6D151">
      <w:pPr>
        <w:pStyle w:val="5"/>
        <w:rPr>
          <w:rFonts w:hint="eastAsia"/>
          <w:lang w:eastAsia="zh-CN"/>
        </w:rPr>
      </w:pPr>
      <w:bookmarkStart w:id="85" w:name="与传统方法对比"/>
      <w:r>
        <w:rPr>
          <w:rStyle w:val="62"/>
          <w:rFonts w:ascii="黑体" w:hAnsi="黑体" w:eastAsia="黑体"/>
          <w:lang w:eastAsia="zh-CN"/>
        </w:rPr>
        <w:t>3.7.1</w:t>
      </w:r>
      <w:r>
        <w:rPr>
          <w:lang w:eastAsia="zh-CN"/>
        </w:rPr>
        <w:tab/>
      </w:r>
      <w:r>
        <w:rPr>
          <w:lang w:eastAsia="zh-CN"/>
        </w:rPr>
        <w:t>与传统方法对比</w:t>
      </w:r>
    </w:p>
    <w:p w14:paraId="2EC8D2E3">
      <w:pPr>
        <w:pStyle w:val="35"/>
        <w:ind w:firstLine="480"/>
        <w:rPr>
          <w:lang w:eastAsia="zh-CN"/>
        </w:rPr>
      </w:pPr>
      <w:r>
        <w:rPr>
          <w:lang w:eastAsia="zh-CN"/>
        </w:rPr>
        <w:t>从方法论角度看，混合权重模型相比传统方法有以下几个优势。 第一，通过综合主客观因素，既保留了专家的领域知识，又引入了数据的客观校正，避免了单一方法可能带来的系统性偏差。 第二， 两层权重结构使模型能够适应不同的数据条件， 当某一维度的子指标数据质量较高时， 底层EWM可以充分利用这些信息， 数据质量不足时也可以通过简化子指标结构来维持模型的可用性。 第三，每一步都有完整的数学推导和一致性检验，评估过程透明且可复现。</w:t>
      </w:r>
    </w:p>
    <w:bookmarkEnd w:id="85"/>
    <w:p w14:paraId="694F2CB9">
      <w:pPr>
        <w:pStyle w:val="5"/>
        <w:rPr>
          <w:rFonts w:hint="eastAsia"/>
          <w:lang w:eastAsia="zh-CN"/>
        </w:rPr>
      </w:pPr>
      <w:bookmarkStart w:id="86" w:name="算法实现"/>
      <w:r>
        <w:rPr>
          <w:rStyle w:val="62"/>
          <w:rFonts w:ascii="黑体" w:hAnsi="黑体" w:eastAsia="黑体"/>
          <w:lang w:eastAsia="zh-CN"/>
        </w:rPr>
        <w:t>3.7.2</w:t>
      </w:r>
      <w:r>
        <w:rPr>
          <w:lang w:eastAsia="zh-CN"/>
        </w:rPr>
        <w:tab/>
      </w:r>
      <w:r>
        <w:rPr>
          <w:lang w:eastAsia="zh-CN"/>
        </w:rPr>
        <w:t>算法实现</w:t>
      </w:r>
    </w:p>
    <w:p w14:paraId="307C0532">
      <w:pPr>
        <w:pStyle w:val="35"/>
        <w:spacing w:line="240" w:lineRule="auto"/>
        <w:ind w:firstLine="480"/>
        <w:rPr>
          <w:lang w:eastAsia="zh-CN"/>
        </w:rPr>
      </w:pPr>
      <w:r>
        <w:rPr>
          <w:lang w:eastAsia="zh-CN"/>
        </w:rPr>
        <w:t xml:space="preserve">上述混合权重评估模型的完整计算流程可以通过算法1至算法3的形式进行总结。 算法1描述了AHP主观权重的计算过程，包括特征值求解和一致性检验两个关键步骤。 </w:t>
      </w:r>
    </w:p>
    <w:tbl>
      <w:tblPr>
        <w:tblStyle w:val="30"/>
        <w:tblW w:w="5000" w:type="pct"/>
        <w:jc w:val="center"/>
        <w:tblLayout w:type="autofit"/>
        <w:tblCellMar>
          <w:top w:w="0" w:type="dxa"/>
          <w:left w:w="108" w:type="dxa"/>
          <w:bottom w:w="0" w:type="dxa"/>
          <w:right w:w="108" w:type="dxa"/>
        </w:tblCellMar>
      </w:tblPr>
      <w:tblGrid>
        <w:gridCol w:w="870"/>
        <w:gridCol w:w="7986"/>
      </w:tblGrid>
      <w:tr w14:paraId="225D8EB8">
        <w:tblPrEx>
          <w:tblCellMar>
            <w:top w:w="0" w:type="dxa"/>
            <w:left w:w="108" w:type="dxa"/>
            <w:bottom w:w="0" w:type="dxa"/>
            <w:right w:w="108" w:type="dxa"/>
          </w:tblCellMar>
        </w:tblPrEx>
        <w:trPr>
          <w:trHeight w:val="672" w:hRule="atLeast"/>
          <w:jc w:val="center"/>
        </w:trPr>
        <w:tc>
          <w:tcPr>
            <w:tcW w:w="5000" w:type="pct"/>
            <w:gridSpan w:val="2"/>
            <w:tcBorders>
              <w:top w:val="single" w:color="000000" w:sz="12" w:space="0"/>
              <w:left w:val="nil"/>
              <w:bottom w:val="single" w:color="000000" w:sz="4" w:space="0"/>
              <w:right w:val="nil"/>
            </w:tcBorders>
          </w:tcPr>
          <w:p w14:paraId="40A5593F">
            <w:pPr>
              <w:spacing w:before="200" w:line="240" w:lineRule="atLeast"/>
              <w:jc w:val="both"/>
              <w:rPr>
                <w:b/>
              </w:rPr>
            </w:pPr>
            <w:r>
              <w:rPr>
                <w:rFonts w:ascii="Times New Roman" w:hAnsi="Times New Roman" w:eastAsia="黑体"/>
                <w:b/>
                <w:sz w:val="21"/>
              </w:rPr>
              <w:t>算法1 AHP权重计算</w:t>
            </w:r>
          </w:p>
        </w:tc>
      </w:tr>
      <w:tr w14:paraId="186D8C5C">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A38F199">
            <w:pPr>
              <w:spacing w:before="200" w:line="240" w:lineRule="atLeast"/>
              <w:jc w:val="both"/>
              <w:rPr>
                <w:rFonts w:eastAsiaTheme="minorEastAsia"/>
                <w:b/>
                <w:lang w:eastAsia="zh-CN"/>
              </w:rPr>
            </w:pPr>
            <w:r>
              <w:rPr>
                <w:rFonts w:ascii="Times New Roman" w:hAnsi="Times New Roman"/>
                <w:b/>
                <w:sz w:val="20"/>
              </w:rPr>
              <w:t>1</w:t>
            </w:r>
          </w:p>
        </w:tc>
        <w:tc>
          <w:tcPr>
            <w:tcW w:w="4509" w:type="pct"/>
            <w:tcBorders>
              <w:left w:val="nil"/>
              <w:right w:val="nil"/>
            </w:tcBorders>
          </w:tcPr>
          <w:p w14:paraId="759962BB">
            <w:pPr>
              <w:spacing w:before="200" w:line="240" w:lineRule="atLeast"/>
              <w:jc w:val="both"/>
              <w:rPr>
                <w:b/>
              </w:rPr>
            </w:pPr>
            <w:r>
              <w:rPr>
                <w:rFonts w:ascii="Times New Roman" w:hAnsi="Times New Roman" w:eastAsia="宋体"/>
                <w:b/>
                <w:sz w:val="20"/>
              </w:rPr>
              <w:t xml:space="preserve">输入: 判断矩阵 A </w:t>
            </w:r>
            <w:r>
              <w:rPr>
                <w:rFonts w:ascii="Cambria Math" w:hAnsi="Cambria Math" w:eastAsia="宋体" w:cs="Cambria Math"/>
                <w:b/>
                <w:sz w:val="20"/>
              </w:rPr>
              <w:t>∈</w:t>
            </w:r>
            <w:r>
              <w:rPr>
                <w:rFonts w:ascii="Times New Roman" w:hAnsi="Times New Roman" w:eastAsia="宋体"/>
                <w:b/>
                <w:sz w:val="20"/>
              </w:rPr>
              <w:t xml:space="preserve"> </w:t>
            </w:r>
            <w:r>
              <w:rPr>
                <w:rFonts w:ascii="Times New Roman" w:hAnsi="Times New Roman" w:eastAsia="宋体" w:cs="Times New Roman"/>
                <w:b/>
                <w:sz w:val="20"/>
              </w:rPr>
              <w:t>ℝ</w:t>
            </w:r>
            <w:r>
              <w:rPr>
                <w:rFonts w:ascii="Times New Roman" w:hAnsi="Times New Roman" w:eastAsia="宋体" w:cs="Times New Roman"/>
                <w:b/>
                <w:sz w:val="20"/>
                <w:lang w:eastAsia="zh-CN"/>
              </w:rPr>
              <w:t>ⁿˣⁿ</w:t>
            </w:r>
            <w:r>
              <w:rPr>
                <w:rFonts w:ascii="Times New Roman" w:hAnsi="Times New Roman" w:eastAsia="宋体"/>
                <w:b/>
                <w:sz w:val="20"/>
                <w:lang w:eastAsia="zh-CN"/>
              </w:rPr>
              <w:t>,</w:t>
            </w:r>
          </w:p>
        </w:tc>
      </w:tr>
      <w:tr w14:paraId="1DD968A5">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3DAE529B">
            <w:pPr>
              <w:spacing w:before="200" w:line="240" w:lineRule="atLeast"/>
              <w:jc w:val="both"/>
              <w:rPr>
                <w:rFonts w:eastAsiaTheme="minorEastAsia"/>
                <w:b/>
                <w:lang w:eastAsia="zh-CN"/>
              </w:rPr>
            </w:pPr>
            <w:r>
              <w:rPr>
                <w:rFonts w:ascii="Times New Roman" w:hAnsi="Times New Roman"/>
                <w:b/>
                <w:sz w:val="20"/>
              </w:rPr>
              <w:t>2</w:t>
            </w:r>
          </w:p>
        </w:tc>
        <w:tc>
          <w:tcPr>
            <w:tcW w:w="4509" w:type="pct"/>
            <w:tcBorders>
              <w:left w:val="nil"/>
              <w:right w:val="nil"/>
            </w:tcBorders>
          </w:tcPr>
          <w:p w14:paraId="63A3CC17">
            <w:pPr>
              <w:spacing w:before="200" w:line="240" w:lineRule="atLeast"/>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AHP</w:t>
            </w:r>
            <w:r>
              <w:rPr>
                <w:rFonts w:ascii="Times New Roman" w:hAnsi="Times New Roman" w:eastAsia="宋体"/>
                <w:b/>
                <w:sz w:val="20"/>
                <w:lang w:eastAsia="zh-CN"/>
              </w:rPr>
              <w:t>, 一致性比率 CR</w:t>
            </w:r>
          </w:p>
        </w:tc>
      </w:tr>
      <w:tr w14:paraId="11D335CC">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38905710">
            <w:pPr>
              <w:spacing w:before="200" w:line="240" w:lineRule="atLeast"/>
              <w:jc w:val="both"/>
              <w:rPr>
                <w:b/>
              </w:rPr>
            </w:pPr>
            <w:r>
              <w:rPr>
                <w:rFonts w:ascii="Times New Roman" w:hAnsi="Times New Roman"/>
                <w:b/>
                <w:sz w:val="20"/>
              </w:rPr>
              <w:t>3</w:t>
            </w:r>
          </w:p>
        </w:tc>
        <w:tc>
          <w:tcPr>
            <w:tcW w:w="4509" w:type="pct"/>
            <w:tcBorders>
              <w:left w:val="nil"/>
              <w:right w:val="nil"/>
            </w:tcBorders>
          </w:tcPr>
          <w:p w14:paraId="1468C17B">
            <w:pPr>
              <w:spacing w:before="200" w:line="240" w:lineRule="atLeast"/>
              <w:jc w:val="both"/>
              <w:rPr>
                <w:b/>
              </w:rPr>
            </w:pPr>
            <w:r>
              <w:rPr>
                <w:rFonts w:ascii="Times New Roman" w:hAnsi="Times New Roman" w:eastAsia="宋体"/>
                <w:b/>
                <w:sz w:val="20"/>
              </w:rPr>
              <w:t>求解 AW = λₘₐₓ W</w:t>
            </w:r>
          </w:p>
        </w:tc>
      </w:tr>
      <w:tr w14:paraId="172D560F">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6EC389BB">
            <w:pPr>
              <w:spacing w:before="200" w:line="240" w:lineRule="atLeast"/>
              <w:jc w:val="both"/>
              <w:rPr>
                <w:b/>
              </w:rPr>
            </w:pPr>
            <w:r>
              <w:rPr>
                <w:rFonts w:ascii="Times New Roman" w:hAnsi="Times New Roman"/>
                <w:b/>
                <w:sz w:val="20"/>
              </w:rPr>
              <w:t>4</w:t>
            </w:r>
          </w:p>
        </w:tc>
        <w:tc>
          <w:tcPr>
            <w:tcW w:w="4509" w:type="pct"/>
            <w:tcBorders>
              <w:left w:val="nil"/>
              <w:right w:val="nil"/>
            </w:tcBorders>
          </w:tcPr>
          <w:p w14:paraId="5E87B4BB">
            <w:pPr>
              <w:spacing w:before="200" w:line="240" w:lineRule="atLeast"/>
              <w:jc w:val="both"/>
              <w:rPr>
                <w:b/>
                <w:lang w:eastAsia="zh-CN"/>
              </w:rPr>
            </w:pPr>
            <w:r>
              <w:rPr>
                <w:rFonts w:ascii="Times New Roman" w:hAnsi="Times New Roman" w:eastAsia="宋体"/>
                <w:b/>
                <w:sz w:val="20"/>
                <w:lang w:eastAsia="zh-CN"/>
              </w:rPr>
              <w:t xml:space="preserve">取 </w:t>
            </w:r>
            <w:r>
              <w:rPr>
                <w:rFonts w:ascii="Times New Roman" w:hAnsi="Times New Roman" w:eastAsia="宋体"/>
                <w:b/>
                <w:sz w:val="20"/>
              </w:rPr>
              <w:t>λ</w:t>
            </w:r>
            <w:r>
              <w:rPr>
                <w:rFonts w:ascii="Times New Roman" w:hAnsi="Times New Roman" w:eastAsia="宋体"/>
                <w:b/>
                <w:sz w:val="20"/>
                <w:lang w:eastAsia="zh-CN"/>
              </w:rPr>
              <w:t>ₘₐₓ 对应的特征向量 v</w:t>
            </w:r>
          </w:p>
        </w:tc>
      </w:tr>
      <w:tr w14:paraId="6FF0AFF1">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14B350C">
            <w:pPr>
              <w:spacing w:before="200" w:line="240" w:lineRule="atLeast"/>
              <w:jc w:val="both"/>
              <w:rPr>
                <w:b/>
              </w:rPr>
            </w:pPr>
            <w:r>
              <w:rPr>
                <w:rFonts w:ascii="Times New Roman" w:hAnsi="Times New Roman"/>
                <w:b/>
                <w:sz w:val="20"/>
              </w:rPr>
              <w:t>5</w:t>
            </w:r>
          </w:p>
        </w:tc>
        <w:tc>
          <w:tcPr>
            <w:tcW w:w="4509" w:type="pct"/>
            <w:tcBorders>
              <w:left w:val="nil"/>
              <w:right w:val="nil"/>
            </w:tcBorders>
          </w:tcPr>
          <w:p w14:paraId="7D3EDEA7">
            <w:pPr>
              <w:spacing w:before="200" w:line="240" w:lineRule="atLeast"/>
              <w:jc w:val="both"/>
              <w:rPr>
                <w:b/>
              </w:rPr>
            </w:pPr>
            <w:r>
              <w:rPr>
                <w:rFonts w:ascii="Times New Roman" w:hAnsi="Times New Roman" w:eastAsia="宋体"/>
                <w:b/>
                <w:sz w:val="20"/>
              </w:rPr>
              <w:t>归一化 W</w:t>
            </w:r>
            <w:r>
              <w:rPr>
                <w:rFonts w:hint="eastAsia" w:ascii="Times New Roman" w:hAnsi="Times New Roman" w:eastAsia="宋体"/>
                <w:b/>
                <w:sz w:val="20"/>
                <w:vertAlign w:val="superscript"/>
                <w:lang w:eastAsia="zh-CN"/>
              </w:rPr>
              <w:t>AHP</w:t>
            </w:r>
            <w:r>
              <w:rPr>
                <w:rFonts w:ascii="Times New Roman" w:hAnsi="Times New Roman" w:eastAsia="宋体"/>
                <w:b/>
                <w:sz w:val="20"/>
              </w:rPr>
              <w:t xml:space="preserve"> = v / Σ vᵢ</w:t>
            </w:r>
          </w:p>
        </w:tc>
      </w:tr>
      <w:tr w14:paraId="03F78C38">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F9A9361">
            <w:pPr>
              <w:spacing w:before="200" w:line="240" w:lineRule="atLeast"/>
              <w:jc w:val="both"/>
              <w:rPr>
                <w:b/>
              </w:rPr>
            </w:pPr>
            <w:r>
              <w:rPr>
                <w:rFonts w:ascii="Times New Roman" w:hAnsi="Times New Roman"/>
                <w:b/>
                <w:sz w:val="20"/>
              </w:rPr>
              <w:t>6</w:t>
            </w:r>
          </w:p>
        </w:tc>
        <w:tc>
          <w:tcPr>
            <w:tcW w:w="4509" w:type="pct"/>
            <w:tcBorders>
              <w:left w:val="nil"/>
              <w:right w:val="nil"/>
            </w:tcBorders>
          </w:tcPr>
          <w:p w14:paraId="6814E08E">
            <w:pPr>
              <w:spacing w:before="200" w:line="240" w:lineRule="atLeast"/>
              <w:jc w:val="both"/>
              <w:rPr>
                <w:b/>
              </w:rPr>
            </w:pPr>
            <w:r>
              <w:rPr>
                <w:rFonts w:ascii="Times New Roman" w:hAnsi="Times New Roman" w:eastAsia="宋体"/>
                <w:b/>
                <w:sz w:val="20"/>
              </w:rPr>
              <w:t>CI = (λₘₐₓ−n)/(n−1)</w:t>
            </w:r>
          </w:p>
        </w:tc>
      </w:tr>
      <w:tr w14:paraId="6AE407ED">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ACAF1A5">
            <w:pPr>
              <w:spacing w:before="200" w:line="240" w:lineRule="atLeast"/>
              <w:jc w:val="both"/>
              <w:rPr>
                <w:b/>
              </w:rPr>
            </w:pPr>
            <w:r>
              <w:rPr>
                <w:rFonts w:ascii="Times New Roman" w:hAnsi="Times New Roman"/>
                <w:b/>
                <w:sz w:val="20"/>
              </w:rPr>
              <w:t>7</w:t>
            </w:r>
          </w:p>
        </w:tc>
        <w:tc>
          <w:tcPr>
            <w:tcW w:w="4509" w:type="pct"/>
            <w:tcBorders>
              <w:left w:val="nil"/>
              <w:right w:val="nil"/>
            </w:tcBorders>
          </w:tcPr>
          <w:p w14:paraId="66A534B6">
            <w:pPr>
              <w:spacing w:before="200" w:line="240" w:lineRule="atLeast"/>
              <w:jc w:val="both"/>
              <w:rPr>
                <w:b/>
              </w:rPr>
            </w:pPr>
            <w:r>
              <w:rPr>
                <w:rFonts w:ascii="Times New Roman" w:hAnsi="Times New Roman" w:eastAsia="宋体"/>
                <w:b/>
                <w:sz w:val="20"/>
              </w:rPr>
              <w:t>查表</w:t>
            </w:r>
            <w:r>
              <w:rPr>
                <w:rFonts w:hint="eastAsia" w:ascii="Times New Roman" w:hAnsi="Times New Roman" w:eastAsia="宋体"/>
                <w:b/>
                <w:sz w:val="20"/>
                <w:lang w:eastAsia="zh-CN"/>
              </w:rPr>
              <w:t>得</w:t>
            </w:r>
            <w:r>
              <w:rPr>
                <w:rFonts w:ascii="Times New Roman" w:hAnsi="Times New Roman" w:eastAsia="宋体"/>
                <w:b/>
                <w:sz w:val="20"/>
              </w:rPr>
              <w:t>RI, 计算 CR = CI / RI</w:t>
            </w:r>
          </w:p>
        </w:tc>
      </w:tr>
      <w:tr w14:paraId="7D773200">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910F8D2">
            <w:pPr>
              <w:spacing w:before="200" w:line="240" w:lineRule="atLeast"/>
              <w:jc w:val="both"/>
              <w:rPr>
                <w:b/>
              </w:rPr>
            </w:pPr>
            <w:r>
              <w:rPr>
                <w:rFonts w:ascii="Times New Roman" w:hAnsi="Times New Roman"/>
                <w:b/>
                <w:sz w:val="20"/>
              </w:rPr>
              <w:t>8</w:t>
            </w:r>
          </w:p>
        </w:tc>
        <w:tc>
          <w:tcPr>
            <w:tcW w:w="4509" w:type="pct"/>
            <w:tcBorders>
              <w:left w:val="nil"/>
              <w:right w:val="nil"/>
            </w:tcBorders>
          </w:tcPr>
          <w:p w14:paraId="2B267585">
            <w:pPr>
              <w:spacing w:before="200" w:line="240" w:lineRule="atLeast"/>
              <w:jc w:val="both"/>
              <w:rPr>
                <w:b/>
              </w:rPr>
            </w:pPr>
            <w:r>
              <w:rPr>
                <w:rFonts w:ascii="Times New Roman" w:hAnsi="Times New Roman" w:eastAsia="宋体"/>
                <w:b/>
                <w:sz w:val="20"/>
              </w:rPr>
              <w:t>if CR &lt; 0.1 then</w:t>
            </w:r>
          </w:p>
        </w:tc>
      </w:tr>
      <w:tr w14:paraId="2B86FA99">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60C61D2A">
            <w:pPr>
              <w:spacing w:before="200" w:line="240" w:lineRule="atLeast"/>
              <w:jc w:val="both"/>
              <w:rPr>
                <w:b/>
              </w:rPr>
            </w:pPr>
            <w:r>
              <w:rPr>
                <w:rFonts w:ascii="Times New Roman" w:hAnsi="Times New Roman"/>
                <w:b/>
                <w:sz w:val="20"/>
              </w:rPr>
              <w:t>9</w:t>
            </w:r>
          </w:p>
        </w:tc>
        <w:tc>
          <w:tcPr>
            <w:tcW w:w="4509" w:type="pct"/>
            <w:tcBorders>
              <w:left w:val="nil"/>
              <w:right w:val="nil"/>
            </w:tcBorders>
          </w:tcPr>
          <w:p w14:paraId="2B59B524">
            <w:pPr>
              <w:spacing w:before="200" w:line="240" w:lineRule="atLeast"/>
              <w:jc w:val="both"/>
              <w:rPr>
                <w:b/>
              </w:rPr>
            </w:pPr>
            <w:r>
              <w:rPr>
                <w:rFonts w:ascii="Times New Roman" w:hAnsi="Times New Roman" w:eastAsia="宋体"/>
                <w:b/>
                <w:sz w:val="20"/>
              </w:rPr>
              <w:t>return Wᵀᴼᵐ, CR</w:t>
            </w:r>
          </w:p>
        </w:tc>
      </w:tr>
      <w:tr w14:paraId="304694F2">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4489539">
            <w:pPr>
              <w:spacing w:before="200" w:line="240" w:lineRule="atLeast"/>
              <w:jc w:val="both"/>
              <w:rPr>
                <w:b/>
              </w:rPr>
            </w:pPr>
            <w:r>
              <w:rPr>
                <w:rFonts w:ascii="Times New Roman" w:hAnsi="Times New Roman"/>
                <w:b/>
                <w:sz w:val="20"/>
              </w:rPr>
              <w:t>10</w:t>
            </w:r>
          </w:p>
        </w:tc>
        <w:tc>
          <w:tcPr>
            <w:tcW w:w="4509" w:type="pct"/>
            <w:tcBorders>
              <w:left w:val="nil"/>
              <w:right w:val="nil"/>
            </w:tcBorders>
          </w:tcPr>
          <w:p w14:paraId="1F919D27">
            <w:pPr>
              <w:spacing w:before="200" w:line="240" w:lineRule="atLeast"/>
              <w:jc w:val="both"/>
              <w:rPr>
                <w:b/>
              </w:rPr>
            </w:pPr>
            <w:r>
              <w:rPr>
                <w:rFonts w:ascii="Times New Roman" w:hAnsi="Times New Roman" w:eastAsia="宋体"/>
                <w:b/>
                <w:sz w:val="20"/>
              </w:rPr>
              <w:t>else</w:t>
            </w:r>
          </w:p>
        </w:tc>
      </w:tr>
      <w:tr w14:paraId="38DF4BA2">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1ECCCF19">
            <w:pPr>
              <w:spacing w:before="200" w:line="240" w:lineRule="atLeast"/>
              <w:jc w:val="both"/>
              <w:rPr>
                <w:b/>
              </w:rPr>
            </w:pPr>
            <w:r>
              <w:rPr>
                <w:rFonts w:ascii="Times New Roman" w:hAnsi="Times New Roman"/>
                <w:b/>
                <w:sz w:val="20"/>
              </w:rPr>
              <w:t>11</w:t>
            </w:r>
          </w:p>
        </w:tc>
        <w:tc>
          <w:tcPr>
            <w:tcW w:w="4509" w:type="pct"/>
            <w:tcBorders>
              <w:left w:val="nil"/>
              <w:right w:val="nil"/>
            </w:tcBorders>
          </w:tcPr>
          <w:p w14:paraId="3231BAFD">
            <w:pPr>
              <w:spacing w:before="200" w:line="240" w:lineRule="atLeast"/>
              <w:jc w:val="both"/>
              <w:rPr>
                <w:b/>
              </w:rPr>
            </w:pPr>
            <w:r>
              <w:rPr>
                <w:rFonts w:ascii="Times New Roman" w:hAnsi="Times New Roman" w:eastAsia="宋体"/>
                <w:b/>
                <w:sz w:val="20"/>
              </w:rPr>
              <w:t>return 需调整判断矩阵</w:t>
            </w:r>
          </w:p>
        </w:tc>
      </w:tr>
      <w:tr w14:paraId="5D899CFA">
        <w:tblPrEx>
          <w:tblCellMar>
            <w:top w:w="0" w:type="dxa"/>
            <w:left w:w="108" w:type="dxa"/>
            <w:bottom w:w="0" w:type="dxa"/>
            <w:right w:w="108" w:type="dxa"/>
          </w:tblCellMar>
        </w:tblPrEx>
        <w:trPr>
          <w:trHeight w:val="672" w:hRule="atLeast"/>
          <w:jc w:val="center"/>
        </w:trPr>
        <w:tc>
          <w:tcPr>
            <w:tcW w:w="491" w:type="pct"/>
            <w:tcBorders>
              <w:left w:val="nil"/>
              <w:bottom w:val="single" w:color="000000" w:sz="12" w:space="0"/>
              <w:right w:val="nil"/>
            </w:tcBorders>
          </w:tcPr>
          <w:p w14:paraId="696569E1">
            <w:pPr>
              <w:spacing w:before="200" w:line="240" w:lineRule="atLeast"/>
              <w:jc w:val="both"/>
              <w:rPr>
                <w:b/>
              </w:rPr>
            </w:pPr>
            <w:r>
              <w:rPr>
                <w:rFonts w:ascii="Times New Roman" w:hAnsi="Times New Roman"/>
                <w:b/>
                <w:sz w:val="20"/>
              </w:rPr>
              <w:t>12</w:t>
            </w:r>
          </w:p>
        </w:tc>
        <w:tc>
          <w:tcPr>
            <w:tcW w:w="4509" w:type="pct"/>
            <w:tcBorders>
              <w:left w:val="nil"/>
              <w:bottom w:val="single" w:color="000000" w:sz="12" w:space="0"/>
              <w:right w:val="nil"/>
            </w:tcBorders>
          </w:tcPr>
          <w:p w14:paraId="729BC962">
            <w:pPr>
              <w:spacing w:before="200" w:line="240" w:lineRule="atLeast"/>
              <w:jc w:val="both"/>
              <w:rPr>
                <w:b/>
              </w:rPr>
            </w:pPr>
            <w:r>
              <w:rPr>
                <w:rFonts w:ascii="Times New Roman" w:hAnsi="Times New Roman" w:eastAsia="宋体"/>
                <w:b/>
                <w:sz w:val="20"/>
              </w:rPr>
              <w:t>end if</w:t>
            </w:r>
          </w:p>
        </w:tc>
      </w:tr>
    </w:tbl>
    <w:p w14:paraId="30CE068E">
      <w:pPr>
        <w:pStyle w:val="35"/>
        <w:ind w:firstLine="480"/>
        <w:rPr>
          <w:lang w:eastAsia="zh-CN"/>
        </w:rPr>
      </w:pPr>
    </w:p>
    <w:p w14:paraId="24E16282">
      <w:pPr>
        <w:pStyle w:val="35"/>
        <w:ind w:firstLine="480"/>
        <w:rPr>
          <w:lang w:eastAsia="zh-CN"/>
        </w:rPr>
      </w:pPr>
      <w:r>
        <w:rPr>
          <w:lang w:eastAsia="zh-CN"/>
        </w:rPr>
        <w:t xml:space="preserve">算法2描述了EWM客观权重的计算过程，包括数据标准化、比重计算、熵值计算和权重计算四个步骤。 </w:t>
      </w:r>
    </w:p>
    <w:tbl>
      <w:tblPr>
        <w:tblStyle w:val="30"/>
        <w:tblW w:w="5000" w:type="pct"/>
        <w:jc w:val="center"/>
        <w:tblLayout w:type="autofit"/>
        <w:tblCellMar>
          <w:top w:w="0" w:type="dxa"/>
          <w:left w:w="108" w:type="dxa"/>
          <w:bottom w:w="0" w:type="dxa"/>
          <w:right w:w="108" w:type="dxa"/>
        </w:tblCellMar>
      </w:tblPr>
      <w:tblGrid>
        <w:gridCol w:w="870"/>
        <w:gridCol w:w="7986"/>
      </w:tblGrid>
      <w:tr w14:paraId="67FC8B23">
        <w:tblPrEx>
          <w:tblCellMar>
            <w:top w:w="0" w:type="dxa"/>
            <w:left w:w="108" w:type="dxa"/>
            <w:bottom w:w="0" w:type="dxa"/>
            <w:right w:w="108" w:type="dxa"/>
          </w:tblCellMar>
        </w:tblPrEx>
        <w:trPr>
          <w:jc w:val="center"/>
        </w:trPr>
        <w:tc>
          <w:tcPr>
            <w:tcW w:w="5000" w:type="pct"/>
            <w:gridSpan w:val="2"/>
            <w:tcBorders>
              <w:top w:val="single" w:color="000000" w:sz="12" w:space="0"/>
              <w:left w:val="nil"/>
              <w:bottom w:val="single" w:color="000000" w:sz="4" w:space="0"/>
              <w:right w:val="nil"/>
            </w:tcBorders>
          </w:tcPr>
          <w:p w14:paraId="2ED2CC83">
            <w:pPr>
              <w:spacing w:before="200"/>
              <w:jc w:val="both"/>
              <w:rPr>
                <w:b/>
              </w:rPr>
            </w:pPr>
            <w:r>
              <w:rPr>
                <w:rFonts w:ascii="Times New Roman" w:hAnsi="Times New Roman" w:eastAsia="黑体"/>
                <w:b/>
                <w:sz w:val="21"/>
              </w:rPr>
              <w:t>算法</w:t>
            </w:r>
            <w:r>
              <w:rPr>
                <w:rFonts w:hint="eastAsia" w:ascii="Times New Roman" w:hAnsi="Times New Roman" w:eastAsia="黑体"/>
                <w:b/>
                <w:sz w:val="21"/>
                <w:lang w:eastAsia="zh-CN"/>
              </w:rPr>
              <w:t>2</w:t>
            </w:r>
            <w:r>
              <w:rPr>
                <w:rFonts w:ascii="Times New Roman" w:hAnsi="Times New Roman" w:eastAsia="黑体"/>
                <w:b/>
                <w:sz w:val="21"/>
              </w:rPr>
              <w:t> </w:t>
            </w:r>
            <w:r>
              <w:rPr>
                <w:rFonts w:hint="eastAsia" w:ascii="Times New Roman" w:hAnsi="Times New Roman" w:eastAsia="黑体"/>
                <w:b/>
                <w:sz w:val="21"/>
                <w:lang w:eastAsia="zh-CN"/>
              </w:rPr>
              <w:t>EWM</w:t>
            </w:r>
            <w:r>
              <w:rPr>
                <w:rFonts w:ascii="Times New Roman" w:hAnsi="Times New Roman" w:eastAsia="黑体"/>
                <w:b/>
                <w:sz w:val="21"/>
              </w:rPr>
              <w:t>权重计算</w:t>
            </w:r>
          </w:p>
        </w:tc>
      </w:tr>
      <w:tr w14:paraId="0F30BF80">
        <w:tblPrEx>
          <w:tblCellMar>
            <w:top w:w="0" w:type="dxa"/>
            <w:left w:w="108" w:type="dxa"/>
            <w:bottom w:w="0" w:type="dxa"/>
            <w:right w:w="108" w:type="dxa"/>
          </w:tblCellMar>
        </w:tblPrEx>
        <w:trPr>
          <w:jc w:val="center"/>
        </w:trPr>
        <w:tc>
          <w:tcPr>
            <w:tcW w:w="491" w:type="pct"/>
            <w:tcBorders>
              <w:left w:val="nil"/>
              <w:right w:val="nil"/>
            </w:tcBorders>
          </w:tcPr>
          <w:p w14:paraId="5E72BDD7">
            <w:pPr>
              <w:spacing w:before="200"/>
              <w:jc w:val="both"/>
              <w:rPr>
                <w:b/>
              </w:rPr>
            </w:pPr>
            <w:r>
              <w:rPr>
                <w:rFonts w:ascii="Times New Roman" w:hAnsi="Times New Roman"/>
                <w:b/>
                <w:sz w:val="20"/>
              </w:rPr>
              <w:t>1</w:t>
            </w:r>
          </w:p>
        </w:tc>
        <w:tc>
          <w:tcPr>
            <w:tcW w:w="4509" w:type="pct"/>
            <w:tcBorders>
              <w:left w:val="nil"/>
              <w:right w:val="nil"/>
            </w:tcBorders>
          </w:tcPr>
          <w:p w14:paraId="72E9D22B">
            <w:pPr>
              <w:spacing w:before="200"/>
              <w:jc w:val="both"/>
              <w:rPr>
                <w:b/>
                <w:lang w:eastAsia="zh-CN"/>
              </w:rPr>
            </w:pPr>
            <w:r>
              <w:rPr>
                <w:rFonts w:ascii="Times New Roman" w:hAnsi="Times New Roman" w:eastAsia="宋体"/>
                <w:b/>
                <w:sz w:val="20"/>
                <w:lang w:eastAsia="zh-CN"/>
              </w:rPr>
              <w:t xml:space="preserve">输入: 决策矩阵 X </w:t>
            </w:r>
            <w:r>
              <w:rPr>
                <w:rFonts w:ascii="Cambria Math" w:hAnsi="Cambria Math" w:eastAsia="宋体" w:cs="Cambria Math"/>
                <w:b/>
                <w:sz w:val="20"/>
                <w:lang w:eastAsia="zh-CN"/>
              </w:rPr>
              <w:t>∈</w:t>
            </w:r>
            <w:r>
              <w:rPr>
                <w:rFonts w:ascii="Times New Roman" w:hAnsi="Times New Roman" w:eastAsia="宋体"/>
                <w:b/>
                <w:sz w:val="20"/>
                <w:lang w:eastAsia="zh-CN"/>
              </w:rPr>
              <w:t xml:space="preserve"> </w:t>
            </w:r>
            <w:r>
              <w:rPr>
                <w:rFonts w:ascii="Times New Roman" w:hAnsi="Times New Roman" w:eastAsia="宋体" w:cs="Times New Roman"/>
                <w:b/>
                <w:sz w:val="20"/>
                <w:lang w:eastAsia="zh-CN"/>
              </w:rPr>
              <w:t>ℝⁿˣ</w:t>
            </w:r>
            <w:r>
              <w:rPr>
                <w:rFonts w:ascii="Times New Roman" w:hAnsi="Times New Roman" w:eastAsia="宋体"/>
                <w:b/>
                <w:sz w:val="20"/>
                <w:lang w:eastAsia="zh-CN"/>
              </w:rPr>
              <w:t>ᵐ, 方向向量 d</w:t>
            </w:r>
          </w:p>
        </w:tc>
      </w:tr>
      <w:tr w14:paraId="096218A9">
        <w:tblPrEx>
          <w:tblCellMar>
            <w:top w:w="0" w:type="dxa"/>
            <w:left w:w="108" w:type="dxa"/>
            <w:bottom w:w="0" w:type="dxa"/>
            <w:right w:w="108" w:type="dxa"/>
          </w:tblCellMar>
        </w:tblPrEx>
        <w:trPr>
          <w:jc w:val="center"/>
        </w:trPr>
        <w:tc>
          <w:tcPr>
            <w:tcW w:w="491" w:type="pct"/>
            <w:tcBorders>
              <w:left w:val="nil"/>
              <w:right w:val="nil"/>
            </w:tcBorders>
          </w:tcPr>
          <w:p w14:paraId="5C2F38FC">
            <w:pPr>
              <w:spacing w:before="200"/>
              <w:jc w:val="both"/>
              <w:rPr>
                <w:b/>
              </w:rPr>
            </w:pPr>
            <w:r>
              <w:rPr>
                <w:rFonts w:ascii="Times New Roman" w:hAnsi="Times New Roman"/>
                <w:b/>
                <w:sz w:val="20"/>
              </w:rPr>
              <w:t>2</w:t>
            </w:r>
          </w:p>
        </w:tc>
        <w:tc>
          <w:tcPr>
            <w:tcW w:w="4509" w:type="pct"/>
            <w:tcBorders>
              <w:left w:val="nil"/>
              <w:right w:val="nil"/>
            </w:tcBorders>
          </w:tcPr>
          <w:p w14:paraId="1AAA1130">
            <w:pPr>
              <w:spacing w:before="200"/>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EWM</w:t>
            </w:r>
            <w:r>
              <w:rPr>
                <w:rFonts w:ascii="Times New Roman" w:hAnsi="Times New Roman" w:eastAsia="宋体"/>
                <w:b/>
                <w:sz w:val="20"/>
                <w:lang w:eastAsia="zh-CN"/>
              </w:rPr>
              <w:t>, 信息熵 H</w:t>
            </w:r>
          </w:p>
        </w:tc>
      </w:tr>
      <w:tr w14:paraId="07C8976C">
        <w:tblPrEx>
          <w:tblCellMar>
            <w:top w:w="0" w:type="dxa"/>
            <w:left w:w="108" w:type="dxa"/>
            <w:bottom w:w="0" w:type="dxa"/>
            <w:right w:w="108" w:type="dxa"/>
          </w:tblCellMar>
        </w:tblPrEx>
        <w:trPr>
          <w:jc w:val="center"/>
        </w:trPr>
        <w:tc>
          <w:tcPr>
            <w:tcW w:w="491" w:type="pct"/>
            <w:tcBorders>
              <w:left w:val="nil"/>
              <w:right w:val="nil"/>
            </w:tcBorders>
          </w:tcPr>
          <w:p w14:paraId="1358C40B">
            <w:pPr>
              <w:spacing w:before="200"/>
              <w:jc w:val="both"/>
              <w:rPr>
                <w:b/>
              </w:rPr>
            </w:pPr>
            <w:r>
              <w:rPr>
                <w:rFonts w:ascii="Times New Roman" w:hAnsi="Times New Roman"/>
                <w:b/>
                <w:sz w:val="20"/>
              </w:rPr>
              <w:t>3</w:t>
            </w:r>
          </w:p>
        </w:tc>
        <w:tc>
          <w:tcPr>
            <w:tcW w:w="4509" w:type="pct"/>
            <w:tcBorders>
              <w:left w:val="nil"/>
              <w:right w:val="nil"/>
            </w:tcBorders>
          </w:tcPr>
          <w:p w14:paraId="4F6599C2">
            <w:pPr>
              <w:spacing w:before="200"/>
              <w:jc w:val="both"/>
              <w:rPr>
                <w:b/>
              </w:rPr>
            </w:pPr>
            <w:r>
              <w:rPr>
                <w:rFonts w:ascii="Times New Roman" w:hAnsi="Times New Roman" w:eastAsia="宋体"/>
                <w:b/>
                <w:sz w:val="20"/>
              </w:rPr>
              <w:t>for j = 1 to m do</w:t>
            </w:r>
          </w:p>
        </w:tc>
      </w:tr>
      <w:tr w14:paraId="50D275FF">
        <w:tblPrEx>
          <w:tblCellMar>
            <w:top w:w="0" w:type="dxa"/>
            <w:left w:w="108" w:type="dxa"/>
            <w:bottom w:w="0" w:type="dxa"/>
            <w:right w:w="108" w:type="dxa"/>
          </w:tblCellMar>
        </w:tblPrEx>
        <w:trPr>
          <w:jc w:val="center"/>
        </w:trPr>
        <w:tc>
          <w:tcPr>
            <w:tcW w:w="491" w:type="pct"/>
            <w:tcBorders>
              <w:left w:val="nil"/>
              <w:right w:val="nil"/>
            </w:tcBorders>
          </w:tcPr>
          <w:p w14:paraId="3565CBF3">
            <w:pPr>
              <w:spacing w:before="200"/>
              <w:jc w:val="both"/>
              <w:rPr>
                <w:b/>
              </w:rPr>
            </w:pPr>
            <w:r>
              <w:rPr>
                <w:rFonts w:ascii="Times New Roman" w:hAnsi="Times New Roman"/>
                <w:b/>
                <w:sz w:val="20"/>
              </w:rPr>
              <w:t>4</w:t>
            </w:r>
          </w:p>
        </w:tc>
        <w:tc>
          <w:tcPr>
            <w:tcW w:w="4509" w:type="pct"/>
            <w:tcBorders>
              <w:left w:val="nil"/>
              <w:right w:val="nil"/>
            </w:tcBorders>
          </w:tcPr>
          <w:p w14:paraId="1D4DE838">
            <w:pPr>
              <w:spacing w:before="200"/>
              <w:jc w:val="both"/>
              <w:rPr>
                <w:b/>
                <w:lang w:eastAsia="zh-CN"/>
              </w:rPr>
            </w:pPr>
            <w:r>
              <w:rPr>
                <w:rFonts w:ascii="Times New Roman" w:hAnsi="Times New Roman" w:eastAsia="宋体"/>
                <w:b/>
                <w:sz w:val="20"/>
              </w:rPr>
              <w:t xml:space="preserve">    if dⱼ = 正向 then</w:t>
            </w:r>
          </w:p>
        </w:tc>
      </w:tr>
      <w:tr w14:paraId="6777E6B8">
        <w:tblPrEx>
          <w:tblCellMar>
            <w:top w:w="0" w:type="dxa"/>
            <w:left w:w="108" w:type="dxa"/>
            <w:bottom w:w="0" w:type="dxa"/>
            <w:right w:w="108" w:type="dxa"/>
          </w:tblCellMar>
        </w:tblPrEx>
        <w:trPr>
          <w:jc w:val="center"/>
        </w:trPr>
        <w:tc>
          <w:tcPr>
            <w:tcW w:w="491" w:type="pct"/>
            <w:tcBorders>
              <w:left w:val="nil"/>
              <w:right w:val="nil"/>
            </w:tcBorders>
          </w:tcPr>
          <w:p w14:paraId="3505A6AE">
            <w:pPr>
              <w:spacing w:before="200"/>
              <w:jc w:val="both"/>
              <w:rPr>
                <w:b/>
              </w:rPr>
            </w:pPr>
            <w:r>
              <w:rPr>
                <w:rFonts w:ascii="Times New Roman" w:hAnsi="Times New Roman"/>
                <w:b/>
                <w:sz w:val="20"/>
              </w:rPr>
              <w:t>5</w:t>
            </w:r>
          </w:p>
        </w:tc>
        <w:tc>
          <w:tcPr>
            <w:tcW w:w="4509" w:type="pct"/>
            <w:tcBorders>
              <w:left w:val="nil"/>
              <w:right w:val="nil"/>
            </w:tcBorders>
          </w:tcPr>
          <w:p w14:paraId="34D84265">
            <w:pPr>
              <w:spacing w:before="200"/>
              <w:jc w:val="both"/>
              <w:rPr>
                <w:b/>
              </w:rPr>
            </w:pPr>
            <w:r>
              <w:rPr>
                <w:rFonts w:ascii="Times New Roman" w:hAnsi="Times New Roman" w:eastAsia="宋体"/>
                <w:b/>
                <w:sz w:val="20"/>
              </w:rPr>
              <w:t xml:space="preserve">        x̃ᵢⱼ = (xᵢⱼ − min x)/(max x − min x)</w:t>
            </w:r>
          </w:p>
        </w:tc>
      </w:tr>
      <w:tr w14:paraId="6E51319F">
        <w:tblPrEx>
          <w:tblCellMar>
            <w:top w:w="0" w:type="dxa"/>
            <w:left w:w="108" w:type="dxa"/>
            <w:bottom w:w="0" w:type="dxa"/>
            <w:right w:w="108" w:type="dxa"/>
          </w:tblCellMar>
        </w:tblPrEx>
        <w:trPr>
          <w:jc w:val="center"/>
        </w:trPr>
        <w:tc>
          <w:tcPr>
            <w:tcW w:w="491" w:type="pct"/>
            <w:tcBorders>
              <w:left w:val="nil"/>
              <w:right w:val="nil"/>
            </w:tcBorders>
          </w:tcPr>
          <w:p w14:paraId="7DDB0C5D">
            <w:pPr>
              <w:spacing w:before="200"/>
              <w:jc w:val="both"/>
              <w:rPr>
                <w:b/>
              </w:rPr>
            </w:pPr>
            <w:r>
              <w:rPr>
                <w:rFonts w:ascii="Times New Roman" w:hAnsi="Times New Roman"/>
                <w:b/>
                <w:sz w:val="20"/>
              </w:rPr>
              <w:t>6</w:t>
            </w:r>
          </w:p>
        </w:tc>
        <w:tc>
          <w:tcPr>
            <w:tcW w:w="4509" w:type="pct"/>
            <w:tcBorders>
              <w:left w:val="nil"/>
              <w:right w:val="nil"/>
            </w:tcBorders>
          </w:tcPr>
          <w:p w14:paraId="57763EB9">
            <w:pPr>
              <w:spacing w:before="200"/>
              <w:jc w:val="both"/>
              <w:rPr>
                <w:b/>
              </w:rPr>
            </w:pPr>
            <w:r>
              <w:rPr>
                <w:rFonts w:ascii="Times New Roman" w:hAnsi="Times New Roman" w:eastAsia="宋体"/>
                <w:b/>
                <w:sz w:val="20"/>
              </w:rPr>
              <w:t xml:space="preserve">    else</w:t>
            </w:r>
          </w:p>
        </w:tc>
      </w:tr>
      <w:tr w14:paraId="48049B15">
        <w:tblPrEx>
          <w:tblCellMar>
            <w:top w:w="0" w:type="dxa"/>
            <w:left w:w="108" w:type="dxa"/>
            <w:bottom w:w="0" w:type="dxa"/>
            <w:right w:w="108" w:type="dxa"/>
          </w:tblCellMar>
        </w:tblPrEx>
        <w:trPr>
          <w:jc w:val="center"/>
        </w:trPr>
        <w:tc>
          <w:tcPr>
            <w:tcW w:w="491" w:type="pct"/>
            <w:tcBorders>
              <w:left w:val="nil"/>
              <w:right w:val="nil"/>
            </w:tcBorders>
          </w:tcPr>
          <w:p w14:paraId="3BE9889D">
            <w:pPr>
              <w:spacing w:before="200"/>
              <w:jc w:val="both"/>
              <w:rPr>
                <w:b/>
              </w:rPr>
            </w:pPr>
            <w:r>
              <w:rPr>
                <w:rFonts w:ascii="Times New Roman" w:hAnsi="Times New Roman"/>
                <w:b/>
                <w:sz w:val="20"/>
              </w:rPr>
              <w:t>7</w:t>
            </w:r>
          </w:p>
        </w:tc>
        <w:tc>
          <w:tcPr>
            <w:tcW w:w="4509" w:type="pct"/>
            <w:tcBorders>
              <w:left w:val="nil"/>
              <w:right w:val="nil"/>
            </w:tcBorders>
          </w:tcPr>
          <w:p w14:paraId="092ABF96">
            <w:pPr>
              <w:spacing w:before="200"/>
              <w:jc w:val="both"/>
              <w:rPr>
                <w:b/>
              </w:rPr>
            </w:pPr>
            <w:r>
              <w:rPr>
                <w:rFonts w:ascii="Times New Roman" w:hAnsi="Times New Roman" w:eastAsia="宋体"/>
                <w:b/>
                <w:sz w:val="20"/>
              </w:rPr>
              <w:t xml:space="preserve">        x̃ᵢⱼ = (max x − xᵢⱼ)/(max x − min x)</w:t>
            </w:r>
          </w:p>
        </w:tc>
      </w:tr>
      <w:tr w14:paraId="292C1BD2">
        <w:tblPrEx>
          <w:tblCellMar>
            <w:top w:w="0" w:type="dxa"/>
            <w:left w:w="108" w:type="dxa"/>
            <w:bottom w:w="0" w:type="dxa"/>
            <w:right w:w="108" w:type="dxa"/>
          </w:tblCellMar>
        </w:tblPrEx>
        <w:trPr>
          <w:jc w:val="center"/>
        </w:trPr>
        <w:tc>
          <w:tcPr>
            <w:tcW w:w="491" w:type="pct"/>
            <w:tcBorders>
              <w:left w:val="nil"/>
              <w:right w:val="nil"/>
            </w:tcBorders>
          </w:tcPr>
          <w:p w14:paraId="73BE5A4E">
            <w:pPr>
              <w:spacing w:before="200"/>
              <w:jc w:val="both"/>
              <w:rPr>
                <w:b/>
              </w:rPr>
            </w:pPr>
            <w:r>
              <w:rPr>
                <w:rFonts w:ascii="Times New Roman" w:hAnsi="Times New Roman"/>
                <w:b/>
                <w:sz w:val="20"/>
              </w:rPr>
              <w:t>8</w:t>
            </w:r>
          </w:p>
        </w:tc>
        <w:tc>
          <w:tcPr>
            <w:tcW w:w="4509" w:type="pct"/>
            <w:tcBorders>
              <w:left w:val="nil"/>
              <w:right w:val="nil"/>
            </w:tcBorders>
          </w:tcPr>
          <w:p w14:paraId="689B4ED4">
            <w:pPr>
              <w:spacing w:before="200"/>
              <w:jc w:val="both"/>
              <w:rPr>
                <w:b/>
              </w:rPr>
            </w:pPr>
            <w:r>
              <w:rPr>
                <w:rFonts w:ascii="Times New Roman" w:hAnsi="Times New Roman" w:eastAsia="宋体"/>
                <w:b/>
                <w:sz w:val="20"/>
              </w:rPr>
              <w:t xml:space="preserve">    end if</w:t>
            </w:r>
          </w:p>
        </w:tc>
      </w:tr>
      <w:tr w14:paraId="42D80551">
        <w:tblPrEx>
          <w:tblCellMar>
            <w:top w:w="0" w:type="dxa"/>
            <w:left w:w="108" w:type="dxa"/>
            <w:bottom w:w="0" w:type="dxa"/>
            <w:right w:w="108" w:type="dxa"/>
          </w:tblCellMar>
        </w:tblPrEx>
        <w:trPr>
          <w:jc w:val="center"/>
        </w:trPr>
        <w:tc>
          <w:tcPr>
            <w:tcW w:w="491" w:type="pct"/>
            <w:tcBorders>
              <w:left w:val="nil"/>
              <w:right w:val="nil"/>
            </w:tcBorders>
          </w:tcPr>
          <w:p w14:paraId="1C3403FC">
            <w:pPr>
              <w:spacing w:before="200"/>
              <w:jc w:val="both"/>
              <w:rPr>
                <w:b/>
              </w:rPr>
            </w:pPr>
            <w:r>
              <w:rPr>
                <w:rFonts w:ascii="Times New Roman" w:hAnsi="Times New Roman"/>
                <w:b/>
                <w:sz w:val="20"/>
              </w:rPr>
              <w:t>9</w:t>
            </w:r>
          </w:p>
        </w:tc>
        <w:tc>
          <w:tcPr>
            <w:tcW w:w="4509" w:type="pct"/>
            <w:tcBorders>
              <w:left w:val="nil"/>
              <w:right w:val="nil"/>
            </w:tcBorders>
          </w:tcPr>
          <w:p w14:paraId="128992F9">
            <w:pPr>
              <w:spacing w:before="200"/>
              <w:jc w:val="both"/>
              <w:rPr>
                <w:b/>
              </w:rPr>
            </w:pPr>
            <w:r>
              <w:rPr>
                <w:rFonts w:ascii="Times New Roman" w:hAnsi="Times New Roman" w:eastAsia="宋体"/>
                <w:b/>
                <w:sz w:val="20"/>
              </w:rPr>
              <w:t xml:space="preserve">    pᵢⱼ = x̃ᵢⱼ / Σᵢ x̃ᵢⱼ</w:t>
            </w:r>
          </w:p>
        </w:tc>
      </w:tr>
      <w:tr w14:paraId="23FD321A">
        <w:tblPrEx>
          <w:tblCellMar>
            <w:top w:w="0" w:type="dxa"/>
            <w:left w:w="108" w:type="dxa"/>
            <w:bottom w:w="0" w:type="dxa"/>
            <w:right w:w="108" w:type="dxa"/>
          </w:tblCellMar>
        </w:tblPrEx>
        <w:trPr>
          <w:jc w:val="center"/>
        </w:trPr>
        <w:tc>
          <w:tcPr>
            <w:tcW w:w="491" w:type="pct"/>
            <w:tcBorders>
              <w:left w:val="nil"/>
              <w:right w:val="nil"/>
            </w:tcBorders>
          </w:tcPr>
          <w:p w14:paraId="7450CA5E">
            <w:pPr>
              <w:spacing w:before="200"/>
              <w:jc w:val="both"/>
              <w:rPr>
                <w:b/>
              </w:rPr>
            </w:pPr>
            <w:r>
              <w:rPr>
                <w:rFonts w:ascii="Times New Roman" w:hAnsi="Times New Roman"/>
                <w:b/>
                <w:sz w:val="20"/>
              </w:rPr>
              <w:t>10</w:t>
            </w:r>
          </w:p>
        </w:tc>
        <w:tc>
          <w:tcPr>
            <w:tcW w:w="4509" w:type="pct"/>
            <w:tcBorders>
              <w:left w:val="nil"/>
              <w:right w:val="nil"/>
            </w:tcBorders>
          </w:tcPr>
          <w:p w14:paraId="5A705F19">
            <w:pPr>
              <w:spacing w:before="200"/>
              <w:jc w:val="both"/>
              <w:rPr>
                <w:b/>
              </w:rPr>
            </w:pPr>
            <w:r>
              <w:rPr>
                <w:rFonts w:ascii="Times New Roman" w:hAnsi="Times New Roman" w:eastAsia="宋体"/>
                <w:b/>
                <w:sz w:val="20"/>
              </w:rPr>
              <w:t xml:space="preserve">    Hⱼ = −1/ln n · Σᵢ pᵢⱼ ln pᵢⱼ</w:t>
            </w:r>
          </w:p>
        </w:tc>
      </w:tr>
      <w:tr w14:paraId="2BAFE33B">
        <w:tblPrEx>
          <w:tblCellMar>
            <w:top w:w="0" w:type="dxa"/>
            <w:left w:w="108" w:type="dxa"/>
            <w:bottom w:w="0" w:type="dxa"/>
            <w:right w:w="108" w:type="dxa"/>
          </w:tblCellMar>
        </w:tblPrEx>
        <w:trPr>
          <w:jc w:val="center"/>
        </w:trPr>
        <w:tc>
          <w:tcPr>
            <w:tcW w:w="491" w:type="pct"/>
            <w:tcBorders>
              <w:left w:val="nil"/>
              <w:right w:val="nil"/>
            </w:tcBorders>
          </w:tcPr>
          <w:p w14:paraId="4377D820">
            <w:pPr>
              <w:spacing w:before="200"/>
              <w:jc w:val="both"/>
              <w:rPr>
                <w:b/>
              </w:rPr>
            </w:pPr>
            <w:r>
              <w:rPr>
                <w:rFonts w:ascii="Times New Roman" w:hAnsi="Times New Roman"/>
                <w:b/>
                <w:sz w:val="20"/>
              </w:rPr>
              <w:t>11</w:t>
            </w:r>
          </w:p>
        </w:tc>
        <w:tc>
          <w:tcPr>
            <w:tcW w:w="4509" w:type="pct"/>
            <w:tcBorders>
              <w:left w:val="nil"/>
              <w:right w:val="nil"/>
            </w:tcBorders>
          </w:tcPr>
          <w:p w14:paraId="67AB24CE">
            <w:pPr>
              <w:spacing w:before="200"/>
              <w:jc w:val="both"/>
              <w:rPr>
                <w:b/>
              </w:rPr>
            </w:pPr>
            <w:r>
              <w:rPr>
                <w:rFonts w:ascii="Times New Roman" w:hAnsi="Times New Roman" w:eastAsia="宋体"/>
                <w:b/>
                <w:sz w:val="20"/>
              </w:rPr>
              <w:t>end for</w:t>
            </w:r>
          </w:p>
        </w:tc>
      </w:tr>
      <w:tr w14:paraId="37D4B003">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15AD1398">
            <w:pPr>
              <w:spacing w:before="200"/>
              <w:jc w:val="both"/>
              <w:rPr>
                <w:b/>
              </w:rPr>
            </w:pPr>
            <w:r>
              <w:rPr>
                <w:rFonts w:ascii="Times New Roman" w:hAnsi="Times New Roman"/>
                <w:b/>
                <w:sz w:val="20"/>
              </w:rPr>
              <w:t>12</w:t>
            </w:r>
          </w:p>
        </w:tc>
        <w:tc>
          <w:tcPr>
            <w:tcW w:w="4509" w:type="pct"/>
            <w:tcBorders>
              <w:left w:val="nil"/>
              <w:bottom w:val="single" w:color="000000" w:sz="12" w:space="0"/>
              <w:right w:val="nil"/>
            </w:tcBorders>
          </w:tcPr>
          <w:p w14:paraId="2BD57ACC">
            <w:pPr>
              <w:spacing w:before="200"/>
              <w:jc w:val="both"/>
              <w:rPr>
                <w:b/>
              </w:rPr>
            </w:pPr>
            <w:r>
              <w:rPr>
                <w:rFonts w:ascii="Times New Roman" w:hAnsi="Times New Roman" w:eastAsia="宋体"/>
                <w:b/>
                <w:sz w:val="20"/>
              </w:rPr>
              <w:t>Dⱼ = 1 − Hⱼ,  wⱼᴱᵗᴹ = Dⱼ / Σ Dₖ</w:t>
            </w:r>
          </w:p>
        </w:tc>
      </w:tr>
    </w:tbl>
    <w:p w14:paraId="503ED7CE">
      <w:pPr>
        <w:pStyle w:val="35"/>
        <w:ind w:firstLine="480"/>
        <w:rPr>
          <w:lang w:eastAsia="zh-CN"/>
        </w:rPr>
      </w:pPr>
    </w:p>
    <w:p w14:paraId="47B4F6A6">
      <w:pPr>
        <w:pStyle w:val="35"/>
        <w:ind w:firstLine="480"/>
        <w:rPr>
          <w:lang w:eastAsia="zh-CN"/>
        </w:rPr>
      </w:pPr>
      <w:r>
        <w:rPr>
          <w:lang w:eastAsia="zh-CN"/>
        </w:rPr>
        <w:t>算法3则展示了混合权重如何结合AHP和EWM的结果，并通过加权求和得到各项目的综合评分。</w:t>
      </w:r>
    </w:p>
    <w:tbl>
      <w:tblPr>
        <w:tblStyle w:val="30"/>
        <w:tblW w:w="5000" w:type="pct"/>
        <w:jc w:val="center"/>
        <w:tblLayout w:type="autofit"/>
        <w:tblCellMar>
          <w:top w:w="0" w:type="dxa"/>
          <w:left w:w="108" w:type="dxa"/>
          <w:bottom w:w="0" w:type="dxa"/>
          <w:right w:w="108" w:type="dxa"/>
        </w:tblCellMar>
      </w:tblPr>
      <w:tblGrid>
        <w:gridCol w:w="870"/>
        <w:gridCol w:w="7986"/>
      </w:tblGrid>
      <w:tr w14:paraId="5F167116">
        <w:tblPrEx>
          <w:tblCellMar>
            <w:top w:w="0" w:type="dxa"/>
            <w:left w:w="108" w:type="dxa"/>
            <w:bottom w:w="0" w:type="dxa"/>
            <w:right w:w="108" w:type="dxa"/>
          </w:tblCellMar>
        </w:tblPrEx>
        <w:trPr>
          <w:jc w:val="center"/>
        </w:trPr>
        <w:tc>
          <w:tcPr>
            <w:tcW w:w="5000" w:type="pct"/>
            <w:gridSpan w:val="2"/>
            <w:tcBorders>
              <w:top w:val="single" w:color="000000" w:sz="12" w:space="0"/>
              <w:left w:val="nil"/>
              <w:bottom w:val="single" w:color="000000" w:sz="4" w:space="0"/>
              <w:right w:val="nil"/>
            </w:tcBorders>
          </w:tcPr>
          <w:p w14:paraId="78292FA9">
            <w:pPr>
              <w:pStyle w:val="35"/>
              <w:ind w:firstLine="0" w:firstLineChars="0"/>
              <w:rPr>
                <w:b/>
                <w:bCs/>
                <w:lang w:eastAsia="zh-CN"/>
              </w:rPr>
            </w:pPr>
            <w:r>
              <w:rPr>
                <w:rFonts w:eastAsia="黑体"/>
                <w:b/>
                <w:sz w:val="21"/>
                <w:lang w:eastAsia="zh-CN"/>
              </w:rPr>
              <w:t>算法</w:t>
            </w:r>
            <w:r>
              <w:rPr>
                <w:rFonts w:hint="eastAsia" w:eastAsia="黑体"/>
                <w:b/>
                <w:sz w:val="21"/>
                <w:lang w:eastAsia="zh-CN"/>
              </w:rPr>
              <w:t>3</w:t>
            </w:r>
            <w:r>
              <w:rPr>
                <w:rFonts w:eastAsia="黑体"/>
                <w:b/>
                <w:sz w:val="21"/>
                <w:lang w:eastAsia="zh-CN"/>
              </w:rPr>
              <w:t> 混合权重与综合评分</w:t>
            </w:r>
          </w:p>
        </w:tc>
      </w:tr>
      <w:tr w14:paraId="29E20B05">
        <w:tblPrEx>
          <w:tblCellMar>
            <w:top w:w="0" w:type="dxa"/>
            <w:left w:w="108" w:type="dxa"/>
            <w:bottom w:w="0" w:type="dxa"/>
            <w:right w:w="108" w:type="dxa"/>
          </w:tblCellMar>
        </w:tblPrEx>
        <w:trPr>
          <w:jc w:val="center"/>
        </w:trPr>
        <w:tc>
          <w:tcPr>
            <w:tcW w:w="491" w:type="pct"/>
            <w:tcBorders>
              <w:left w:val="nil"/>
              <w:right w:val="nil"/>
            </w:tcBorders>
          </w:tcPr>
          <w:p w14:paraId="7AFD3B38">
            <w:pPr>
              <w:jc w:val="both"/>
              <w:rPr>
                <w:b/>
                <w:bCs/>
              </w:rPr>
            </w:pPr>
            <w:r>
              <w:rPr>
                <w:rFonts w:ascii="Times New Roman" w:hAnsi="Times New Roman"/>
                <w:b/>
                <w:bCs/>
                <w:sz w:val="20"/>
              </w:rPr>
              <w:t>1</w:t>
            </w:r>
          </w:p>
        </w:tc>
        <w:tc>
          <w:tcPr>
            <w:tcW w:w="4509" w:type="pct"/>
            <w:tcBorders>
              <w:left w:val="nil"/>
              <w:right w:val="nil"/>
            </w:tcBorders>
          </w:tcPr>
          <w:p w14:paraId="5FD5D891">
            <w:pPr>
              <w:pStyle w:val="35"/>
              <w:ind w:firstLine="0" w:firstLineChars="0"/>
              <w:rPr>
                <w:b/>
                <w:bCs/>
                <w:lang w:eastAsia="zh-CN"/>
              </w:rPr>
            </w:pPr>
            <w:r>
              <w:rPr>
                <w:b/>
                <w:bCs/>
                <w:sz w:val="20"/>
                <w:lang w:eastAsia="zh-CN"/>
              </w:rPr>
              <w:t>输入: W</w:t>
            </w:r>
            <w:r>
              <w:rPr>
                <w:rFonts w:hint="eastAsia"/>
                <w:b/>
                <w:bCs/>
                <w:sz w:val="20"/>
                <w:vertAlign w:val="superscript"/>
                <w:lang w:eastAsia="zh-CN"/>
              </w:rPr>
              <w:t>AHP</w:t>
            </w:r>
            <w:r>
              <w:rPr>
                <w:b/>
                <w:bCs/>
                <w:sz w:val="20"/>
                <w:lang w:eastAsia="zh-CN"/>
              </w:rPr>
              <w:t>, W</w:t>
            </w:r>
            <w:r>
              <w:rPr>
                <w:rFonts w:hint="eastAsia"/>
                <w:b/>
                <w:bCs/>
                <w:sz w:val="20"/>
                <w:vertAlign w:val="superscript"/>
                <w:lang w:eastAsia="zh-CN"/>
              </w:rPr>
              <w:t>EWM</w:t>
            </w:r>
            <w:r>
              <w:rPr>
                <w:b/>
                <w:bCs/>
                <w:sz w:val="20"/>
                <w:lang w:eastAsia="zh-CN"/>
              </w:rPr>
              <w:t xml:space="preserve">, 组合系数 </w:t>
            </w:r>
            <w:r>
              <w:rPr>
                <w:b/>
                <w:bCs/>
                <w:sz w:val="20"/>
              </w:rPr>
              <w:t>α</w:t>
            </w:r>
            <w:r>
              <w:rPr>
                <w:b/>
                <w:bCs/>
                <w:sz w:val="20"/>
                <w:lang w:eastAsia="zh-CN"/>
              </w:rPr>
              <w:t>, 决策矩阵 X</w:t>
            </w:r>
          </w:p>
        </w:tc>
      </w:tr>
      <w:tr w14:paraId="00345621">
        <w:tblPrEx>
          <w:tblCellMar>
            <w:top w:w="0" w:type="dxa"/>
            <w:left w:w="108" w:type="dxa"/>
            <w:bottom w:w="0" w:type="dxa"/>
            <w:right w:w="108" w:type="dxa"/>
          </w:tblCellMar>
        </w:tblPrEx>
        <w:trPr>
          <w:jc w:val="center"/>
        </w:trPr>
        <w:tc>
          <w:tcPr>
            <w:tcW w:w="491" w:type="pct"/>
            <w:tcBorders>
              <w:left w:val="nil"/>
              <w:right w:val="nil"/>
            </w:tcBorders>
          </w:tcPr>
          <w:p w14:paraId="5FCD7836">
            <w:pPr>
              <w:jc w:val="both"/>
              <w:rPr>
                <w:b/>
                <w:bCs/>
              </w:rPr>
            </w:pPr>
            <w:r>
              <w:rPr>
                <w:rFonts w:ascii="Times New Roman" w:hAnsi="Times New Roman"/>
                <w:b/>
                <w:bCs/>
                <w:sz w:val="20"/>
              </w:rPr>
              <w:t>2</w:t>
            </w:r>
          </w:p>
        </w:tc>
        <w:tc>
          <w:tcPr>
            <w:tcW w:w="4509" w:type="pct"/>
            <w:tcBorders>
              <w:left w:val="nil"/>
              <w:right w:val="nil"/>
            </w:tcBorders>
          </w:tcPr>
          <w:p w14:paraId="68898EB3">
            <w:pPr>
              <w:pStyle w:val="35"/>
              <w:ind w:firstLine="0" w:firstLineChars="0"/>
              <w:rPr>
                <w:b/>
                <w:bCs/>
                <w:lang w:eastAsia="zh-CN"/>
              </w:rPr>
            </w:pPr>
            <w:r>
              <w:rPr>
                <w:b/>
                <w:bCs/>
                <w:sz w:val="20"/>
                <w:lang w:eastAsia="zh-CN"/>
              </w:rPr>
              <w:t>输出: 混合权重 W, 综合评分 V</w:t>
            </w:r>
          </w:p>
        </w:tc>
      </w:tr>
      <w:tr w14:paraId="00068C70">
        <w:tblPrEx>
          <w:tblCellMar>
            <w:top w:w="0" w:type="dxa"/>
            <w:left w:w="108" w:type="dxa"/>
            <w:bottom w:w="0" w:type="dxa"/>
            <w:right w:w="108" w:type="dxa"/>
          </w:tblCellMar>
        </w:tblPrEx>
        <w:trPr>
          <w:jc w:val="center"/>
        </w:trPr>
        <w:tc>
          <w:tcPr>
            <w:tcW w:w="491" w:type="pct"/>
            <w:tcBorders>
              <w:left w:val="nil"/>
              <w:right w:val="nil"/>
            </w:tcBorders>
          </w:tcPr>
          <w:p w14:paraId="72D8CF15">
            <w:pPr>
              <w:jc w:val="both"/>
              <w:rPr>
                <w:b/>
                <w:bCs/>
              </w:rPr>
            </w:pPr>
            <w:r>
              <w:rPr>
                <w:rFonts w:ascii="Times New Roman" w:hAnsi="Times New Roman"/>
                <w:b/>
                <w:bCs/>
                <w:sz w:val="20"/>
              </w:rPr>
              <w:t>3</w:t>
            </w:r>
          </w:p>
        </w:tc>
        <w:tc>
          <w:tcPr>
            <w:tcW w:w="4509" w:type="pct"/>
            <w:tcBorders>
              <w:left w:val="nil"/>
              <w:right w:val="nil"/>
            </w:tcBorders>
          </w:tcPr>
          <w:p w14:paraId="028D4116">
            <w:pPr>
              <w:pStyle w:val="35"/>
              <w:ind w:firstLine="0" w:firstLineChars="0"/>
              <w:rPr>
                <w:b/>
                <w:bCs/>
              </w:rPr>
            </w:pPr>
            <w:r>
              <w:rPr>
                <w:b/>
                <w:bCs/>
                <w:sz w:val="20"/>
              </w:rPr>
              <w:t>W = α · W</w:t>
            </w:r>
            <w:r>
              <w:rPr>
                <w:rFonts w:hint="eastAsia"/>
                <w:b/>
                <w:bCs/>
                <w:sz w:val="20"/>
                <w:vertAlign w:val="superscript"/>
                <w:lang w:eastAsia="zh-CN"/>
              </w:rPr>
              <w:t>AHP</w:t>
            </w:r>
            <w:r>
              <w:rPr>
                <w:b/>
                <w:bCs/>
                <w:sz w:val="20"/>
              </w:rPr>
              <w:t xml:space="preserve"> + (1−α) · W</w:t>
            </w:r>
            <w:r>
              <w:rPr>
                <w:rFonts w:hint="eastAsia"/>
                <w:b/>
                <w:bCs/>
                <w:sz w:val="20"/>
                <w:vertAlign w:val="superscript"/>
                <w:lang w:eastAsia="zh-CN"/>
              </w:rPr>
              <w:t>EWM</w:t>
            </w:r>
          </w:p>
        </w:tc>
      </w:tr>
      <w:tr w14:paraId="591B3F83">
        <w:tblPrEx>
          <w:tblCellMar>
            <w:top w:w="0" w:type="dxa"/>
            <w:left w:w="108" w:type="dxa"/>
            <w:bottom w:w="0" w:type="dxa"/>
            <w:right w:w="108" w:type="dxa"/>
          </w:tblCellMar>
        </w:tblPrEx>
        <w:trPr>
          <w:jc w:val="center"/>
        </w:trPr>
        <w:tc>
          <w:tcPr>
            <w:tcW w:w="491" w:type="pct"/>
            <w:tcBorders>
              <w:left w:val="nil"/>
              <w:right w:val="nil"/>
            </w:tcBorders>
          </w:tcPr>
          <w:p w14:paraId="164654F2">
            <w:pPr>
              <w:jc w:val="both"/>
              <w:rPr>
                <w:b/>
                <w:bCs/>
              </w:rPr>
            </w:pPr>
            <w:r>
              <w:rPr>
                <w:rFonts w:ascii="Times New Roman" w:hAnsi="Times New Roman"/>
                <w:b/>
                <w:bCs/>
                <w:sz w:val="20"/>
              </w:rPr>
              <w:t>4</w:t>
            </w:r>
          </w:p>
        </w:tc>
        <w:tc>
          <w:tcPr>
            <w:tcW w:w="4509" w:type="pct"/>
            <w:tcBorders>
              <w:left w:val="nil"/>
              <w:right w:val="nil"/>
            </w:tcBorders>
          </w:tcPr>
          <w:p w14:paraId="2335917D">
            <w:pPr>
              <w:pStyle w:val="35"/>
              <w:ind w:firstLine="0" w:firstLineChars="0"/>
              <w:rPr>
                <w:b/>
                <w:bCs/>
              </w:rPr>
            </w:pPr>
            <w:r>
              <w:rPr>
                <w:b/>
                <w:bCs/>
                <w:sz w:val="20"/>
              </w:rPr>
              <w:t>W = W / Σ W</w:t>
            </w:r>
          </w:p>
        </w:tc>
      </w:tr>
      <w:tr w14:paraId="41D4A784">
        <w:tblPrEx>
          <w:tblCellMar>
            <w:top w:w="0" w:type="dxa"/>
            <w:left w:w="108" w:type="dxa"/>
            <w:bottom w:w="0" w:type="dxa"/>
            <w:right w:w="108" w:type="dxa"/>
          </w:tblCellMar>
        </w:tblPrEx>
        <w:trPr>
          <w:jc w:val="center"/>
        </w:trPr>
        <w:tc>
          <w:tcPr>
            <w:tcW w:w="491" w:type="pct"/>
            <w:tcBorders>
              <w:left w:val="nil"/>
              <w:right w:val="nil"/>
            </w:tcBorders>
          </w:tcPr>
          <w:p w14:paraId="056077A5">
            <w:pPr>
              <w:jc w:val="both"/>
              <w:rPr>
                <w:b/>
                <w:bCs/>
              </w:rPr>
            </w:pPr>
            <w:r>
              <w:rPr>
                <w:rFonts w:ascii="Times New Roman" w:hAnsi="Times New Roman"/>
                <w:b/>
                <w:bCs/>
                <w:sz w:val="20"/>
              </w:rPr>
              <w:t>5</w:t>
            </w:r>
          </w:p>
        </w:tc>
        <w:tc>
          <w:tcPr>
            <w:tcW w:w="4509" w:type="pct"/>
            <w:tcBorders>
              <w:left w:val="nil"/>
              <w:right w:val="nil"/>
            </w:tcBorders>
          </w:tcPr>
          <w:p w14:paraId="60DAB813">
            <w:pPr>
              <w:pStyle w:val="35"/>
              <w:ind w:firstLine="199" w:firstLineChars="99"/>
              <w:rPr>
                <w:b/>
                <w:bCs/>
              </w:rPr>
            </w:pPr>
            <w:r>
              <w:rPr>
                <w:b/>
                <w:bCs/>
                <w:sz w:val="20"/>
              </w:rPr>
              <w:t>for i = 1 to n do</w:t>
            </w:r>
          </w:p>
        </w:tc>
      </w:tr>
      <w:tr w14:paraId="60CAAF2C">
        <w:tblPrEx>
          <w:tblCellMar>
            <w:top w:w="0" w:type="dxa"/>
            <w:left w:w="108" w:type="dxa"/>
            <w:bottom w:w="0" w:type="dxa"/>
            <w:right w:w="108" w:type="dxa"/>
          </w:tblCellMar>
        </w:tblPrEx>
        <w:trPr>
          <w:jc w:val="center"/>
        </w:trPr>
        <w:tc>
          <w:tcPr>
            <w:tcW w:w="491" w:type="pct"/>
            <w:tcBorders>
              <w:left w:val="nil"/>
              <w:right w:val="nil"/>
            </w:tcBorders>
          </w:tcPr>
          <w:p w14:paraId="162B3B09">
            <w:pPr>
              <w:jc w:val="both"/>
              <w:rPr>
                <w:b/>
                <w:bCs/>
              </w:rPr>
            </w:pPr>
            <w:r>
              <w:rPr>
                <w:rFonts w:ascii="Times New Roman" w:hAnsi="Times New Roman"/>
                <w:b/>
                <w:bCs/>
                <w:sz w:val="20"/>
              </w:rPr>
              <w:t>6</w:t>
            </w:r>
          </w:p>
        </w:tc>
        <w:tc>
          <w:tcPr>
            <w:tcW w:w="4509" w:type="pct"/>
            <w:tcBorders>
              <w:left w:val="nil"/>
              <w:right w:val="nil"/>
            </w:tcBorders>
          </w:tcPr>
          <w:p w14:paraId="13849812">
            <w:pPr>
              <w:pStyle w:val="35"/>
              <w:ind w:firstLine="402"/>
              <w:rPr>
                <w:b/>
                <w:bCs/>
              </w:rPr>
            </w:pPr>
            <w:r>
              <w:rPr>
                <w:b/>
                <w:bCs/>
                <w:sz w:val="20"/>
              </w:rPr>
              <w:t xml:space="preserve">    vᵢ = Σⱼ wⱼ · x̃ᵢⱼ</w:t>
            </w:r>
          </w:p>
        </w:tc>
      </w:tr>
      <w:tr w14:paraId="6625301C">
        <w:tblPrEx>
          <w:tblCellMar>
            <w:top w:w="0" w:type="dxa"/>
            <w:left w:w="108" w:type="dxa"/>
            <w:bottom w:w="0" w:type="dxa"/>
            <w:right w:w="108" w:type="dxa"/>
          </w:tblCellMar>
        </w:tblPrEx>
        <w:trPr>
          <w:jc w:val="center"/>
        </w:trPr>
        <w:tc>
          <w:tcPr>
            <w:tcW w:w="491" w:type="pct"/>
            <w:tcBorders>
              <w:left w:val="nil"/>
              <w:right w:val="nil"/>
            </w:tcBorders>
          </w:tcPr>
          <w:p w14:paraId="5AAF1382">
            <w:pPr>
              <w:jc w:val="both"/>
              <w:rPr>
                <w:b/>
                <w:bCs/>
              </w:rPr>
            </w:pPr>
            <w:r>
              <w:rPr>
                <w:rFonts w:ascii="Times New Roman" w:hAnsi="Times New Roman"/>
                <w:b/>
                <w:bCs/>
                <w:sz w:val="20"/>
              </w:rPr>
              <w:t>7</w:t>
            </w:r>
          </w:p>
        </w:tc>
        <w:tc>
          <w:tcPr>
            <w:tcW w:w="4509" w:type="pct"/>
            <w:tcBorders>
              <w:left w:val="nil"/>
              <w:right w:val="nil"/>
            </w:tcBorders>
          </w:tcPr>
          <w:p w14:paraId="098C4AFB">
            <w:pPr>
              <w:pStyle w:val="35"/>
              <w:ind w:firstLine="199" w:firstLineChars="99"/>
              <w:rPr>
                <w:b/>
                <w:bCs/>
              </w:rPr>
            </w:pPr>
            <w:r>
              <w:rPr>
                <w:b/>
                <w:bCs/>
                <w:sz w:val="20"/>
              </w:rPr>
              <w:t>end for</w:t>
            </w:r>
          </w:p>
        </w:tc>
      </w:tr>
      <w:tr w14:paraId="21A39A02">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3BB39377">
            <w:pPr>
              <w:jc w:val="both"/>
              <w:rPr>
                <w:b/>
                <w:bCs/>
              </w:rPr>
            </w:pPr>
            <w:r>
              <w:rPr>
                <w:rFonts w:ascii="Times New Roman" w:hAnsi="Times New Roman"/>
                <w:b/>
                <w:bCs/>
                <w:sz w:val="20"/>
              </w:rPr>
              <w:t>8</w:t>
            </w:r>
          </w:p>
        </w:tc>
        <w:tc>
          <w:tcPr>
            <w:tcW w:w="4509" w:type="pct"/>
            <w:tcBorders>
              <w:left w:val="nil"/>
              <w:bottom w:val="single" w:color="000000" w:sz="12" w:space="0"/>
              <w:right w:val="nil"/>
            </w:tcBorders>
          </w:tcPr>
          <w:p w14:paraId="732D0848">
            <w:pPr>
              <w:pStyle w:val="35"/>
              <w:ind w:firstLine="199" w:firstLineChars="99"/>
              <w:rPr>
                <w:b/>
                <w:bCs/>
              </w:rPr>
            </w:pPr>
            <w:r>
              <w:rPr>
                <w:b/>
                <w:bCs/>
                <w:sz w:val="20"/>
              </w:rPr>
              <w:t>return W, V</w:t>
            </w:r>
          </w:p>
        </w:tc>
      </w:tr>
      <w:bookmarkEnd w:id="84"/>
      <w:bookmarkEnd w:id="86"/>
    </w:tbl>
    <w:p w14:paraId="2F54D7C8">
      <w:pPr>
        <w:pStyle w:val="4"/>
        <w:jc w:val="both"/>
        <w:rPr>
          <w:rStyle w:val="62"/>
          <w:rFonts w:eastAsia="黑体" w:cs="Times New Roman"/>
          <w:color w:val="auto"/>
          <w:sz w:val="28"/>
          <w:szCs w:val="28"/>
          <w:lang w:eastAsia="zh-CN"/>
        </w:rPr>
      </w:pPr>
      <w:bookmarkStart w:id="87" w:name="_Toc229523245"/>
      <w:bookmarkStart w:id="88" w:name="本章小结"/>
    </w:p>
    <w:p w14:paraId="714D20AE">
      <w:pPr>
        <w:pStyle w:val="4"/>
        <w:rPr>
          <w:rFonts w:hint="eastAsia"/>
        </w:rPr>
      </w:pPr>
      <w:r>
        <w:rPr>
          <w:rStyle w:val="62"/>
          <w:rFonts w:ascii="黑体" w:hAnsi="黑体" w:eastAsia="黑体"/>
          <w:sz w:val="28"/>
          <w:szCs w:val="28"/>
        </w:rPr>
        <w:t>3.8</w:t>
      </w:r>
      <w:r>
        <w:tab/>
      </w:r>
      <w:r>
        <w:t>本章小结</w:t>
      </w:r>
      <w:bookmarkEnd w:id="87"/>
    </w:p>
    <w:p w14:paraId="36EB9957">
      <w:pPr>
        <w:pStyle w:val="35"/>
        <w:ind w:firstLine="480"/>
        <w:rPr>
          <w:lang w:eastAsia="zh-CN"/>
        </w:rPr>
      </w:pPr>
      <w:r>
        <w:rPr>
          <w:lang w:eastAsia="zh-CN"/>
        </w:rPr>
        <w:t>本章构建了一个基于AHP和EWM的混合权重评估模型。 首先将奥运项目评估问题形式化为多准则决策模型，建立了包含六个维度的评价指标体系，并设计了各维度下子指标的系统化提取方法。 然后分别给出了AHP主观权重的确定流程（判断矩阵构建、多专家矩阵整合、特征值求解与一致性检验）和EWM客观权重的计算步骤（数据标准化、比重矩阵、信息熵、效用值和熵权），以及两层熵权结构的设计逻辑。 最后提出了线性组合的混合权重模型，分析了其数学性质，并给出了模型实现的完整伪代码。</w:t>
      </w:r>
    </w:p>
    <w:p w14:paraId="00E28232">
      <w:pPr>
        <w:pStyle w:val="2"/>
        <w:rPr>
          <w:lang w:eastAsia="zh-CN"/>
        </w:rPr>
      </w:pPr>
      <w:bookmarkStart w:id="89" w:name="_Toc229523246"/>
      <w:bookmarkStart w:id="90" w:name="实验设计与数据分析"/>
      <w:r>
        <w:rPr>
          <w:rStyle w:val="62"/>
          <w:rFonts w:eastAsia="黑体" w:asciiTheme="majorHAnsi" w:hAnsiTheme="majorHAnsi"/>
          <w:sz w:val="32"/>
          <w:szCs w:val="40"/>
          <w:lang w:eastAsia="zh-CN"/>
        </w:rPr>
        <w:t xml:space="preserve">第四章    </w:t>
      </w:r>
      <w:r>
        <w:rPr>
          <w:lang w:eastAsia="zh-CN"/>
        </w:rPr>
        <w:t>实验设计与数据分析</w:t>
      </w:r>
      <w:bookmarkEnd w:id="89"/>
    </w:p>
    <w:bookmarkEnd w:id="88"/>
    <w:bookmarkEnd w:id="90"/>
    <w:p w14:paraId="0CA95B02">
      <w:pPr>
        <w:pStyle w:val="4"/>
        <w:rPr>
          <w:rFonts w:hint="eastAsia"/>
          <w:lang w:eastAsia="zh-CN"/>
        </w:rPr>
      </w:pPr>
      <w:bookmarkStart w:id="91" w:name="_Toc229523247"/>
      <w:bookmarkStart w:id="92" w:name="数据来源与预处理"/>
      <w:r>
        <w:rPr>
          <w:rStyle w:val="62"/>
          <w:rFonts w:ascii="黑体" w:hAnsi="黑体" w:eastAsia="黑体"/>
          <w:sz w:val="28"/>
          <w:szCs w:val="28"/>
          <w:lang w:eastAsia="zh-CN"/>
        </w:rPr>
        <w:t>4.1</w:t>
      </w:r>
      <w:r>
        <w:rPr>
          <w:rStyle w:val="62"/>
          <w:rFonts w:hint="eastAsia" w:ascii="黑体" w:hAnsi="黑体" w:eastAsia="黑体"/>
          <w:sz w:val="28"/>
          <w:szCs w:val="28"/>
          <w:lang w:eastAsia="zh-CN"/>
        </w:rPr>
        <w:t xml:space="preserve">  </w:t>
      </w:r>
      <w:r>
        <w:rPr>
          <w:lang w:eastAsia="zh-CN"/>
        </w:rPr>
        <w:t>数据来源与预处理</w:t>
      </w:r>
      <w:bookmarkEnd w:id="91"/>
    </w:p>
    <w:p w14:paraId="581520F6">
      <w:pPr>
        <w:pStyle w:val="5"/>
        <w:rPr>
          <w:rFonts w:hint="eastAsia"/>
          <w:lang w:eastAsia="zh-CN"/>
        </w:rPr>
      </w:pPr>
      <w:bookmarkStart w:id="93" w:name="himcm数据集"/>
      <w:r>
        <w:rPr>
          <w:rStyle w:val="62"/>
          <w:rFonts w:ascii="黑体" w:hAnsi="黑体" w:eastAsia="黑体"/>
          <w:lang w:eastAsia="zh-CN"/>
        </w:rPr>
        <w:t>4.1.1</w:t>
      </w:r>
      <w:r>
        <w:rPr>
          <w:lang w:eastAsia="zh-CN"/>
        </w:rPr>
        <w:tab/>
      </w:r>
      <w:r>
        <w:rPr>
          <w:lang w:eastAsia="zh-CN"/>
        </w:rPr>
        <w:t>HiMCM数据集</w:t>
      </w:r>
    </w:p>
    <w:p w14:paraId="3D9E5C6A">
      <w:pPr>
        <w:pStyle w:val="35"/>
        <w:ind w:firstLine="480"/>
        <w:rPr>
          <w:lang w:eastAsia="zh-CN"/>
        </w:rPr>
      </w:pPr>
      <w:r>
        <w:rPr>
          <w:rFonts w:hint="eastAsia"/>
          <w:lang w:eastAsia="zh-CN"/>
        </w:rPr>
        <w:t>本研究使用的基础数据来源于HiMCM大赛提供的奥运项目历史数据集，</w:t>
      </w:r>
      <w:r>
        <w:rPr>
          <w:lang w:eastAsia="zh-CN"/>
        </w:rPr>
        <w:t xml:space="preserve"> </w:t>
      </w:r>
      <w:r>
        <w:rPr>
          <w:rFonts w:hint="eastAsia"/>
          <w:lang w:eastAsia="zh-CN"/>
        </w:rPr>
        <w:t>该数据集以表格形式记录了76个运动小项在历届奥运会中的设项数量。</w:t>
      </w:r>
      <w:r>
        <w:rPr>
          <w:lang w:eastAsia="zh-CN"/>
        </w:rPr>
        <w:t xml:space="preserve"> </w:t>
      </w:r>
      <w:r>
        <w:rPr>
          <w:rFonts w:hint="eastAsia"/>
          <w:lang w:eastAsia="zh-CN"/>
        </w:rPr>
        <w:t>原始数据无法直接用于模型计算，需要先进行预处理。</w:t>
      </w:r>
      <w:r>
        <w:rPr>
          <w:lang w:eastAsia="zh-CN"/>
        </w:rPr>
        <w:t xml:space="preserve"> </w:t>
      </w:r>
      <w:r>
        <w:rPr>
          <w:rFonts w:hint="eastAsia"/>
          <w:lang w:eastAsia="zh-CN"/>
        </w:rPr>
        <w:t>具体步骤包括统一数据格式、</w:t>
      </w:r>
      <w:r>
        <w:rPr>
          <w:lang w:eastAsia="zh-CN"/>
        </w:rPr>
        <w:t xml:space="preserve"> </w:t>
      </w:r>
      <w:r>
        <w:rPr>
          <w:rFonts w:hint="eastAsia"/>
          <w:lang w:eastAsia="zh-CN"/>
        </w:rPr>
        <w:t>标注缺失值、</w:t>
      </w:r>
      <w:r>
        <w:rPr>
          <w:lang w:eastAsia="zh-CN"/>
        </w:rPr>
        <w:t xml:space="preserve"> </w:t>
      </w:r>
      <w:r>
        <w:rPr>
          <w:rFonts w:hint="eastAsia"/>
          <w:lang w:eastAsia="zh-CN"/>
        </w:rPr>
        <w:t>区分参赛与未参赛状态、</w:t>
      </w:r>
      <w:r>
        <w:rPr>
          <w:lang w:eastAsia="zh-CN"/>
        </w:rPr>
        <w:t xml:space="preserve"> </w:t>
      </w:r>
      <w:r>
        <w:rPr>
          <w:rFonts w:hint="eastAsia"/>
          <w:lang w:eastAsia="zh-CN"/>
        </w:rPr>
        <w:t>去除因冬夏季项目分类产生的重复记录，</w:t>
      </w:r>
      <w:r>
        <w:rPr>
          <w:lang w:eastAsia="zh-CN"/>
        </w:rPr>
        <w:t xml:space="preserve"> </w:t>
      </w:r>
      <w:r>
        <w:rPr>
          <w:rFonts w:hint="eastAsia"/>
          <w:lang w:eastAsia="zh-CN"/>
        </w:rPr>
        <w:t>最终整理出76个运动小项从1896年至2028年共32届赛事的标准化设项数矩阵。</w:t>
      </w:r>
    </w:p>
    <w:p w14:paraId="7F4C24F9">
      <w:pPr>
        <w:pStyle w:val="35"/>
        <w:ind w:firstLine="480"/>
      </w:pPr>
      <w:r>
        <w:rPr>
          <w:rFonts w:hint="eastAsia"/>
          <w:lang w:eastAsia="zh-CN"/>
        </w:rPr>
        <w:t>从整理后的数据可以观察到奥运项目规模的演变趋势。</w:t>
      </w:r>
      <w:r>
        <w:rPr>
          <w:lang w:eastAsia="zh-CN"/>
        </w:rPr>
        <w:t xml:space="preserve"> </w:t>
      </w:r>
      <w:r>
        <w:rPr>
          <w:rFonts w:hint="eastAsia"/>
          <w:lang w:eastAsia="zh-CN"/>
        </w:rPr>
        <w:t>1896年首届现代奥运会仅有43个小项、10个分项和11个大项。</w:t>
      </w:r>
      <w:r>
        <w:rPr>
          <w:lang w:eastAsia="zh-CN"/>
        </w:rPr>
        <w:t xml:space="preserve"> </w:t>
      </w:r>
      <w:r>
        <w:rPr>
          <w:rFonts w:hint="eastAsia"/>
          <w:lang w:eastAsia="zh-CN"/>
        </w:rPr>
        <w:t>随着奥运会的全球化发展，</w:t>
      </w:r>
      <w:r>
        <w:rPr>
          <w:lang w:eastAsia="zh-CN"/>
        </w:rPr>
        <w:t xml:space="preserve"> </w:t>
      </w:r>
      <w:r>
        <w:rPr>
          <w:rFonts w:hint="eastAsia"/>
          <w:lang w:eastAsia="zh-CN"/>
        </w:rPr>
        <w:t>项目数量持续增长，</w:t>
      </w:r>
      <w:r>
        <w:rPr>
          <w:lang w:eastAsia="zh-CN"/>
        </w:rPr>
        <w:t xml:space="preserve"> </w:t>
      </w:r>
      <w:r>
        <w:rPr>
          <w:rFonts w:hint="eastAsia"/>
          <w:lang w:eastAsia="zh-CN"/>
        </w:rPr>
        <w:t>到2000年悉尼奥运会已达到300个小项，</w:t>
      </w:r>
      <w:r>
        <w:rPr>
          <w:lang w:eastAsia="zh-CN"/>
        </w:rPr>
        <w:t xml:space="preserve"> </w:t>
      </w:r>
      <w:r>
        <w:rPr>
          <w:rFonts w:hint="eastAsia"/>
          <w:lang w:eastAsia="zh-CN"/>
        </w:rPr>
        <w:t>2020年东京奥运会更是增长至329个小项、</w:t>
      </w:r>
      <w:r>
        <w:rPr>
          <w:lang w:eastAsia="zh-CN"/>
        </w:rPr>
        <w:t xml:space="preserve"> </w:t>
      </w:r>
      <w:r>
        <w:rPr>
          <w:rFonts w:hint="eastAsia"/>
          <w:lang w:eastAsia="zh-CN"/>
        </w:rPr>
        <w:t>48个分项和32个大项。</w:t>
      </w:r>
      <w:r>
        <w:rPr>
          <w:lang w:eastAsia="zh-CN"/>
        </w:rPr>
        <w:t xml:space="preserve"> </w:t>
      </w:r>
      <w:r>
        <w:rPr>
          <w:rFonts w:hint="eastAsia"/>
          <w:lang w:eastAsia="zh-CN"/>
        </w:rPr>
        <w:t>百余年时间内设项数增长了近7倍，这一方面反映了奥运会影响力的持续扩大，另一方面也增加了项目管理和评估的复杂性。</w:t>
      </w:r>
      <w:r>
        <w:rPr>
          <w:rFonts w:hint="eastAsia"/>
        </w:rPr>
        <w:t>奥运项目规模的完整演变趋势如</w:t>
      </w:r>
      <w:r>
        <w:rPr>
          <w:rFonts w:hint="eastAsia"/>
          <w:lang w:eastAsia="zh-CN"/>
        </w:rPr>
        <w:t>图4.</w:t>
      </w:r>
      <w:r>
        <w:fldChar w:fldCharType="begin"/>
      </w:r>
      <w:r>
        <w:instrText xml:space="preserve"> HYPERLINK \l "fig:olympic_growth" \h </w:instrText>
      </w:r>
      <w:r>
        <w:fldChar w:fldCharType="separate"/>
      </w:r>
      <w:r>
        <w:rPr>
          <w:rStyle w:val="32"/>
          <w:color w:val="auto"/>
        </w:rPr>
        <w:t>1</w:t>
      </w:r>
      <w:r>
        <w:rPr>
          <w:rStyle w:val="32"/>
          <w:color w:val="auto"/>
        </w:rPr>
        <w:fldChar w:fldCharType="end"/>
      </w:r>
      <w:r>
        <w:rPr>
          <w:rFonts w:hint="eastAsia"/>
        </w:rPr>
        <w:t>所示。</w:t>
      </w:r>
    </w:p>
    <w:p w14:paraId="273355D3">
      <w:pPr>
        <w:pStyle w:val="59"/>
        <w:jc w:val="both"/>
      </w:pPr>
      <w:bookmarkStart w:id="94"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0"/>
                    <a:stretch>
                      <a:fillRect/>
                    </a:stretch>
                  </pic:blipFill>
                  <pic:spPr>
                    <a:xfrm>
                      <a:off x="0" y="0"/>
                      <a:ext cx="4800600" cy="2372786"/>
                    </a:xfrm>
                    <a:prstGeom prst="rect">
                      <a:avLst/>
                    </a:prstGeom>
                    <a:noFill/>
                    <a:ln w="9525">
                      <a:noFill/>
                    </a:ln>
                  </pic:spPr>
                </pic:pic>
              </a:graphicData>
            </a:graphic>
          </wp:inline>
        </w:drawing>
      </w:r>
    </w:p>
    <w:p w14:paraId="777052BF">
      <w:pPr>
        <w:pStyle w:val="104"/>
        <w:jc w:val="center"/>
      </w:pPr>
      <w:bookmarkStart w:id="95" w:name="_fig_olympic_growth"/>
      <w:r>
        <w:t>图4.1奥运项目规模历史演变</w:t>
      </w:r>
      <w:r>
        <w:rPr>
          <w:rStyle w:val="107"/>
          <w:i/>
          <w:lang w:eastAsia="zh-CN"/>
        </w:rPr>
        <w:t>趋势</w:t>
      </w:r>
      <w:r>
        <w:t>（1896—2028）</w:t>
      </w:r>
      <w:bookmarkEnd w:id="95"/>
    </w:p>
    <w:bookmarkEnd w:id="94"/>
    <w:p w14:paraId="2B235416">
      <w:pPr>
        <w:pStyle w:val="35"/>
        <w:ind w:firstLine="480"/>
        <w:rPr>
          <w:lang w:eastAsia="zh-CN"/>
        </w:rPr>
      </w:pPr>
      <w:r>
        <w:rPr>
          <w:rFonts w:hint="eastAsia"/>
          <w:lang w:eastAsia="zh-CN"/>
        </w:rPr>
        <w:t>21世纪以来，国际奥委会在保持传统核心项目的同时，不断引入新兴运动以吸引年轻观众。</w:t>
      </w:r>
      <w:r>
        <w:rPr>
          <w:lang w:eastAsia="zh-CN"/>
        </w:rPr>
        <w:t xml:space="preserve"> </w:t>
      </w:r>
      <w:r>
        <w:rPr>
          <w:rFonts w:hint="eastAsia"/>
          <w:lang w:eastAsia="zh-CN"/>
        </w:rPr>
        <w:t>2000年以后新增的运动项目包括霹雳舞、滑板、攀岩、冲浪、高尔夫、七人制橄榄球、三人篮球和BMX自由式小轮车。</w:t>
      </w:r>
      <w:r>
        <w:rPr>
          <w:lang w:eastAsia="zh-CN"/>
        </w:rPr>
        <w:t xml:space="preserve"> </w:t>
      </w:r>
      <w:r>
        <w:rPr>
          <w:rFonts w:hint="eastAsia"/>
          <w:lang w:eastAsia="zh-CN"/>
        </w:rPr>
        <w:t>部分项目也经历了入选与淘汰的循环，</w:t>
      </w:r>
      <w:r>
        <w:rPr>
          <w:lang w:eastAsia="zh-CN"/>
        </w:rPr>
        <w:t xml:space="preserve"> </w:t>
      </w:r>
      <w:r>
        <w:rPr>
          <w:rFonts w:hint="eastAsia"/>
          <w:lang w:eastAsia="zh-CN"/>
        </w:rPr>
        <w:t>例如空手道在2020年东京奥运会首次亮相后，</w:t>
      </w:r>
      <w:r>
        <w:rPr>
          <w:lang w:eastAsia="zh-CN"/>
        </w:rPr>
        <w:t xml:space="preserve"> </w:t>
      </w:r>
      <w:r>
        <w:rPr>
          <w:rFonts w:hint="eastAsia"/>
          <w:lang w:eastAsia="zh-CN"/>
        </w:rPr>
        <w:t>2024年被移出赛程；</w:t>
      </w:r>
      <w:r>
        <w:rPr>
          <w:lang w:eastAsia="zh-CN"/>
        </w:rPr>
        <w:t xml:space="preserve"> </w:t>
      </w:r>
      <w:r>
        <w:rPr>
          <w:rFonts w:hint="eastAsia"/>
          <w:lang w:eastAsia="zh-CN"/>
        </w:rPr>
        <w:t>棒球和垒球则在2008年后被移除，</w:t>
      </w:r>
      <w:r>
        <w:rPr>
          <w:lang w:eastAsia="zh-CN"/>
        </w:rPr>
        <w:t xml:space="preserve"> </w:t>
      </w:r>
      <w:r>
        <w:rPr>
          <w:rFonts w:hint="eastAsia"/>
          <w:lang w:eastAsia="zh-CN"/>
        </w:rPr>
        <w:t>2020年又得以回归。</w:t>
      </w:r>
    </w:p>
    <w:p w14:paraId="055D9CA6">
      <w:pPr>
        <w:pStyle w:val="35"/>
        <w:ind w:firstLine="480"/>
        <w:rPr>
          <w:lang w:eastAsia="zh-CN"/>
        </w:rPr>
      </w:pPr>
      <w:r>
        <w:rPr>
          <w:rFonts w:hint="eastAsia"/>
          <w:lang w:eastAsia="zh-CN"/>
        </w:rPr>
        <w:t>数据预处理完成后，按第3.3节所述方法从HiMCM数据中计算了流行度、可持续性、包容性、创新性四个维度的评估指标，六个维度共计17个子指标，均按第3.5.2节所述的两层EWM结构聚合为维度得分。</w:t>
      </w:r>
      <w:r>
        <w:rPr>
          <w:lang w:eastAsia="zh-CN"/>
        </w:rPr>
        <w:t xml:space="preserve"> </w:t>
      </w:r>
      <w:r>
        <w:rPr>
          <w:rFonts w:hint="eastAsia"/>
          <w:lang w:eastAsia="zh-CN"/>
        </w:rPr>
        <w:t>以田径的流行度为例，其5个子指标经标准化后的EWM熵权分别为</w:t>
      </w:r>
      <w:r>
        <w:rPr>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up>
            <m:r>
              <m:rPr>
                <m:nor/>
                <m:sty m:val="p"/>
              </m:rPr>
              <w:rPr>
                <w:b w:val="0"/>
                <w:i w:val="0"/>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0.18</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up>
            <m:r>
              <m:rPr>
                <m:nor/>
                <m:sty m:val="p"/>
              </m:rPr>
              <w:rPr>
                <w:b w:val="0"/>
                <w:i w:val="0"/>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0.22</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13</m:t>
            </m:r>
            <m:ctrlPr>
              <w:rPr>
                <w:rFonts w:ascii="Cambria Math" w:hAnsi="Cambria Math"/>
              </w:rPr>
            </m:ctrlPr>
          </m:sub>
          <m:sup>
            <m:r>
              <m:rPr>
                <m:nor/>
                <m:sty m:val="p"/>
              </m:rPr>
              <w:rPr>
                <w:b w:val="0"/>
                <w:i w:val="0"/>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14</m:t>
            </m:r>
            <m:ctrlPr>
              <w:rPr>
                <w:rFonts w:ascii="Cambria Math" w:hAnsi="Cambria Math"/>
              </w:rPr>
            </m:ctrlPr>
          </m:sub>
          <m:sup>
            <m:r>
              <m:rPr>
                <m:nor/>
                <m:sty m:val="p"/>
              </m:rPr>
              <w:rPr>
                <w:b w:val="0"/>
                <w:i w:val="0"/>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15</m:t>
            </m:r>
            <m:ctrlPr>
              <w:rPr>
                <w:rFonts w:ascii="Cambria Math" w:hAnsi="Cambria Math"/>
              </w:rPr>
            </m:ctrlPr>
          </m:sub>
          <m:sup>
            <m:r>
              <m:rPr>
                <m:nor/>
                <m:sty m:val="p"/>
              </m:rPr>
              <w:rPr>
                <w:b w:val="0"/>
                <w:i w:val="0"/>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0.20</m:t>
        </m:r>
      </m:oMath>
      <w:r>
        <w:rPr>
          <w:lang w:eastAsia="zh-CN"/>
        </w:rPr>
        <w:t xml:space="preserve"> </w:t>
      </w:r>
      <w:r>
        <w:rPr>
          <w:rFonts w:hint="eastAsia"/>
          <w:lang w:eastAsia="zh-CN"/>
        </w:rPr>
        <w:t>（具体中间数值因篇幅从略），</w:t>
      </w:r>
      <w:r>
        <w:rPr>
          <w:lang w:eastAsia="zh-CN"/>
        </w:rPr>
        <w:t xml:space="preserve"> </w:t>
      </w:r>
      <w:r>
        <w:rPr>
          <w:rFonts w:hint="eastAsia"/>
          <w:lang w:eastAsia="zh-CN"/>
        </w:rPr>
        <w:t>加权后流行度维度得分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0.814</m:t>
        </m:r>
      </m:oMath>
      <w:r>
        <w:rPr>
          <w:rFonts w:hint="eastAsia"/>
          <w:lang w:eastAsia="zh-CN"/>
        </w:rPr>
        <w:t>，位列12个项目之首。</w:t>
      </w:r>
      <w:r>
        <w:rPr>
          <w:lang w:eastAsia="zh-CN"/>
        </w:rPr>
        <w:t xml:space="preserve"> </w:t>
      </w:r>
      <w:r>
        <w:rPr>
          <w:rFonts w:hint="eastAsia"/>
          <w:lang w:eastAsia="zh-CN"/>
        </w:rPr>
        <w:t>其余三个HiMCM维度（可持续性、包容性、创新性）及两个外部维度（性别平等、安全性）均采用相同的两层EWM流程聚合，</w:t>
      </w:r>
      <w:r>
        <w:rPr>
          <w:lang w:eastAsia="zh-CN"/>
        </w:rPr>
        <w:t xml:space="preserve"> </w:t>
      </w:r>
      <w:r>
        <w:rPr>
          <w:rFonts w:hint="eastAsia"/>
          <w:lang w:eastAsia="zh-CN"/>
        </w:rPr>
        <w:t>最终得到12个项目的六维评分如表</w:t>
      </w:r>
      <w:r>
        <w:rPr>
          <w:lang w:eastAsia="zh-CN"/>
        </w:rPr>
        <w:t> </w:t>
      </w:r>
      <w:r>
        <w:fldChar w:fldCharType="begin"/>
      </w:r>
      <w:r>
        <w:instrText xml:space="preserve"> HYPERLINK \l "tab:decision_matrix" \h </w:instrText>
      </w:r>
      <w:r>
        <w:fldChar w:fldCharType="separate"/>
      </w:r>
      <w:r>
        <w:rPr>
          <w:rStyle w:val="32"/>
          <w:color w:val="auto"/>
          <w:lang w:eastAsia="zh-CN"/>
        </w:rPr>
        <w:t>5</w:t>
      </w:r>
      <w:r>
        <w:rPr>
          <w:rStyle w:val="32"/>
          <w:color w:val="auto"/>
          <w:lang w:eastAsia="zh-CN"/>
        </w:rPr>
        <w:fldChar w:fldCharType="end"/>
      </w:r>
      <w:r>
        <w:rPr>
          <w:rFonts w:hint="eastAsia"/>
          <w:lang w:eastAsia="zh-CN"/>
        </w:rPr>
        <w:t>所示。</w:t>
      </w:r>
    </w:p>
    <w:bookmarkEnd w:id="93"/>
    <w:p w14:paraId="734F38CF">
      <w:pPr>
        <w:pStyle w:val="5"/>
        <w:rPr>
          <w:rFonts w:hint="eastAsia"/>
          <w:lang w:eastAsia="zh-CN"/>
        </w:rPr>
      </w:pPr>
      <w:bookmarkStart w:id="96" w:name="外部数据补充"/>
      <w:r>
        <w:rPr>
          <w:rStyle w:val="62"/>
          <w:rFonts w:ascii="黑体" w:hAnsi="黑体" w:eastAsia="黑体"/>
          <w:lang w:eastAsia="zh-CN"/>
        </w:rPr>
        <w:t>4.1.2</w:t>
      </w:r>
      <w:r>
        <w:rPr>
          <w:lang w:eastAsia="zh-CN"/>
        </w:rPr>
        <w:tab/>
      </w:r>
      <w:r>
        <w:rPr>
          <w:lang w:eastAsia="zh-CN"/>
        </w:rPr>
        <w:t>外部数据补充</w:t>
      </w:r>
    </w:p>
    <w:p w14:paraId="4143595B">
      <w:pPr>
        <w:pStyle w:val="35"/>
        <w:ind w:firstLine="480"/>
      </w:pPr>
      <w:r>
        <w:rPr>
          <w:rFonts w:hint="eastAsia"/>
          <w:lang w:eastAsia="zh-CN"/>
        </w:rPr>
        <w:t>除了HiMCM数据集提供的流行度、可持续性、包容性、创新性这四项指标，性别平等和安全性这两个维度的数据需要从外部获取。</w:t>
      </w:r>
      <w:r>
        <w:rPr>
          <w:lang w:eastAsia="zh-CN"/>
        </w:rPr>
        <w:t xml:space="preserve"> </w:t>
      </w:r>
      <w:r>
        <w:rPr>
          <w:rFonts w:hint="eastAsia"/>
          <w:lang w:eastAsia="zh-CN"/>
        </w:rPr>
        <w:t>性别平等数据来自IOC巴黎2024官方报告</w:t>
      </w:r>
      <w:r>
        <w:rPr>
          <w:vertAlign w:val="superscript"/>
          <w:lang w:eastAsia="zh-CN"/>
        </w:rPr>
        <w:t>[13]</w:t>
      </w:r>
      <w:r>
        <w:rPr>
          <w:lang w:eastAsia="zh-CN"/>
        </w:rPr>
        <w:t xml:space="preserve">。 </w:t>
      </w:r>
      <w:r>
        <w:rPr>
          <w:rFonts w:hint="eastAsia"/>
          <w:lang w:eastAsia="zh-CN"/>
        </w:rPr>
        <w:t>这个报告说巴黎2024是历史上第一届实现完全性别平等的奥运会，</w:t>
      </w:r>
      <w:r>
        <w:rPr>
          <w:lang w:eastAsia="zh-CN"/>
        </w:rPr>
        <w:t xml:space="preserve"> </w:t>
      </w:r>
      <w:r>
        <w:rPr>
          <w:rFonts w:hint="eastAsia"/>
          <w:lang w:eastAsia="zh-CN"/>
        </w:rPr>
        <w:t>10500个参赛名额男女各占一半，</w:t>
      </w:r>
      <w:r>
        <w:rPr>
          <w:lang w:eastAsia="zh-CN"/>
        </w:rPr>
        <w:t xml:space="preserve"> </w:t>
      </w:r>
      <w:r>
        <w:rPr>
          <w:rFonts w:hint="eastAsia"/>
          <w:lang w:eastAsia="zh-CN"/>
        </w:rPr>
        <w:t>28个运动里的32个分项达到了完全性别平等。</w:t>
      </w:r>
      <w:r>
        <w:rPr>
          <w:lang w:eastAsia="zh-CN"/>
        </w:rPr>
        <w:t xml:space="preserve"> </w:t>
      </w:r>
      <w:r>
        <w:rPr>
          <w:rFonts w:hint="eastAsia"/>
        </w:rPr>
        <w:t>各项目的性别平等评分按照男女参赛比例的均衡程度计算，</w:t>
      </w:r>
      <w:r>
        <w:t xml:space="preserve"> </w:t>
      </w:r>
      <w:r>
        <w:rPr>
          <w:rFonts w:hint="eastAsia"/>
        </w:rPr>
        <w:t>公式是</w:t>
      </w:r>
      <m:oMath>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gender</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male</m:t>
                </m:r>
                <m:ctrlPr>
                  <w:rPr>
                    <w:rFonts w:ascii="Cambria Math" w:hAnsi="Cambria Math"/>
                  </w:rPr>
                </m:ctrlPr>
              </m:sub>
            </m:sSub>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oMath>
      <w:r>
        <w:rPr>
          <w:rFonts w:hint="eastAsia"/>
        </w:rPr>
        <w:t>，</w:t>
      </w:r>
      <w:r>
        <w:t xml:space="preserve"> </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male</m:t>
            </m:r>
            <m:ctrlPr>
              <w:rPr>
                <w:rFonts w:ascii="Cambria Math" w:hAnsi="Cambria Math"/>
              </w:rPr>
            </m:ctrlPr>
          </m:sub>
        </m:sSub>
      </m:oMath>
      <w:r>
        <w:rPr>
          <w:rFonts w:hint="eastAsia"/>
        </w:rPr>
        <w:t>是男性运动员在该项目中的占比。例如，游泳项目的男子运动员比例</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male</m:t>
            </m:r>
            <m:ctrlPr>
              <w:rPr>
                <w:rFonts w:ascii="Cambria Math" w:hAnsi="Cambria Math"/>
              </w:rPr>
            </m:ctrlPr>
          </m:sub>
        </m:sSub>
        <m:r>
          <m:rPr>
            <m:sty m:val="p"/>
          </m:rPr>
          <w:rPr>
            <w:rFonts w:ascii="Cambria Math" w:hAnsi="Cambria Math"/>
          </w:rPr>
          <m:t>=</m:t>
        </m:r>
        <m:r>
          <m:rPr/>
          <w:rPr>
            <w:rFonts w:ascii="Cambria Math" w:hAnsi="Cambria Math"/>
          </w:rPr>
          <m:t>0.50</m:t>
        </m:r>
      </m:oMath>
      <w:r>
        <w:rPr>
          <w:rFonts w:hint="eastAsia"/>
        </w:rPr>
        <w:t>，代入公式得</w:t>
      </w:r>
      <m:oMath>
        <m:r>
          <m:rPr/>
          <w:rPr>
            <w:rFonts w:ascii="Cambria Math" w:hAnsi="Cambria Math"/>
          </w:rPr>
          <m:t>E</m:t>
        </m:r>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r>
              <m:rPr/>
              <w:rPr>
                <w:rFonts w:ascii="Cambria Math" w:hAnsi="Cambria Math"/>
              </w:rPr>
              <m:t>0.50</m:t>
            </m:r>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1.00</m:t>
        </m:r>
      </m:oMath>
      <w:r>
        <w:rPr>
          <w:rFonts w:hint="eastAsia"/>
        </w:rPr>
        <w:t>，性别完全平等；足球项目</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male</m:t>
            </m:r>
            <m:ctrlPr>
              <w:rPr>
                <w:rFonts w:ascii="Cambria Math" w:hAnsi="Cambria Math"/>
              </w:rPr>
            </m:ctrlPr>
          </m:sub>
        </m:sSub>
        <m:r>
          <m:rPr>
            <m:sty m:val="p"/>
          </m:rPr>
          <w:rPr>
            <w:rFonts w:ascii="Cambria Math" w:hAnsi="Cambria Math"/>
          </w:rPr>
          <m:t>=</m:t>
        </m:r>
        <m:r>
          <m:rPr/>
          <w:rPr>
            <w:rFonts w:ascii="Cambria Math" w:hAnsi="Cambria Math"/>
          </w:rPr>
          <m:t>0.60</m:t>
        </m:r>
      </m:oMath>
      <w:r>
        <w:rPr>
          <w:rFonts w:hint="eastAsia"/>
        </w:rPr>
        <w:t>，得</w:t>
      </w:r>
      <m:oMath>
        <m:r>
          <m:rPr/>
          <w:rPr>
            <w:rFonts w:ascii="Cambria Math" w:hAnsi="Cambria Math"/>
          </w:rPr>
          <m:t>E</m:t>
        </m:r>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r>
              <m:rPr/>
              <w:rPr>
                <w:rFonts w:ascii="Cambria Math" w:hAnsi="Cambria Math"/>
              </w:rPr>
              <m:t>0.60</m:t>
            </m:r>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0.80</m:t>
        </m:r>
      </m:oMath>
      <w:r>
        <w:t>。</w:t>
      </w:r>
    </w:p>
    <w:p w14:paraId="4FC7D126">
      <w:pPr>
        <w:pStyle w:val="35"/>
        <w:ind w:firstLine="480"/>
        <w:rPr>
          <w:lang w:eastAsia="zh-CN"/>
        </w:rPr>
      </w:pPr>
      <w:r>
        <w:rPr>
          <w:rFonts w:hint="eastAsia"/>
          <w:lang w:eastAsia="zh-CN"/>
        </w:rPr>
        <w:t>安全性数据来源于PubMed等学术数据库中收录的同行评审受伤率文献。</w:t>
      </w:r>
      <w:r>
        <w:rPr>
          <w:lang w:eastAsia="zh-CN"/>
        </w:rPr>
        <w:t xml:space="preserve"> </w:t>
      </w:r>
      <w:r>
        <w:rPr>
          <w:rFonts w:hint="eastAsia"/>
          <w:lang w:eastAsia="zh-CN"/>
        </w:rPr>
        <w:t>已有多篇系统综述和综合定量分析报告了12个代表性项目的标准化受伤率：空手道竞技比赛受伤率为88.3/1000</w:t>
      </w:r>
      <w:r>
        <w:rPr>
          <w:lang w:eastAsia="zh-CN"/>
        </w:rPr>
        <w:t xml:space="preserve"> </w:t>
      </w:r>
      <w:r>
        <w:rPr>
          <w:rFonts w:hint="eastAsia"/>
          <w:lang w:eastAsia="zh-CN"/>
        </w:rPr>
        <w:t>AE（运动员暴露次数）</w:t>
      </w:r>
      <w:r>
        <w:rPr>
          <w:vertAlign w:val="superscript"/>
          <w:lang w:eastAsia="zh-CN"/>
        </w:rPr>
        <w:t>[10]</w:t>
      </w:r>
      <w:r>
        <w:rPr>
          <w:rFonts w:hint="eastAsia"/>
          <w:lang w:eastAsia="zh-CN"/>
        </w:rPr>
        <w:t>，女子足球整体受伤率为6.1/1000</w:t>
      </w:r>
      <w:r>
        <w:rPr>
          <w:lang w:eastAsia="zh-CN"/>
        </w:rPr>
        <w:t xml:space="preserve"> </w:t>
      </w:r>
      <w:r>
        <w:rPr>
          <w:rFonts w:hint="eastAsia"/>
          <w:lang w:eastAsia="zh-CN"/>
        </w:rPr>
        <w:t>h（比赛19.2/1000</w:t>
      </w:r>
      <w:r>
        <w:rPr>
          <w:lang w:eastAsia="zh-CN"/>
        </w:rPr>
        <w:t xml:space="preserve"> </w:t>
      </w:r>
      <w:r>
        <w:rPr>
          <w:rFonts w:hint="eastAsia"/>
          <w:lang w:eastAsia="zh-CN"/>
        </w:rPr>
        <w:t>h）</w:t>
      </w:r>
      <w:r>
        <w:rPr>
          <w:vertAlign w:val="superscript"/>
          <w:lang w:eastAsia="zh-CN"/>
        </w:rPr>
        <w:t>[3]</w:t>
      </w:r>
      <w:r>
        <w:rPr>
          <w:rFonts w:hint="eastAsia"/>
          <w:lang w:eastAsia="zh-CN"/>
        </w:rPr>
        <w:t>，篮球NBA/WNBA综合受伤率约11.8/1000</w:t>
      </w:r>
      <w:r>
        <w:rPr>
          <w:lang w:eastAsia="zh-CN"/>
        </w:rPr>
        <w:t xml:space="preserve"> AE</w:t>
      </w:r>
      <w:r>
        <w:rPr>
          <w:vertAlign w:val="superscript"/>
          <w:lang w:eastAsia="zh-CN"/>
        </w:rPr>
        <w:t>[4]</w:t>
      </w:r>
      <w:r>
        <w:rPr>
          <w:rFonts w:hint="eastAsia"/>
          <w:lang w:eastAsia="zh-CN"/>
        </w:rPr>
        <w:t>，田径训练与比赛综合受伤率为4.2/1000</w:t>
      </w:r>
      <w:r>
        <w:rPr>
          <w:lang w:eastAsia="zh-CN"/>
        </w:rPr>
        <w:t xml:space="preserve"> AE</w:t>
      </w:r>
      <w:r>
        <w:rPr>
          <w:vertAlign w:val="superscript"/>
          <w:lang w:eastAsia="zh-CN"/>
        </w:rPr>
        <w:t>[5]</w:t>
      </w:r>
      <w:r>
        <w:rPr>
          <w:rFonts w:hint="eastAsia"/>
          <w:lang w:eastAsia="zh-CN"/>
        </w:rPr>
        <w:t>，游泳NCAA受伤率为0.26–1.78/1000</w:t>
      </w:r>
      <w:r>
        <w:rPr>
          <w:lang w:eastAsia="zh-CN"/>
        </w:rPr>
        <w:t xml:space="preserve"> AE</w:t>
      </w:r>
      <w:r>
        <w:rPr>
          <w:vertAlign w:val="superscript"/>
          <w:lang w:eastAsia="zh-CN"/>
        </w:rPr>
        <w:t>[6]</w:t>
      </w:r>
      <w:r>
        <w:rPr>
          <w:rFonts w:hint="eastAsia"/>
          <w:lang w:eastAsia="zh-CN"/>
        </w:rPr>
        <w:t>，冲浪受伤率为0.74–6.6/1000</w:t>
      </w:r>
      <w:r>
        <w:rPr>
          <w:lang w:eastAsia="zh-CN"/>
        </w:rPr>
        <w:t xml:space="preserve"> h</w:t>
      </w:r>
      <w:r>
        <w:rPr>
          <w:vertAlign w:val="superscript"/>
          <w:lang w:eastAsia="zh-CN"/>
        </w:rPr>
        <w:t>[8]</w:t>
      </w:r>
      <w:r>
        <w:rPr>
          <w:rFonts w:hint="eastAsia"/>
          <w:lang w:eastAsia="zh-CN"/>
        </w:rPr>
        <w:t>，女子板球精英运动员受伤率为6.12/1000</w:t>
      </w:r>
      <w:r>
        <w:rPr>
          <w:lang w:eastAsia="zh-CN"/>
        </w:rPr>
        <w:t xml:space="preserve"> AE</w:t>
      </w:r>
      <w:r>
        <w:rPr>
          <w:vertAlign w:val="superscript"/>
          <w:lang w:eastAsia="zh-CN"/>
        </w:rPr>
        <w:t>[9]</w:t>
      </w:r>
      <w:r>
        <w:rPr>
          <w:rFonts w:hint="eastAsia"/>
          <w:lang w:eastAsia="zh-CN"/>
        </w:rPr>
        <w:t>，攀岩世锦赛为3.1/1000</w:t>
      </w:r>
      <w:r>
        <w:rPr>
          <w:lang w:eastAsia="zh-CN"/>
        </w:rPr>
        <w:t xml:space="preserve"> h</w:t>
      </w:r>
      <w:r>
        <w:rPr>
          <w:vertAlign w:val="superscript"/>
          <w:lang w:eastAsia="zh-CN"/>
        </w:rPr>
        <w:t>[7]</w:t>
      </w:r>
      <w:r>
        <w:rPr>
          <w:rFonts w:hint="eastAsia"/>
          <w:lang w:eastAsia="zh-CN"/>
        </w:rPr>
        <w:t>，棒球职业为0.7–3.6/1000</w:t>
      </w:r>
      <w:r>
        <w:rPr>
          <w:lang w:eastAsia="zh-CN"/>
        </w:rPr>
        <w:t xml:space="preserve"> AE</w:t>
      </w:r>
      <w:r>
        <w:rPr>
          <w:vertAlign w:val="superscript"/>
          <w:lang w:eastAsia="zh-CN"/>
        </w:rPr>
        <w:t>[11]</w:t>
      </w:r>
      <w:r>
        <w:rPr>
          <w:rFonts w:hint="eastAsia"/>
          <w:lang w:eastAsia="zh-CN"/>
        </w:rPr>
        <w:t>，电子竞技主要为肌肉骨骼过劳性损伤而无急性外伤记录</w:t>
      </w:r>
      <w:r>
        <w:rPr>
          <w:vertAlign w:val="superscript"/>
          <w:lang w:eastAsia="zh-CN"/>
        </w:rPr>
        <w:t>[12]</w:t>
      </w:r>
      <w:r>
        <w:rPr>
          <w:lang w:eastAsia="zh-CN"/>
        </w:rPr>
        <w:t xml:space="preserve">。 </w:t>
      </w:r>
      <w:r>
        <w:rPr>
          <w:rFonts w:hint="eastAsia"/>
          <w:lang w:eastAsia="zh-CN"/>
        </w:rPr>
        <w:t>各项目的安全性评分基于受伤率的反向映射，即受伤率高的项目得分较低，受伤率低的项目得分较高。</w:t>
      </w:r>
      <w:r>
        <w:rPr>
          <w:lang w:eastAsia="zh-CN"/>
        </w:rPr>
        <w:t xml:space="preserve"> </w:t>
      </w:r>
      <w:r>
        <w:rPr>
          <w:rFonts w:hint="eastAsia"/>
          <w:lang w:eastAsia="zh-CN"/>
        </w:rPr>
        <w:t>包容性维度中涉及残奥会的部分参考了国际残奥委会公布的残奥项目列表</w:t>
      </w:r>
      <w:r>
        <w:rPr>
          <w:vertAlign w:val="superscript"/>
          <w:lang w:eastAsia="zh-CN"/>
        </w:rPr>
        <w:t>[14]</w:t>
      </w:r>
      <w:r>
        <w:rPr>
          <w:rFonts w:hint="eastAsia"/>
          <w:lang w:eastAsia="zh-CN"/>
        </w:rPr>
        <w:t>，</w:t>
      </w:r>
      <w:r>
        <w:rPr>
          <w:lang w:eastAsia="zh-CN"/>
        </w:rPr>
        <w:t xml:space="preserve"> </w:t>
      </w:r>
      <w:r>
        <w:rPr>
          <w:rFonts w:hint="eastAsia"/>
          <w:lang w:eastAsia="zh-CN"/>
        </w:rPr>
        <w:t>该列表包含23个夏季残奥项目，</w:t>
      </w:r>
      <w:r>
        <w:rPr>
          <w:lang w:eastAsia="zh-CN"/>
        </w:rPr>
        <w:t xml:space="preserve"> </w:t>
      </w:r>
      <w:r>
        <w:rPr>
          <w:rFonts w:hint="eastAsia"/>
          <w:lang w:eastAsia="zh-CN"/>
        </w:rPr>
        <w:t>奥运项目若有对应的残奥项目则获得更高的包容性评分。</w:t>
      </w:r>
    </w:p>
    <w:bookmarkEnd w:id="96"/>
    <w:p w14:paraId="3FAF7785">
      <w:pPr>
        <w:pStyle w:val="5"/>
        <w:rPr>
          <w:rFonts w:hint="eastAsia"/>
          <w:lang w:eastAsia="zh-CN"/>
        </w:rPr>
      </w:pPr>
      <w:bookmarkStart w:id="97" w:name="数据收集说明"/>
      <w:r>
        <w:rPr>
          <w:rStyle w:val="62"/>
          <w:rFonts w:ascii="黑体" w:hAnsi="黑体" w:eastAsia="黑体"/>
          <w:lang w:eastAsia="zh-CN"/>
        </w:rPr>
        <w:t>4.1.3</w:t>
      </w:r>
      <w:r>
        <w:rPr>
          <w:lang w:eastAsia="zh-CN"/>
        </w:rPr>
        <w:tab/>
      </w:r>
      <w:r>
        <w:rPr>
          <w:lang w:eastAsia="zh-CN"/>
        </w:rPr>
        <w:t>数据收集说明</w:t>
      </w:r>
    </w:p>
    <w:p w14:paraId="4989058E">
      <w:pPr>
        <w:pStyle w:val="35"/>
        <w:ind w:firstLine="480"/>
        <w:rPr>
          <w:lang w:eastAsia="zh-CN"/>
        </w:rPr>
      </w:pPr>
      <w:r>
        <w:rPr>
          <w:lang w:eastAsia="zh-CN"/>
        </w:rPr>
        <w:t xml:space="preserve">本研究选取了12个代表性奥运项目[15]作为实验对象， 按照它们在奥运历史中的角色和当前地位分为四类。 </w:t>
      </w:r>
      <w:r>
        <w:t xml:space="preserve">这一分类框架与IOC对奥运会项目的官方管理体系[2]相对应： 核心项目对应IOC永久列项（Olympic Charter Rule 45规定的自动列入项目）， 新增项目对应通过Olympic Agenda 2020[2]"主办城市提议"（Host City Proposal）机制进入当届奥运会的项目， 候选项目对应已获IOC政策认可（Agenda 2020+5 Recommendation 9将虚拟体育纳入官方视野[2]）或已获IOC全会批准进入未来奥运会（板球在2023年IOC Mumbai Session获批进入LA28）的项目， 已移除项目对应因Host City Proposal机制到期或被IOC执委会决定不再列入后续奥运会的项目。 </w:t>
      </w:r>
      <w:r>
        <w:rPr>
          <w:lang w:eastAsia="zh-CN"/>
        </w:rPr>
        <w:t>核心项目包括足球、篮球、田径、游泳，这四项运动从早期奥运会开始一直是最具影响力的传统项目。 新增项目包括攀岩、 滑板、 冲浪、 霹雳舞， 这四个项目分别在2020年或2024年首次进入奥运会， 体现了国际奥委会项目改革的最新方向。 候选项目包括电子竞技和板球，电子竞技目前尚未进入奥运会但全球观众已超过5亿，板球已确认将进入2028年洛杉矶奥运会。 已移除项目包括空手道和棒球垒球，它们曾在奥运赛场上出现但随后被移除，可用于验证模型能否正确识别可能被淘汰的项目。</w:t>
      </w:r>
    </w:p>
    <w:bookmarkEnd w:id="97"/>
    <w:p w14:paraId="28A6E311">
      <w:pPr>
        <w:pStyle w:val="5"/>
        <w:rPr>
          <w:rFonts w:hint="eastAsia"/>
          <w:lang w:eastAsia="zh-CN"/>
        </w:rPr>
      </w:pPr>
      <w:bookmarkStart w:id="98" w:name="数据处理"/>
      <w:r>
        <w:rPr>
          <w:rStyle w:val="62"/>
          <w:rFonts w:ascii="黑体" w:hAnsi="黑体" w:eastAsia="黑体"/>
          <w:lang w:eastAsia="zh-CN"/>
        </w:rPr>
        <w:t>4.1.4</w:t>
      </w:r>
      <w:r>
        <w:rPr>
          <w:lang w:eastAsia="zh-CN"/>
        </w:rPr>
        <w:tab/>
      </w:r>
      <w:r>
        <w:rPr>
          <w:lang w:eastAsia="zh-CN"/>
        </w:rPr>
        <w:t>数据处理</w:t>
      </w:r>
    </w:p>
    <w:p w14:paraId="2561CBC9">
      <w:pPr>
        <w:pStyle w:val="35"/>
        <w:ind w:firstLine="480"/>
        <w:rPr>
          <w:lang w:eastAsia="zh-CN"/>
        </w:rPr>
      </w:pPr>
      <w:r>
        <w:rPr>
          <w:lang w:eastAsia="zh-CN"/>
        </w:rPr>
        <w:t>数据进入模型前还需进行若干处理步骤。 对于设项数为零的项目，其历史指标无法直接从HiMCM数据计算，需要采用外部调研数据进行补充评估。 不同指标之间存在量纲差异，因此所有评分数据均采用最小-最大归一化方法映射到</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区间。以包容性维度为例，12个项目的原始评分范围为</w:t>
      </w:r>
      <m:oMath>
        <m:d>
          <m:dPr>
            <m:begChr m:val="["/>
            <m:endChr m:val="]"/>
            <m:ctrlPr>
              <w:rPr>
                <w:rFonts w:ascii="Cambria Math" w:hAnsi="Cambria Math"/>
              </w:rPr>
            </m:ctrlPr>
          </m:dPr>
          <m:e>
            <m:r>
              <m:rPr>
                <m:sty m:val="p"/>
              </m:rPr>
              <w:rPr>
                <w:rFonts w:ascii="Cambria Math" w:hAnsi="Cambria Math"/>
                <w:lang w:eastAsia="zh-CN"/>
              </w:rPr>
              <m:t>min=0.110, max=1.000</m:t>
            </m:r>
            <m:ctrlPr>
              <w:rPr>
                <w:rFonts w:ascii="Cambria Math" w:hAnsi="Cambria Math"/>
              </w:rPr>
            </m:ctrlPr>
          </m:e>
        </m:d>
      </m:oMath>
      <w:r>
        <w:rPr>
          <w:lang w:eastAsia="zh-CN"/>
        </w:rPr>
        <w:t>。以该维度为例，霹雳舞原始评分</w:t>
      </w:r>
      <m:oMath>
        <m:r>
          <m:rPr>
            <m:sty m:val="p"/>
          </m:rPr>
          <w:rPr>
            <w:rFonts w:ascii="Cambria Math" w:hAnsi="Cambria Math"/>
            <w:lang w:eastAsia="zh-CN"/>
          </w:rPr>
          <m:t>0.110</m:t>
        </m:r>
      </m:oMath>
      <w:r>
        <w:rPr>
          <w:lang w:eastAsia="zh-CN"/>
        </w:rPr>
        <w:t>经</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0.110−0.110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m:t>
        </m:r>
      </m:oMath>
      <w:r>
        <w:rPr>
          <w:lang w:eastAsia="zh-CN"/>
        </w:rPr>
        <w:t>归一化为0（下限），田径原始评分</w:t>
      </w:r>
      <m:oMath>
        <m:r>
          <m:rPr>
            <m:sty m:val="p"/>
          </m:rPr>
          <w:rPr>
            <w:rFonts w:ascii="Cambria Math" w:hAnsi="Cambria Math"/>
            <w:lang w:eastAsia="zh-CN"/>
          </w:rPr>
          <m:t>1.000</m:t>
        </m:r>
      </m:oMath>
      <w:r>
        <w:rPr>
          <w:lang w:eastAsia="zh-CN"/>
        </w:rPr>
        <w:t>归一化为1（上限），电子竞技原始评分</w:t>
      </w:r>
      <m:oMath>
        <m:r>
          <m:rPr>
            <m:sty m:val="p"/>
          </m:rPr>
          <w:rPr>
            <w:rFonts w:ascii="Cambria Math" w:hAnsi="Cambria Math"/>
            <w:lang w:eastAsia="zh-CN"/>
          </w:rPr>
          <m:t>0.550</m:t>
        </m:r>
      </m:oMath>
      <w:r>
        <w:rPr>
          <w:lang w:eastAsia="zh-CN"/>
        </w:rPr>
        <w:t>经</w:t>
      </w:r>
      <m:oMath>
        <m:d>
          <m:dPr>
            <m:ctrlPr>
              <w:rPr>
                <w:rFonts w:ascii="Cambria Math" w:hAnsi="Cambria Math"/>
              </w:rPr>
            </m:ctrlPr>
          </m:dPr>
          <m:e>
            <m:r>
              <m:rPr>
                <m:sty m:val="p"/>
              </m:rPr>
              <w:rPr>
                <w:rFonts w:ascii="Cambria Math" w:hAnsi="Cambria Math"/>
                <w:lang w:eastAsia="zh-CN"/>
              </w:rPr>
              <m:t>0.550−0.110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=0.494</m:t>
        </m:r>
      </m:oMath>
      <w:r>
        <w:rPr>
          <w:lang w:eastAsia="zh-CN"/>
        </w:rPr>
        <w:t>映射到区间中间位置。完整的标准化矩阵见第4.2.2节。 最后将12个项目的六维评分组合为一个12行6列的决策矩阵，作为后续混合权重模型的标准输入。</w:t>
      </w:r>
    </w:p>
    <w:bookmarkEnd w:id="92"/>
    <w:bookmarkEnd w:id="98"/>
    <w:p w14:paraId="33D391DF">
      <w:pPr>
        <w:pStyle w:val="4"/>
        <w:rPr>
          <w:rFonts w:hint="eastAsia"/>
          <w:lang w:eastAsia="zh-CN"/>
        </w:rPr>
      </w:pPr>
      <w:bookmarkStart w:id="99" w:name="_Toc229523248"/>
      <w:bookmarkStart w:id="100" w:name="模型求解"/>
      <w:r>
        <w:rPr>
          <w:rStyle w:val="62"/>
          <w:rFonts w:ascii="黑体" w:hAnsi="黑体" w:eastAsia="黑体"/>
          <w:sz w:val="28"/>
          <w:szCs w:val="28"/>
          <w:lang w:eastAsia="zh-CN"/>
        </w:rPr>
        <w:t xml:space="preserve">4.2  </w:t>
      </w:r>
      <w:r>
        <w:rPr>
          <w:lang w:eastAsia="zh-CN"/>
        </w:rPr>
        <w:t>模型求解</w:t>
      </w:r>
      <w:bookmarkEnd w:id="99"/>
    </w:p>
    <w:p w14:paraId="568FE629">
      <w:pPr>
        <w:pStyle w:val="35"/>
        <w:ind w:firstLine="480"/>
        <w:rPr>
          <w:lang w:eastAsia="zh-CN"/>
        </w:rPr>
      </w:pPr>
      <w:r>
        <w:rPr>
          <w:lang w:eastAsia="zh-CN"/>
        </w:rPr>
        <w:t>在前三节构建的模型框架基础上，本节依次计算AHP主观权重、EWM客观权重和混合权重。</w:t>
      </w:r>
    </w:p>
    <w:p w14:paraId="697D9E0A">
      <w:pPr>
        <w:pStyle w:val="5"/>
        <w:rPr>
          <w:rFonts w:hint="eastAsia"/>
          <w:lang w:eastAsia="zh-CN"/>
        </w:rPr>
      </w:pPr>
      <w:r>
        <w:rPr>
          <w:rStyle w:val="62"/>
          <w:rFonts w:ascii="黑体" w:hAnsi="黑体" w:eastAsia="黑体"/>
          <w:lang w:eastAsia="zh-CN"/>
        </w:rPr>
        <w:t>4.2.1</w:t>
      </w:r>
      <w:r>
        <w:rPr>
          <w:lang w:eastAsia="zh-CN"/>
        </w:rPr>
        <w:tab/>
      </w:r>
      <w:r>
        <w:rPr>
          <w:lang w:eastAsia="zh-CN"/>
        </w:rPr>
        <w:t>AHP主观权重计算</w:t>
      </w:r>
    </w:p>
    <w:p w14:paraId="7AFD9E41">
      <w:pPr>
        <w:pStyle w:val="35"/>
        <w:ind w:firstLine="480"/>
        <w:rPr>
          <w:lang w:eastAsia="zh-CN"/>
        </w:rPr>
      </w:pPr>
      <w:r>
        <w:rPr>
          <w:lang w:eastAsia="zh-CN"/>
        </w:rPr>
        <w:t>AHP的第一步是由专家构建两两比较判断矩阵。 本研究邀请了体育管理学者(A)、奥运研究专家(B)、体育经济学研究者(C)、体育行政管理人员(D)和国际体育研究学者(E)五位不同背景的领域专家，各自按1–9标度法对六个维度进行两两比较打分。 五位专家独立构建的判断矩阵如式</w:t>
      </w:r>
      <w:r>
        <w:fldChar w:fldCharType="begin"/>
      </w:r>
      <w:r>
        <w:instrText xml:space="preserve"> HYPERLINK \l "eq:jm_A" \h </w:instrText>
      </w:r>
      <w:r>
        <w:fldChar w:fldCharType="separate"/>
      </w:r>
      <w:r>
        <w:rPr>
          <w:rStyle w:val="32"/>
          <w:rFonts w:eastAsia="宋体"/>
          <w:color w:val="auto"/>
          <w:lang w:eastAsia="zh-CN"/>
        </w:rPr>
        <w:t>(4.1)</w:t>
      </w:r>
      <w:r>
        <w:rPr>
          <w:rStyle w:val="32"/>
          <w:rFonts w:eastAsia="宋体"/>
          <w:color w:val="auto"/>
          <w:lang w:eastAsia="zh-CN"/>
        </w:rPr>
        <w:fldChar w:fldCharType="end"/>
      </w:r>
      <w:r>
        <w:rPr>
          <w:lang w:eastAsia="zh-CN"/>
        </w:rPr>
        <w:t>至</w:t>
      </w:r>
      <w:r>
        <w:fldChar w:fldCharType="begin"/>
      </w:r>
      <w:r>
        <w:instrText xml:space="preserve"> HYPERLINK \l "eq:jm_E" \h </w:instrText>
      </w:r>
      <w:r>
        <w:fldChar w:fldCharType="separate"/>
      </w:r>
      <w:r>
        <w:rPr>
          <w:rStyle w:val="32"/>
          <w:rFonts w:eastAsia="宋体"/>
          <w:color w:val="auto"/>
          <w:lang w:eastAsia="zh-CN"/>
        </w:rPr>
        <w:t>(4.5)</w:t>
      </w:r>
      <w:r>
        <w:rPr>
          <w:rStyle w:val="32"/>
          <w:rFonts w:eastAsia="宋体"/>
          <w:color w:val="auto"/>
          <w:lang w:eastAsia="zh-CN"/>
        </w:rPr>
        <w:fldChar w:fldCharType="end"/>
      </w:r>
      <w:r>
        <w:rPr>
          <w:lang w:eastAsia="zh-CN"/>
        </w:rPr>
        <w:t>所示 （矩阵元素</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表示指标</w:t>
      </w:r>
      <m:oMath>
        <m:r>
          <m:rPr/>
          <w:rPr>
            <w:rFonts w:ascii="Cambria Math" w:hAnsi="Cambria Math"/>
            <w:lang w:eastAsia="zh-CN"/>
          </w:rPr>
          <m:t>i</m:t>
        </m:r>
      </m:oMath>
      <w:r>
        <w:rPr>
          <w:lang w:eastAsia="zh-CN"/>
        </w:rPr>
        <w:t>相对于指标</w:t>
      </w:r>
      <m:oMath>
        <m:r>
          <m:rPr/>
          <w:rPr>
            <w:rFonts w:ascii="Cambria Math" w:hAnsi="Cambria Math"/>
            <w:lang w:eastAsia="zh-CN"/>
          </w:rPr>
          <m:t>j</m:t>
        </m:r>
      </m:oMath>
      <w:r>
        <w:rPr>
          <w:lang w:eastAsia="zh-CN"/>
        </w:rPr>
        <w:t>的重要性程度，满足互反性</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各矩阵均通过一致性检验（</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&lt;0.1</m:t>
        </m:r>
      </m:oMath>
      <w:r>
        <w:rPr>
          <w:lang w:eastAsia="zh-CN"/>
        </w:rPr>
        <w:t>）， 反映了每位专家对六个维度相对重要性的判断结构。</w:t>
      </w:r>
    </w:p>
    <w:p w14:paraId="6EAD308D">
      <w:pPr>
        <w:pStyle w:val="95"/>
      </w:pPr>
      <w:r>
        <w:rPr>
          <w:rFonts w:eastAsia="宋体" w:cstheme="minorBidi"/>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2.041</m:t>
                  </m:r>
                  <m:ctrlPr>
                    <w:rPr>
                      <w:rFonts w:ascii="Cambria Math" w:hAnsi="Cambria Math"/>
                    </w:rPr>
                  </m:ctrlPr>
                </m:e>
                <m:e>
                  <m:r>
                    <m:rPr>
                      <m:sty m:val="p"/>
                    </m:rPr>
                    <w:rPr>
                      <w:rFonts w:ascii="Cambria Math" w:hAnsi="Cambria Math"/>
                    </w:rPr>
                    <m:t>4.352</m:t>
                  </m:r>
                  <m:ctrlPr>
                    <w:rPr>
                      <w:rFonts w:ascii="Cambria Math" w:hAnsi="Cambria Math"/>
                    </w:rPr>
                  </m:ctrlPr>
                </m:e>
                <m:e>
                  <m:r>
                    <m:rPr>
                      <m:sty m:val="p"/>
                    </m:rPr>
                    <w:rPr>
                      <w:rFonts w:ascii="Cambria Math" w:hAnsi="Cambria Math"/>
                    </w:rPr>
                    <m:t>5.280</m:t>
                  </m:r>
                  <m:ctrlPr>
                    <w:rPr>
                      <w:rFonts w:ascii="Cambria Math" w:hAnsi="Cambria Math"/>
                    </w:rPr>
                  </m:ctrlPr>
                </m:e>
                <m:e>
                  <m:r>
                    <m:rPr>
                      <m:sty m:val="p"/>
                    </m:rPr>
                    <w:rPr>
                      <w:rFonts w:ascii="Cambria Math" w:hAnsi="Cambria Math"/>
                    </w:rPr>
                    <m:t>9.209</m:t>
                  </m:r>
                  <m:ctrlPr>
                    <w:rPr>
                      <w:rFonts w:ascii="Cambria Math" w:hAnsi="Cambria Math"/>
                    </w:rPr>
                  </m:ctrlPr>
                </m:e>
                <m:e>
                  <m:r>
                    <m:rPr>
                      <m:sty m:val="p"/>
                    </m:rPr>
                    <w:rPr>
                      <w:rFonts w:ascii="Cambria Math" w:hAnsi="Cambria Math"/>
                    </w:rPr>
                    <m:t>1.970</m:t>
                  </m:r>
                  <m:ctrlPr>
                    <w:rPr>
                      <w:rFonts w:ascii="Cambria Math" w:hAnsi="Cambria Math"/>
                    </w:rPr>
                  </m:ctrlPr>
                </m:e>
              </m:mr>
              <m:mr>
                <m:e>
                  <m:r>
                    <m:rPr>
                      <m:sty m:val="p"/>
                    </m:rPr>
                    <w:rPr>
                      <w:rFonts w:ascii="Cambria Math" w:hAnsi="Cambria Math"/>
                    </w:rPr>
                    <m:t>0.490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2.132</m:t>
                  </m:r>
                  <m:ctrlPr>
                    <w:rPr>
                      <w:rFonts w:ascii="Cambria Math" w:hAnsi="Cambria Math"/>
                    </w:rPr>
                  </m:ctrlPr>
                </m:e>
                <m:e>
                  <m:r>
                    <m:rPr>
                      <m:sty m:val="p"/>
                    </m:rPr>
                    <w:rPr>
                      <w:rFonts w:ascii="Cambria Math" w:hAnsi="Cambria Math"/>
                    </w:rPr>
                    <m:t>2.587</m:t>
                  </m:r>
                  <m:ctrlPr>
                    <w:rPr>
                      <w:rFonts w:ascii="Cambria Math" w:hAnsi="Cambria Math"/>
                    </w:rPr>
                  </m:ctrlPr>
                </m:e>
                <m:e>
                  <m:r>
                    <m:rPr>
                      <m:sty m:val="p"/>
                    </m:rPr>
                    <w:rPr>
                      <w:rFonts w:ascii="Cambria Math" w:hAnsi="Cambria Math"/>
                    </w:rPr>
                    <m:t>4.512</m:t>
                  </m:r>
                  <m:ctrlPr>
                    <w:rPr>
                      <w:rFonts w:ascii="Cambria Math" w:hAnsi="Cambria Math"/>
                    </w:rPr>
                  </m:ctrlPr>
                </m:e>
                <m:e>
                  <m:r>
                    <m:rPr>
                      <m:sty m:val="p"/>
                    </m:rPr>
                    <w:rPr>
                      <w:rFonts w:ascii="Cambria Math" w:hAnsi="Cambria Math"/>
                    </w:rPr>
                    <m:t>0.965</m:t>
                  </m:r>
                  <m:ctrlPr>
                    <w:rPr>
                      <w:rFonts w:ascii="Cambria Math" w:hAnsi="Cambria Math"/>
                    </w:rPr>
                  </m:ctrlPr>
                </m:e>
              </m:mr>
              <m:mr>
                <m:e>
                  <m:r>
                    <m:rPr>
                      <m:sty m:val="p"/>
                    </m:rPr>
                    <w:rPr>
                      <w:rFonts w:ascii="Cambria Math" w:hAnsi="Cambria Math"/>
                    </w:rPr>
                    <m:t>0.230</m:t>
                  </m:r>
                  <m:ctrlPr>
                    <w:rPr>
                      <w:rFonts w:ascii="Cambria Math" w:hAnsi="Cambria Math"/>
                    </w:rPr>
                  </m:ctrlPr>
                </m:e>
                <m:e>
                  <m:r>
                    <m:rPr>
                      <m:sty m:val="p"/>
                    </m:rPr>
                    <w:rPr>
                      <w:rFonts w:ascii="Cambria Math" w:hAnsi="Cambria Math"/>
                    </w:rPr>
                    <m:t>0.469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1.213</m:t>
                  </m:r>
                  <m:ctrlPr>
                    <w:rPr>
                      <w:rFonts w:ascii="Cambria Math" w:hAnsi="Cambria Math"/>
                    </w:rPr>
                  </m:ctrlPr>
                </m:e>
                <m:e>
                  <m:r>
                    <m:rPr>
                      <m:sty m:val="p"/>
                    </m:rPr>
                    <w:rPr>
                      <w:rFonts w:ascii="Cambria Math" w:hAnsi="Cambria Math"/>
                    </w:rPr>
                    <m:t>2.116</m:t>
                  </m:r>
                  <m:ctrlPr>
                    <w:rPr>
                      <w:rFonts w:ascii="Cambria Math" w:hAnsi="Cambria Math"/>
                    </w:rPr>
                  </m:ctrlPr>
                </m:e>
                <m:e>
                  <m:r>
                    <m:rPr>
                      <m:sty m:val="p"/>
                    </m:rPr>
                    <w:rPr>
                      <w:rFonts w:ascii="Cambria Math" w:hAnsi="Cambria Math"/>
                    </w:rPr>
                    <m:t>0.453</m:t>
                  </m:r>
                  <m:ctrlPr>
                    <w:rPr>
                      <w:rFonts w:ascii="Cambria Math" w:hAnsi="Cambria Math"/>
                    </w:rPr>
                  </m:ctrlPr>
                </m:e>
              </m:mr>
              <m:mr>
                <m:e>
                  <m:r>
                    <m:rPr>
                      <m:sty m:val="p"/>
                    </m:rPr>
                    <w:rPr>
                      <w:rFonts w:ascii="Cambria Math" w:hAnsi="Cambria Math"/>
                    </w:rPr>
                    <m:t>0.189</m:t>
                  </m:r>
                  <m:ctrlPr>
                    <w:rPr>
                      <w:rFonts w:ascii="Cambria Math" w:hAnsi="Cambria Math"/>
                    </w:rPr>
                  </m:ctrlPr>
                </m:e>
                <m:e>
                  <m:r>
                    <m:rPr>
                      <m:sty m:val="p"/>
                    </m:rPr>
                    <w:rPr>
                      <w:rFonts w:ascii="Cambria Math" w:hAnsi="Cambria Math"/>
                    </w:rPr>
                    <m:t>0.387</m:t>
                  </m:r>
                  <m:ctrlPr>
                    <w:rPr>
                      <w:rFonts w:ascii="Cambria Math" w:hAnsi="Cambria Math"/>
                    </w:rPr>
                  </m:ctrlPr>
                </m:e>
                <m:e>
                  <m:r>
                    <m:rPr>
                      <m:sty m:val="p"/>
                    </m:rPr>
                    <w:rPr>
                      <w:rFonts w:ascii="Cambria Math" w:hAnsi="Cambria Math"/>
                    </w:rPr>
                    <m:t>0.824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1.744</m:t>
                  </m:r>
                  <m:ctrlPr>
                    <w:rPr>
                      <w:rFonts w:ascii="Cambria Math" w:hAnsi="Cambria Math"/>
                    </w:rPr>
                  </m:ctrlPr>
                </m:e>
                <m:e>
                  <m:r>
                    <m:rPr>
                      <m:sty m:val="p"/>
                    </m:rPr>
                    <w:rPr>
                      <w:rFonts w:ascii="Cambria Math" w:hAnsi="Cambria Math"/>
                    </w:rPr>
                    <m:t>0.373</m:t>
                  </m:r>
                  <m:ctrlPr>
                    <w:rPr>
                      <w:rFonts w:ascii="Cambria Math" w:hAnsi="Cambria Math"/>
                    </w:rPr>
                  </m:ctrlPr>
                </m:e>
              </m:mr>
              <m:mr>
                <m:e>
                  <m:r>
                    <m:rPr>
                      <m:sty m:val="p"/>
                    </m:rPr>
                    <w:rPr>
                      <w:rFonts w:ascii="Cambria Math" w:hAnsi="Cambria Math"/>
                    </w:rPr>
                    <m:t>0.109</m:t>
                  </m:r>
                  <m:ctrlPr>
                    <w:rPr>
                      <w:rFonts w:ascii="Cambria Math" w:hAnsi="Cambria Math"/>
                    </w:rPr>
                  </m:ctrlPr>
                </m:e>
                <m:e>
                  <m:r>
                    <m:rPr>
                      <m:sty m:val="p"/>
                    </m:rPr>
                    <w:rPr>
                      <w:rFonts w:ascii="Cambria Math" w:hAnsi="Cambria Math"/>
                    </w:rPr>
                    <m:t>0.222</m:t>
                  </m:r>
                  <m:ctrlPr>
                    <w:rPr>
                      <w:rFonts w:ascii="Cambria Math" w:hAnsi="Cambria Math"/>
                    </w:rPr>
                  </m:ctrlPr>
                </m:e>
                <m:e>
                  <m:r>
                    <m:rPr>
                      <m:sty m:val="p"/>
                    </m:rPr>
                    <w:rPr>
                      <w:rFonts w:ascii="Cambria Math" w:hAnsi="Cambria Math"/>
                    </w:rPr>
                    <m:t>0.473</m:t>
                  </m:r>
                  <m:ctrlPr>
                    <w:rPr>
                      <w:rFonts w:ascii="Cambria Math" w:hAnsi="Cambria Math"/>
                    </w:rPr>
                  </m:ctrlPr>
                </m:e>
                <m:e>
                  <m:r>
                    <m:rPr>
                      <m:sty m:val="p"/>
                    </m:rPr>
                    <w:rPr>
                      <w:rFonts w:ascii="Cambria Math" w:hAnsi="Cambria Math"/>
                    </w:rPr>
                    <m:t>0.573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0.214</m:t>
                  </m:r>
                  <m:ctrlPr>
                    <w:rPr>
                      <w:rFonts w:ascii="Cambria Math" w:hAnsi="Cambria Math"/>
                    </w:rPr>
                  </m:ctrlPr>
                </m:e>
              </m:mr>
              <m:mr>
                <m:e>
                  <m:r>
                    <m:rPr>
                      <m:sty m:val="p"/>
                    </m:rPr>
                    <w:rPr>
                      <w:rFonts w:ascii="Cambria Math" w:hAnsi="Cambria Math"/>
                    </w:rPr>
                    <m:t>0.508</m:t>
                  </m:r>
                  <m:ctrlPr>
                    <w:rPr>
                      <w:rFonts w:ascii="Cambria Math" w:hAnsi="Cambria Math"/>
                    </w:rPr>
                  </m:ctrlPr>
                </m:e>
                <m:e>
                  <m:r>
                    <m:rPr>
                      <m:sty m:val="p"/>
                    </m:rPr>
                    <w:rPr>
                      <w:rFonts w:ascii="Cambria Math" w:hAnsi="Cambria Math"/>
                    </w:rPr>
                    <m:t>1.036</m:t>
                  </m:r>
                  <m:ctrlPr>
                    <w:rPr>
                      <w:rFonts w:ascii="Cambria Math" w:hAnsi="Cambria Math"/>
                    </w:rPr>
                  </m:ctrlPr>
                </m:e>
                <m:e>
                  <m:r>
                    <m:rPr>
                      <m:sty m:val="p"/>
                    </m:rPr>
                    <w:rPr>
                      <w:rFonts w:ascii="Cambria Math" w:hAnsi="Cambria Math"/>
                    </w:rPr>
                    <m:t>2.209</m:t>
                  </m:r>
                  <m:ctrlPr>
                    <w:rPr>
                      <w:rFonts w:ascii="Cambria Math" w:hAnsi="Cambria Math"/>
                    </w:rPr>
                  </m:ctrlPr>
                </m:e>
                <m:e>
                  <m:r>
                    <m:rPr>
                      <m:sty m:val="p"/>
                    </m:rPr>
                    <w:rPr>
                      <w:rFonts w:ascii="Cambria Math" w:hAnsi="Cambria Math"/>
                    </w:rPr>
                    <m:t>2.680</m:t>
                  </m:r>
                  <m:ctrlPr>
                    <w:rPr>
                      <w:rFonts w:ascii="Cambria Math" w:hAnsi="Cambria Math"/>
                    </w:rPr>
                  </m:ctrlPr>
                </m:e>
                <m:e>
                  <m:r>
                    <m:rPr>
                      <m:sty m:val="p"/>
                    </m:rPr>
                    <w:rPr>
                      <w:rFonts w:ascii="Cambria Math" w:hAnsi="Cambria Math"/>
                    </w:rPr>
                    <m:t>4.674</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1" w:name="eq_jm_A"/>
      <w:r>
        <w:rPr>
          <w:sz w:val="20"/>
        </w:rPr>
        <w:tab/>
      </w:r>
      <w:r>
        <w:rPr>
          <w:sz w:val="20"/>
        </w:rPr>
        <w:tab/>
      </w:r>
      <w:r>
        <w:rPr>
          <w:sz w:val="20"/>
        </w:rPr>
        <w:t>(4.1)</w:t>
      </w:r>
      <w:bookmarkEnd w:id="101"/>
    </w:p>
    <w:p w14:paraId="052C84B1">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B</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1.308</m:t>
                  </m:r>
                  <m:ctrlPr>
                    <w:rPr>
                      <w:rFonts w:ascii="Cambria Math" w:hAnsi="Cambria Math"/>
                    </w:rPr>
                  </m:ctrlPr>
                </m:e>
                <m:e>
                  <m:r>
                    <m:rPr>
                      <m:sty m:val="p"/>
                    </m:rPr>
                    <w:rPr>
                      <w:rFonts w:ascii="Cambria Math" w:hAnsi="Cambria Math"/>
                    </w:rPr>
                    <m:t>3.039</m:t>
                  </m:r>
                  <m:ctrlPr>
                    <w:rPr>
                      <w:rFonts w:ascii="Cambria Math" w:hAnsi="Cambria Math"/>
                    </w:rPr>
                  </m:ctrlPr>
                </m:e>
                <m:e>
                  <m:r>
                    <m:rPr>
                      <m:sty m:val="p"/>
                    </m:rPr>
                    <w:rPr>
                      <w:rFonts w:ascii="Cambria Math" w:hAnsi="Cambria Math"/>
                    </w:rPr>
                    <m:t>3.407</m:t>
                  </m:r>
                  <m:ctrlPr>
                    <w:rPr>
                      <w:rFonts w:ascii="Cambria Math" w:hAnsi="Cambria Math"/>
                    </w:rPr>
                  </m:ctrlPr>
                </m:e>
                <m:e>
                  <m:r>
                    <m:rPr>
                      <m:sty m:val="p"/>
                    </m:rPr>
                    <w:rPr>
                      <w:rFonts w:ascii="Cambria Math" w:hAnsi="Cambria Math"/>
                    </w:rPr>
                    <m:t>4.026</m:t>
                  </m:r>
                  <m:ctrlPr>
                    <w:rPr>
                      <w:rFonts w:ascii="Cambria Math" w:hAnsi="Cambria Math"/>
                    </w:rPr>
                  </m:ctrlPr>
                </m:e>
                <m:e>
                  <m:r>
                    <m:rPr>
                      <m:sty m:val="p"/>
                    </m:rPr>
                    <w:rPr>
                      <w:rFonts w:ascii="Cambria Math" w:hAnsi="Cambria Math"/>
                    </w:rPr>
                    <m:t>1.694</m:t>
                  </m:r>
                  <m:ctrlPr>
                    <w:rPr>
                      <w:rFonts w:ascii="Cambria Math" w:hAnsi="Cambria Math"/>
                    </w:rPr>
                  </m:ctrlPr>
                </m:e>
              </m:mr>
              <m:mr>
                <m:e>
                  <m:r>
                    <m:rPr>
                      <m:sty m:val="p"/>
                    </m:rPr>
                    <w:rPr>
                      <w:rFonts w:ascii="Cambria Math" w:hAnsi="Cambria Math"/>
                    </w:rPr>
                    <m:t>0.765</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2.324</m:t>
                  </m:r>
                  <m:ctrlPr>
                    <w:rPr>
                      <w:rFonts w:ascii="Cambria Math" w:hAnsi="Cambria Math"/>
                    </w:rPr>
                  </m:ctrlPr>
                </m:e>
                <m:e>
                  <m:r>
                    <m:rPr>
                      <m:sty m:val="p"/>
                    </m:rPr>
                    <w:rPr>
                      <w:rFonts w:ascii="Cambria Math" w:hAnsi="Cambria Math"/>
                    </w:rPr>
                    <m:t>2.604</m:t>
                  </m:r>
                  <m:ctrlPr>
                    <w:rPr>
                      <w:rFonts w:ascii="Cambria Math" w:hAnsi="Cambria Math"/>
                    </w:rPr>
                  </m:ctrlPr>
                </m:e>
                <m:e>
                  <m:r>
                    <m:rPr>
                      <m:sty m:val="p"/>
                    </m:rPr>
                    <w:rPr>
                      <w:rFonts w:ascii="Cambria Math" w:hAnsi="Cambria Math"/>
                    </w:rPr>
                    <m:t>3.078</m:t>
                  </m:r>
                  <m:ctrlPr>
                    <w:rPr>
                      <w:rFonts w:ascii="Cambria Math" w:hAnsi="Cambria Math"/>
                    </w:rPr>
                  </m:ctrlPr>
                </m:e>
                <m:e>
                  <m:r>
                    <m:rPr>
                      <m:sty m:val="p"/>
                    </m:rPr>
                    <w:rPr>
                      <w:rFonts w:ascii="Cambria Math" w:hAnsi="Cambria Math"/>
                    </w:rPr>
                    <m:t>1.295</m:t>
                  </m:r>
                  <m:ctrlPr>
                    <w:rPr>
                      <w:rFonts w:ascii="Cambria Math" w:hAnsi="Cambria Math"/>
                    </w:rPr>
                  </m:ctrlPr>
                </m:e>
              </m:mr>
              <m:mr>
                <m:e>
                  <m:r>
                    <m:rPr>
                      <m:sty m:val="p"/>
                    </m:rPr>
                    <w:rPr>
                      <w:rFonts w:ascii="Cambria Math" w:hAnsi="Cambria Math"/>
                    </w:rPr>
                    <m:t>0.329</m:t>
                  </m:r>
                  <m:ctrlPr>
                    <w:rPr>
                      <w:rFonts w:ascii="Cambria Math" w:hAnsi="Cambria Math"/>
                    </w:rPr>
                  </m:ctrlPr>
                </m:e>
                <m:e>
                  <m:r>
                    <m:rPr>
                      <m:sty m:val="p"/>
                    </m:rPr>
                    <w:rPr>
                      <w:rFonts w:ascii="Cambria Math" w:hAnsi="Cambria Math"/>
                    </w:rPr>
                    <m:t>0.430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1.121</m:t>
                  </m:r>
                  <m:ctrlPr>
                    <w:rPr>
                      <w:rFonts w:ascii="Cambria Math" w:hAnsi="Cambria Math"/>
                    </w:rPr>
                  </m:ctrlPr>
                </m:e>
                <m:e>
                  <m:r>
                    <m:rPr>
                      <m:sty m:val="p"/>
                    </m:rPr>
                    <w:rPr>
                      <w:rFonts w:ascii="Cambria Math" w:hAnsi="Cambria Math"/>
                    </w:rPr>
                    <m:t>1.325</m:t>
                  </m:r>
                  <m:ctrlPr>
                    <w:rPr>
                      <w:rFonts w:ascii="Cambria Math" w:hAnsi="Cambria Math"/>
                    </w:rPr>
                  </m:ctrlPr>
                </m:e>
                <m:e>
                  <m:r>
                    <m:rPr>
                      <m:sty m:val="p"/>
                    </m:rPr>
                    <w:rPr>
                      <w:rFonts w:ascii="Cambria Math" w:hAnsi="Cambria Math"/>
                    </w:rPr>
                    <m:t>0.557</m:t>
                  </m:r>
                  <m:ctrlPr>
                    <w:rPr>
                      <w:rFonts w:ascii="Cambria Math" w:hAnsi="Cambria Math"/>
                    </w:rPr>
                  </m:ctrlPr>
                </m:e>
              </m:mr>
              <m:mr>
                <m:e>
                  <m:r>
                    <m:rPr>
                      <m:sty m:val="p"/>
                    </m:rPr>
                    <w:rPr>
                      <w:rFonts w:ascii="Cambria Math" w:hAnsi="Cambria Math"/>
                    </w:rPr>
                    <m:t>0.294</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0.892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1.182</m:t>
                  </m:r>
                  <m:ctrlPr>
                    <w:rPr>
                      <w:rFonts w:ascii="Cambria Math" w:hAnsi="Cambria Math"/>
                    </w:rPr>
                  </m:ctrlPr>
                </m:e>
                <m:e>
                  <m:r>
                    <m:rPr>
                      <m:sty m:val="p"/>
                    </m:rPr>
                    <w:rPr>
                      <w:rFonts w:ascii="Cambria Math" w:hAnsi="Cambria Math"/>
                    </w:rPr>
                    <m:t>0.497</m:t>
                  </m:r>
                  <m:ctrlPr>
                    <w:rPr>
                      <w:rFonts w:ascii="Cambria Math" w:hAnsi="Cambria Math"/>
                    </w:rPr>
                  </m:ctrlPr>
                </m:e>
              </m:mr>
              <m:mr>
                <m:e>
                  <m:r>
                    <m:rPr>
                      <m:sty m:val="p"/>
                    </m:rPr>
                    <w:rPr>
                      <w:rFonts w:ascii="Cambria Math" w:hAnsi="Cambria Math"/>
                    </w:rPr>
                    <m:t>0.248</m:t>
                  </m:r>
                  <m:ctrlPr>
                    <w:rPr>
                      <w:rFonts w:ascii="Cambria Math" w:hAnsi="Cambria Math"/>
                    </w:rPr>
                  </m:ctrlPr>
                </m:e>
                <m:e>
                  <m:r>
                    <m:rPr>
                      <m:sty m:val="p"/>
                    </m:rPr>
                    <w:rPr>
                      <w:rFonts w:ascii="Cambria Math" w:hAnsi="Cambria Math"/>
                    </w:rPr>
                    <m:t>0.325</m:t>
                  </m:r>
                  <m:ctrlPr>
                    <w:rPr>
                      <w:rFonts w:ascii="Cambria Math" w:hAnsi="Cambria Math"/>
                    </w:rPr>
                  </m:ctrlPr>
                </m:e>
                <m:e>
                  <m:r>
                    <m:rPr>
                      <m:sty m:val="p"/>
                    </m:rPr>
                    <w:rPr>
                      <w:rFonts w:ascii="Cambria Math" w:hAnsi="Cambria Math"/>
                    </w:rPr>
                    <m:t>0.755</m:t>
                  </m:r>
                  <m:ctrlPr>
                    <w:rPr>
                      <w:rFonts w:ascii="Cambria Math" w:hAnsi="Cambria Math"/>
                    </w:rPr>
                  </m:ctrlPr>
                </m:e>
                <m:e>
                  <m:r>
                    <m:rPr>
                      <m:sty m:val="p"/>
                    </m:rPr>
                    <w:rPr>
                      <w:rFonts w:ascii="Cambria Math" w:hAnsi="Cambria Math"/>
                    </w:rPr>
                    <m:t>0.846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0.421</m:t>
                  </m:r>
                  <m:ctrlPr>
                    <w:rPr>
                      <w:rFonts w:ascii="Cambria Math" w:hAnsi="Cambria Math"/>
                    </w:rPr>
                  </m:ctrlPr>
                </m:e>
              </m:mr>
              <m:mr>
                <m:e>
                  <m:r>
                    <m:rPr>
                      <m:sty m:val="p"/>
                    </m:rPr>
                    <w:rPr>
                      <w:rFonts w:ascii="Cambria Math" w:hAnsi="Cambria Math"/>
                    </w:rPr>
                    <m:t>0.590</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1.794</m:t>
                  </m:r>
                  <m:ctrlPr>
                    <w:rPr>
                      <w:rFonts w:ascii="Cambria Math" w:hAnsi="Cambria Math"/>
                    </w:rPr>
                  </m:ctrlPr>
                </m:e>
                <m:e>
                  <m:r>
                    <m:rPr>
                      <m:sty m:val="p"/>
                    </m:rPr>
                    <w:rPr>
                      <w:rFonts w:ascii="Cambria Math" w:hAnsi="Cambria Math"/>
                    </w:rPr>
                    <m:t>2.011</m:t>
                  </m:r>
                  <m:ctrlPr>
                    <w:rPr>
                      <w:rFonts w:ascii="Cambria Math" w:hAnsi="Cambria Math"/>
                    </w:rPr>
                  </m:ctrlPr>
                </m:e>
                <m:e>
                  <m:r>
                    <m:rPr>
                      <m:sty m:val="p"/>
                    </m:rPr>
                    <w:rPr>
                      <w:rFonts w:ascii="Cambria Math" w:hAnsi="Cambria Math"/>
                    </w:rPr>
                    <m:t>2.377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2" w:name="eq_jm_B"/>
      <w:r>
        <w:rPr>
          <w:sz w:val="20"/>
        </w:rPr>
        <w:tab/>
      </w:r>
      <w:r>
        <w:rPr>
          <w:sz w:val="20"/>
        </w:rPr>
        <w:tab/>
      </w:r>
      <w:r>
        <w:rPr>
          <w:sz w:val="20"/>
        </w:rPr>
        <w:t>(4.2)</w:t>
      </w:r>
      <w:bookmarkEnd w:id="102"/>
    </w:p>
    <w:p w14:paraId="17EB2A55">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C</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4.000</m:t>
                  </m:r>
                  <m:ctrlPr>
                    <w:rPr>
                      <w:rFonts w:ascii="Cambria Math" w:hAnsi="Cambria Math"/>
                    </w:rPr>
                  </m:ctrlPr>
                </m:e>
                <m:e>
                  <m:r>
                    <m:rPr>
                      <m:sty m:val="p"/>
                    </m:rPr>
                    <w:rPr>
                      <w:rFonts w:ascii="Cambria Math" w:hAnsi="Cambria Math"/>
                    </w:rPr>
                    <m:t>5.182</m:t>
                  </m:r>
                  <m:ctrlPr>
                    <w:rPr>
                      <w:rFonts w:ascii="Cambria Math" w:hAnsi="Cambria Math"/>
                    </w:rPr>
                  </m:ctrlPr>
                </m:e>
                <m:e>
                  <m:r>
                    <m:rPr>
                      <m:sty m:val="p"/>
                    </m:rPr>
                    <w:rPr>
                      <w:rFonts w:ascii="Cambria Math" w:hAnsi="Cambria Math"/>
                    </w:rPr>
                    <m:t>4.222</m:t>
                  </m:r>
                  <m:ctrlPr>
                    <w:rPr>
                      <w:rFonts w:ascii="Cambria Math" w:hAnsi="Cambria Math"/>
                    </w:rPr>
                  </m:ctrlPr>
                </m:e>
                <m:e>
                  <m:r>
                    <m:rPr>
                      <m:sty m:val="p"/>
                    </m:rPr>
                    <w:rPr>
                      <w:rFonts w:ascii="Cambria Math" w:hAnsi="Cambria Math"/>
                    </w:rPr>
                    <m:t>4.750</m:t>
                  </m:r>
                  <m:ctrlPr>
                    <w:rPr>
                      <w:rFonts w:ascii="Cambria Math" w:hAnsi="Cambria Math"/>
                    </w:rPr>
                  </m:ctrlPr>
                </m:e>
                <m:e>
                  <m:r>
                    <m:rPr>
                      <m:sty m:val="p"/>
                    </m:rPr>
                    <w:rPr>
                      <w:rFonts w:ascii="Cambria Math" w:hAnsi="Cambria Math"/>
                    </w:rPr>
                    <m:t>3.304</m:t>
                  </m:r>
                  <m:ctrlPr>
                    <w:rPr>
                      <w:rFonts w:ascii="Cambria Math" w:hAnsi="Cambria Math"/>
                    </w:rPr>
                  </m:ctrlPr>
                </m:e>
              </m:mr>
              <m:mr>
                <m:e>
                  <m:r>
                    <m:rPr>
                      <m:sty m:val="p"/>
                    </m:rPr>
                    <w:rPr>
                      <w:rFonts w:ascii="Cambria Math" w:hAnsi="Cambria Math"/>
                    </w:rPr>
                    <m:t>0.250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1.295</m:t>
                  </m:r>
                  <m:ctrlPr>
                    <w:rPr>
                      <w:rFonts w:ascii="Cambria Math" w:hAnsi="Cambria Math"/>
                    </w:rPr>
                  </m:ctrlPr>
                </m:e>
                <m:e>
                  <m:r>
                    <m:rPr>
                      <m:sty m:val="p"/>
                    </m:rPr>
                    <w:rPr>
                      <w:rFonts w:ascii="Cambria Math" w:hAnsi="Cambria Math"/>
                    </w:rPr>
                    <m:t>1.056</m:t>
                  </m:r>
                  <m:ctrlPr>
                    <w:rPr>
                      <w:rFonts w:ascii="Cambria Math" w:hAnsi="Cambria Math"/>
                    </w:rPr>
                  </m:ctrlPr>
                </m:e>
                <m:e>
                  <m:r>
                    <m:rPr>
                      <m:sty m:val="p"/>
                    </m:rPr>
                    <w:rPr>
                      <w:rFonts w:ascii="Cambria Math" w:hAnsi="Cambria Math"/>
                    </w:rPr>
                    <m:t>1.188</m:t>
                  </m:r>
                  <m:ctrlPr>
                    <w:rPr>
                      <w:rFonts w:ascii="Cambria Math" w:hAnsi="Cambria Math"/>
                    </w:rPr>
                  </m:ctrlPr>
                </m:e>
                <m:e>
                  <m:r>
                    <m:rPr>
                      <m:sty m:val="p"/>
                    </m:rPr>
                    <w:rPr>
                      <w:rFonts w:ascii="Cambria Math" w:hAnsi="Cambria Math"/>
                    </w:rPr>
                    <m:t>0.826</m:t>
                  </m:r>
                  <m:ctrlPr>
                    <w:rPr>
                      <w:rFonts w:ascii="Cambria Math" w:hAnsi="Cambria Math"/>
                    </w:rPr>
                  </m:ctrlPr>
                </m:e>
              </m:mr>
              <m:mr>
                <m:e>
                  <m:r>
                    <m:rPr>
                      <m:sty m:val="p"/>
                    </m:rPr>
                    <w:rPr>
                      <w:rFonts w:ascii="Cambria Math" w:hAnsi="Cambria Math"/>
                    </w:rPr>
                    <m:t>0.193</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0.815</m:t>
                  </m:r>
                  <m:ctrlPr>
                    <w:rPr>
                      <w:rFonts w:ascii="Cambria Math" w:hAnsi="Cambria Math"/>
                    </w:rPr>
                  </m:ctrlPr>
                </m:e>
                <m:e>
                  <m:r>
                    <m:rPr>
                      <m:sty m:val="p"/>
                    </m:rPr>
                    <w:rPr>
                      <w:rFonts w:ascii="Cambria Math" w:hAnsi="Cambria Math"/>
                    </w:rPr>
                    <m:t>0.917</m:t>
                  </m:r>
                  <m:ctrlPr>
                    <w:rPr>
                      <w:rFonts w:ascii="Cambria Math" w:hAnsi="Cambria Math"/>
                    </w:rPr>
                  </m:ctrlPr>
                </m:e>
                <m:e>
                  <m:r>
                    <m:rPr>
                      <m:sty m:val="p"/>
                    </m:rPr>
                    <w:rPr>
                      <w:rFonts w:ascii="Cambria Math" w:hAnsi="Cambria Math"/>
                    </w:rPr>
                    <m:t>0.638</m:t>
                  </m:r>
                  <m:ctrlPr>
                    <w:rPr>
                      <w:rFonts w:ascii="Cambria Math" w:hAnsi="Cambria Math"/>
                    </w:rPr>
                  </m:ctrlPr>
                </m:e>
              </m:mr>
              <m:mr>
                <m:e>
                  <m:r>
                    <m:rPr>
                      <m:sty m:val="p"/>
                    </m:rPr>
                    <w:rPr>
                      <w:rFonts w:ascii="Cambria Math" w:hAnsi="Cambria Math"/>
                    </w:rPr>
                    <m:t>0.237</m:t>
                  </m:r>
                  <m:ctrlPr>
                    <w:rPr>
                      <w:rFonts w:ascii="Cambria Math" w:hAnsi="Cambria Math"/>
                    </w:rPr>
                  </m:ctrlPr>
                </m:e>
                <m:e>
                  <m:r>
                    <m:rPr>
                      <m:sty m:val="p"/>
                    </m:rPr>
                    <w:rPr>
                      <w:rFonts w:ascii="Cambria Math" w:hAnsi="Cambria Math"/>
                    </w:rPr>
                    <m:t>0.947</m:t>
                  </m:r>
                  <m:ctrlPr>
                    <w:rPr>
                      <w:rFonts w:ascii="Cambria Math" w:hAnsi="Cambria Math"/>
                    </w:rPr>
                  </m:ctrlPr>
                </m:e>
                <m:e>
                  <m:r>
                    <m:rPr>
                      <m:sty m:val="p"/>
                    </m:rPr>
                    <w:rPr>
                      <w:rFonts w:ascii="Cambria Math" w:hAnsi="Cambria Math"/>
                    </w:rPr>
                    <m:t>1.227</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1.125</m:t>
                  </m:r>
                  <m:ctrlPr>
                    <w:rPr>
                      <w:rFonts w:ascii="Cambria Math" w:hAnsi="Cambria Math"/>
                    </w:rPr>
                  </m:ctrlPr>
                </m:e>
                <m:e>
                  <m:r>
                    <m:rPr>
                      <m:sty m:val="p"/>
                    </m:rPr>
                    <w:rPr>
                      <w:rFonts w:ascii="Cambria Math" w:hAnsi="Cambria Math"/>
                    </w:rPr>
                    <m:t>0.783</m:t>
                  </m:r>
                  <m:ctrlPr>
                    <w:rPr>
                      <w:rFonts w:ascii="Cambria Math" w:hAnsi="Cambria Math"/>
                    </w:rPr>
                  </m:ctrlPr>
                </m:e>
              </m:mr>
              <m:mr>
                <m:e>
                  <m:r>
                    <m:rPr>
                      <m:sty m:val="p"/>
                    </m:rPr>
                    <w:rPr>
                      <w:rFonts w:ascii="Cambria Math" w:hAnsi="Cambria Math"/>
                    </w:rPr>
                    <m:t>0.211</m:t>
                  </m:r>
                  <m:ctrlPr>
                    <w:rPr>
                      <w:rFonts w:ascii="Cambria Math" w:hAnsi="Cambria Math"/>
                    </w:rPr>
                  </m:ctrlPr>
                </m:e>
                <m:e>
                  <m:r>
                    <m:rPr>
                      <m:sty m:val="p"/>
                    </m:rPr>
                    <w:rPr>
                      <w:rFonts w:ascii="Cambria Math" w:hAnsi="Cambria Math"/>
                    </w:rPr>
                    <m:t>0.842</m:t>
                  </m:r>
                  <m:ctrlPr>
                    <w:rPr>
                      <w:rFonts w:ascii="Cambria Math" w:hAnsi="Cambria Math"/>
                    </w:rPr>
                  </m:ctrlPr>
                </m:e>
                <m:e>
                  <m:r>
                    <m:rPr>
                      <m:sty m:val="p"/>
                    </m:rPr>
                    <w:rPr>
                      <w:rFonts w:ascii="Cambria Math" w:hAnsi="Cambria Math"/>
                    </w:rPr>
                    <m:t>1.091</m:t>
                  </m:r>
                  <m:ctrlPr>
                    <w:rPr>
                      <w:rFonts w:ascii="Cambria Math" w:hAnsi="Cambria Math"/>
                    </w:rPr>
                  </m:ctrlPr>
                </m:e>
                <m:e>
                  <m:r>
                    <m:rPr>
                      <m:sty m:val="p"/>
                    </m:rPr>
                    <w:rPr>
                      <w:rFonts w:ascii="Cambria Math" w:hAnsi="Cambria Math"/>
                    </w:rPr>
                    <m:t>0.889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0.696</m:t>
                  </m:r>
                  <m:ctrlPr>
                    <w:rPr>
                      <w:rFonts w:ascii="Cambria Math" w:hAnsi="Cambria Math"/>
                    </w:rPr>
                  </m:ctrlPr>
                </m:e>
              </m:mr>
              <m:mr>
                <m:e>
                  <m:r>
                    <m:rPr>
                      <m:sty m:val="p"/>
                    </m:rPr>
                    <w:rPr>
                      <w:rFonts w:ascii="Cambria Math" w:hAnsi="Cambria Math"/>
                    </w:rPr>
                    <m:t>0.303</m:t>
                  </m:r>
                  <m:ctrlPr>
                    <w:rPr>
                      <w:rFonts w:ascii="Cambria Math" w:hAnsi="Cambria Math"/>
                    </w:rPr>
                  </m:ctrlPr>
                </m:e>
                <m:e>
                  <m:r>
                    <m:rPr>
                      <m:sty m:val="p"/>
                    </m:rPr>
                    <w:rPr>
                      <w:rFonts w:ascii="Cambria Math" w:hAnsi="Cambria Math"/>
                    </w:rPr>
                    <m:t>1.211</m:t>
                  </m:r>
                  <m:ctrlPr>
                    <w:rPr>
                      <w:rFonts w:ascii="Cambria Math" w:hAnsi="Cambria Math"/>
                    </w:rPr>
                  </m:ctrlPr>
                </m:e>
                <m:e>
                  <m:r>
                    <m:rPr>
                      <m:sty m:val="p"/>
                    </m:rPr>
                    <w:rPr>
                      <w:rFonts w:ascii="Cambria Math" w:hAnsi="Cambria Math"/>
                    </w:rPr>
                    <m:t>1.568</m:t>
                  </m:r>
                  <m:ctrlPr>
                    <w:rPr>
                      <w:rFonts w:ascii="Cambria Math" w:hAnsi="Cambria Math"/>
                    </w:rPr>
                  </m:ctrlPr>
                </m:e>
                <m:e>
                  <m:r>
                    <m:rPr>
                      <m:sty m:val="p"/>
                    </m:rPr>
                    <w:rPr>
                      <w:rFonts w:ascii="Cambria Math" w:hAnsi="Cambria Math"/>
                    </w:rPr>
                    <m:t>1.278</m:t>
                  </m:r>
                  <m:ctrlPr>
                    <w:rPr>
                      <w:rFonts w:ascii="Cambria Math" w:hAnsi="Cambria Math"/>
                    </w:rPr>
                  </m:ctrlPr>
                </m:e>
                <m:e>
                  <m:r>
                    <m:rPr>
                      <m:sty m:val="p"/>
                    </m:rPr>
                    <w:rPr>
                      <w:rFonts w:ascii="Cambria Math" w:hAnsi="Cambria Math"/>
                    </w:rPr>
                    <m:t>1.438</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3" w:name="eq_jm_C"/>
      <w:r>
        <w:rPr>
          <w:sz w:val="20"/>
        </w:rPr>
        <w:tab/>
      </w:r>
      <w:r>
        <w:rPr>
          <w:sz w:val="20"/>
        </w:rPr>
        <w:tab/>
      </w:r>
      <w:r>
        <w:rPr>
          <w:sz w:val="20"/>
        </w:rPr>
        <w:t>(4.3)</w:t>
      </w:r>
      <w:bookmarkEnd w:id="103"/>
    </w:p>
    <w:p w14:paraId="33C3C2EA">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D</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1.259</m:t>
                  </m:r>
                  <m:ctrlPr>
                    <w:rPr>
                      <w:rFonts w:ascii="Cambria Math" w:hAnsi="Cambria Math"/>
                    </w:rPr>
                  </m:ctrlPr>
                </m:e>
                <m:e>
                  <m:r>
                    <m:rPr>
                      <m:sty m:val="p"/>
                    </m:rPr>
                    <w:rPr>
                      <w:rFonts w:ascii="Cambria Math" w:hAnsi="Cambria Math"/>
                    </w:rPr>
                    <m:t>1.801</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1.424</m:t>
                  </m:r>
                  <m:ctrlPr>
                    <w:rPr>
                      <w:rFonts w:ascii="Cambria Math" w:hAnsi="Cambria Math"/>
                    </w:rPr>
                  </m:ctrlPr>
                </m:e>
              </m:mr>
              <m:mr>
                <m:e>
                  <m:r>
                    <m:rPr>
                      <m:sty m:val="p"/>
                    </m:rPr>
                    <w:rPr>
                      <w:rFonts w:ascii="Cambria Math" w:hAnsi="Cambria Math"/>
                    </w:rPr>
                    <m:t>0.794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1.430</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1.131</m:t>
                  </m:r>
                  <m:ctrlPr>
                    <w:rPr>
                      <w:rFonts w:ascii="Cambria Math" w:hAnsi="Cambria Math"/>
                    </w:rPr>
                  </m:ctrlPr>
                </m:e>
              </m:mr>
              <m:mr>
                <m:e>
                  <m:r>
                    <m:rPr>
                      <m:sty m:val="p"/>
                    </m:rPr>
                    <w:rPr>
                      <w:rFonts w:ascii="Cambria Math" w:hAnsi="Cambria Math"/>
                    </w:rPr>
                    <m:t>0.555</m:t>
                  </m:r>
                  <m:ctrlPr>
                    <w:rPr>
                      <w:rFonts w:ascii="Cambria Math" w:hAnsi="Cambria Math"/>
                    </w:rPr>
                  </m:ctrlPr>
                </m:e>
                <m:e>
                  <m:r>
                    <m:rPr>
                      <m:sty m:val="p"/>
                    </m:rPr>
                    <w:rPr>
                      <w:rFonts w:ascii="Cambria Math" w:hAnsi="Cambria Math"/>
                    </w:rPr>
                    <m:t>0.699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0.791</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0.702</m:t>
                  </m:r>
                  <m:ctrlPr>
                    <w:rPr>
                      <w:rFonts w:ascii="Cambria Math" w:hAnsi="Cambria Math"/>
                    </w:rPr>
                  </m:ctrlPr>
                </m:e>
                <m:e>
                  <m:r>
                    <m:rPr>
                      <m:sty m:val="p"/>
                    </m:rPr>
                    <w:rPr>
                      <w:rFonts w:ascii="Cambria Math" w:hAnsi="Cambria Math"/>
                    </w:rPr>
                    <m:t>0.884</m:t>
                  </m:r>
                  <m:ctrlPr>
                    <w:rPr>
                      <w:rFonts w:ascii="Cambria Math" w:hAnsi="Cambria Math"/>
                    </w:rPr>
                  </m:ctrlPr>
                </m:e>
                <m:e>
                  <m:r>
                    <m:rPr>
                      <m:sty m:val="p"/>
                    </m:rPr>
                    <w:rPr>
                      <w:rFonts w:ascii="Cambria Math" w:hAnsi="Cambria Math"/>
                    </w:rPr>
                    <m:t>1.265</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4" w:name="eq_jm_D"/>
      <w:r>
        <w:rPr>
          <w:sz w:val="20"/>
        </w:rPr>
        <w:tab/>
      </w:r>
      <w:r>
        <w:rPr>
          <w:sz w:val="20"/>
        </w:rPr>
        <w:tab/>
      </w:r>
      <w:r>
        <w:rPr>
          <w:sz w:val="20"/>
        </w:rPr>
        <w:t>(4.4)</w:t>
      </w:r>
      <w:bookmarkEnd w:id="104"/>
    </w:p>
    <w:p w14:paraId="78196225">
      <w:pPr>
        <w:pStyle w:val="95"/>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E</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1.937</m:t>
                  </m:r>
                  <m:ctrlPr>
                    <w:rPr>
                      <w:rFonts w:ascii="Cambria Math" w:hAnsi="Cambria Math"/>
                    </w:rPr>
                  </m:ctrlPr>
                </m:e>
                <m:e>
                  <m:r>
                    <m:rPr>
                      <m:sty m:val="p"/>
                    </m:rPr>
                    <w:rPr>
                      <w:rFonts w:ascii="Cambria Math" w:hAnsi="Cambria Math"/>
                    </w:rPr>
                    <m:t>3.773</m:t>
                  </m:r>
                  <m:ctrlPr>
                    <w:rPr>
                      <w:rFonts w:ascii="Cambria Math" w:hAnsi="Cambria Math"/>
                    </w:rPr>
                  </m:ctrlPr>
                </m:e>
                <m:e>
                  <m:r>
                    <m:rPr>
                      <m:sty m:val="p"/>
                    </m:rPr>
                    <w:rPr>
                      <w:rFonts w:ascii="Cambria Math" w:hAnsi="Cambria Math"/>
                    </w:rPr>
                    <m:t>4.306</m:t>
                  </m:r>
                  <m:ctrlPr>
                    <w:rPr>
                      <w:rFonts w:ascii="Cambria Math" w:hAnsi="Cambria Math"/>
                    </w:rPr>
                  </m:ctrlPr>
                </m:e>
                <m:e>
                  <m:r>
                    <m:rPr>
                      <m:sty m:val="p"/>
                    </m:rPr>
                    <w:rPr>
                      <w:rFonts w:ascii="Cambria Math" w:hAnsi="Cambria Math"/>
                    </w:rPr>
                    <m:t>10.167</m:t>
                  </m:r>
                  <m:ctrlPr>
                    <w:rPr>
                      <w:rFonts w:ascii="Cambria Math" w:hAnsi="Cambria Math"/>
                    </w:rPr>
                  </m:ctrlPr>
                </m:e>
                <m:e>
                  <m:r>
                    <m:rPr>
                      <m:sty m:val="p"/>
                    </m:rPr>
                    <w:rPr>
                      <w:rFonts w:ascii="Cambria Math" w:hAnsi="Cambria Math"/>
                    </w:rPr>
                    <m:t>1.612</m:t>
                  </m:r>
                  <m:ctrlPr>
                    <w:rPr>
                      <w:rFonts w:ascii="Cambria Math" w:hAnsi="Cambria Math"/>
                    </w:rPr>
                  </m:ctrlPr>
                </m:e>
              </m:mr>
              <m:mr>
                <m:e>
                  <m:r>
                    <m:rPr>
                      <m:sty m:val="p"/>
                    </m:rPr>
                    <w:rPr>
                      <w:rFonts w:ascii="Cambria Math" w:hAnsi="Cambria Math"/>
                    </w:rPr>
                    <m:t>0.516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1.948</m:t>
                  </m:r>
                  <m:ctrlPr>
                    <w:rPr>
                      <w:rFonts w:ascii="Cambria Math" w:hAnsi="Cambria Math"/>
                    </w:rPr>
                  </m:ctrlPr>
                </m:e>
                <m:e>
                  <m:r>
                    <m:rPr>
                      <m:sty m:val="p"/>
                    </m:rPr>
                    <w:rPr>
                      <w:rFonts w:ascii="Cambria Math" w:hAnsi="Cambria Math"/>
                    </w:rPr>
                    <m:t>2.224</m:t>
                  </m:r>
                  <m:ctrlPr>
                    <w:rPr>
                      <w:rFonts w:ascii="Cambria Math" w:hAnsi="Cambria Math"/>
                    </w:rPr>
                  </m:ctrlPr>
                </m:e>
                <m:e>
                  <m:r>
                    <m:rPr>
                      <m:sty m:val="p"/>
                    </m:rPr>
                    <w:rPr>
                      <w:rFonts w:ascii="Cambria Math" w:hAnsi="Cambria Math"/>
                    </w:rPr>
                    <m:t>5.250</m:t>
                  </m:r>
                  <m:ctrlPr>
                    <w:rPr>
                      <w:rFonts w:ascii="Cambria Math" w:hAnsi="Cambria Math"/>
                    </w:rPr>
                  </m:ctrlPr>
                </m:e>
                <m:e>
                  <m:r>
                    <m:rPr>
                      <m:sty m:val="p"/>
                    </m:rPr>
                    <w:rPr>
                      <w:rFonts w:ascii="Cambria Math" w:hAnsi="Cambria Math"/>
                    </w:rPr>
                    <m:t>0.833</m:t>
                  </m:r>
                  <m:ctrlPr>
                    <w:rPr>
                      <w:rFonts w:ascii="Cambria Math" w:hAnsi="Cambria Math"/>
                    </w:rPr>
                  </m:ctrlPr>
                </m:e>
              </m:mr>
              <m:mr>
                <m:e>
                  <m:r>
                    <m:rPr>
                      <m:sty m:val="p"/>
                    </m:rPr>
                    <w:rPr>
                      <w:rFonts w:ascii="Cambria Math" w:hAnsi="Cambria Math"/>
                    </w:rPr>
                    <m:t>0.265</m:t>
                  </m:r>
                  <m:ctrlPr>
                    <w:rPr>
                      <w:rFonts w:ascii="Cambria Math" w:hAnsi="Cambria Math"/>
                    </w:rPr>
                  </m:ctrlPr>
                </m:e>
                <m:e>
                  <m:r>
                    <m:rPr>
                      <m:sty m:val="p"/>
                    </m:rPr>
                    <w:rPr>
                      <w:rFonts w:ascii="Cambria Math" w:hAnsi="Cambria Math"/>
                    </w:rPr>
                    <m:t>0.513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1.141</m:t>
                  </m:r>
                  <m:ctrlPr>
                    <w:rPr>
                      <w:rFonts w:ascii="Cambria Math" w:hAnsi="Cambria Math"/>
                    </w:rPr>
                  </m:ctrlPr>
                </m:e>
                <m:e>
                  <m:r>
                    <m:rPr>
                      <m:sty m:val="p"/>
                    </m:rPr>
                    <w:rPr>
                      <w:rFonts w:ascii="Cambria Math" w:hAnsi="Cambria Math"/>
                    </w:rPr>
                    <m:t>2.694</m:t>
                  </m:r>
                  <m:ctrlPr>
                    <w:rPr>
                      <w:rFonts w:ascii="Cambria Math" w:hAnsi="Cambria Math"/>
                    </w:rPr>
                  </m:ctrlPr>
                </m:e>
                <m:e>
                  <m:r>
                    <m:rPr>
                      <m:sty m:val="p"/>
                    </m:rPr>
                    <w:rPr>
                      <w:rFonts w:ascii="Cambria Math" w:hAnsi="Cambria Math"/>
                    </w:rPr>
                    <m:t>0.427</m:t>
                  </m:r>
                  <m:ctrlPr>
                    <w:rPr>
                      <w:rFonts w:ascii="Cambria Math" w:hAnsi="Cambria Math"/>
                    </w:rPr>
                  </m:ctrlPr>
                </m:e>
              </m:mr>
              <m:mr>
                <m:e>
                  <m:r>
                    <m:rPr>
                      <m:sty m:val="p"/>
                    </m:rPr>
                    <w:rPr>
                      <w:rFonts w:ascii="Cambria Math" w:hAnsi="Cambria Math"/>
                    </w:rPr>
                    <m:t>0.232</m:t>
                  </m:r>
                  <m:ctrlPr>
                    <w:rPr>
                      <w:rFonts w:ascii="Cambria Math" w:hAnsi="Cambria Math"/>
                    </w:rPr>
                  </m:ctrlPr>
                </m:e>
                <m:e>
                  <m:r>
                    <m:rPr>
                      <m:sty m:val="p"/>
                    </m:rPr>
                    <w:rPr>
                      <w:rFonts w:ascii="Cambria Math" w:hAnsi="Cambria Math"/>
                    </w:rPr>
                    <m:t>0.450</m:t>
                  </m:r>
                  <m:ctrlPr>
                    <w:rPr>
                      <w:rFonts w:ascii="Cambria Math" w:hAnsi="Cambria Math"/>
                    </w:rPr>
                  </m:ctrlPr>
                </m:e>
                <m:e>
                  <m:r>
                    <m:rPr>
                      <m:sty m:val="p"/>
                    </m:rPr>
                    <w:rPr>
                      <w:rFonts w:ascii="Cambria Math" w:hAnsi="Cambria Math"/>
                    </w:rPr>
                    <m:t>0.876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2.361</m:t>
                  </m:r>
                  <m:ctrlPr>
                    <w:rPr>
                      <w:rFonts w:ascii="Cambria Math" w:hAnsi="Cambria Math"/>
                    </w:rPr>
                  </m:ctrlPr>
                </m:e>
                <m:e>
                  <m:r>
                    <m:rPr>
                      <m:sty m:val="p"/>
                    </m:rPr>
                    <w:rPr>
                      <w:rFonts w:ascii="Cambria Math" w:hAnsi="Cambria Math"/>
                    </w:rPr>
                    <m:t>0.374</m:t>
                  </m:r>
                  <m:ctrlPr>
                    <w:rPr>
                      <w:rFonts w:ascii="Cambria Math" w:hAnsi="Cambria Math"/>
                    </w:rPr>
                  </m:ctrlPr>
                </m:e>
              </m:mr>
              <m:mr>
                <m:e>
                  <m:r>
                    <m:rPr>
                      <m:sty m:val="p"/>
                    </m:rPr>
                    <w:rPr>
                      <w:rFonts w:ascii="Cambria Math" w:hAnsi="Cambria Math"/>
                    </w:rPr>
                    <m:t>0.098</m:t>
                  </m:r>
                  <m:ctrlPr>
                    <w:rPr>
                      <w:rFonts w:ascii="Cambria Math" w:hAnsi="Cambria Math"/>
                    </w:rPr>
                  </m:ctrlPr>
                </m:e>
                <m:e>
                  <m:r>
                    <m:rPr>
                      <m:sty m:val="p"/>
                    </m:rPr>
                    <w:rPr>
                      <w:rFonts w:ascii="Cambria Math" w:hAnsi="Cambria Math"/>
                    </w:rPr>
                    <m:t>0.190</m:t>
                  </m:r>
                  <m:ctrlPr>
                    <w:rPr>
                      <w:rFonts w:ascii="Cambria Math" w:hAnsi="Cambria Math"/>
                    </w:rPr>
                  </m:ctrlPr>
                </m:e>
                <m:e>
                  <m:r>
                    <m:rPr>
                      <m:sty m:val="p"/>
                    </m:rPr>
                    <w:rPr>
                      <w:rFonts w:ascii="Cambria Math" w:hAnsi="Cambria Math"/>
                    </w:rPr>
                    <m:t>0.371</m:t>
                  </m:r>
                  <m:ctrlPr>
                    <w:rPr>
                      <w:rFonts w:ascii="Cambria Math" w:hAnsi="Cambria Math"/>
                    </w:rPr>
                  </m:ctrlPr>
                </m:e>
                <m:e>
                  <m:r>
                    <m:rPr>
                      <m:sty m:val="p"/>
                    </m:rPr>
                    <w:rPr>
                      <w:rFonts w:ascii="Cambria Math" w:hAnsi="Cambria Math"/>
                    </w:rPr>
                    <m:t>0.424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0.159</m:t>
                  </m:r>
                  <m:ctrlPr>
                    <w:rPr>
                      <w:rFonts w:ascii="Cambria Math" w:hAnsi="Cambria Math"/>
                    </w:rPr>
                  </m:ctrlPr>
                </m:e>
              </m:mr>
              <m:mr>
                <m:e>
                  <m:r>
                    <m:rPr>
                      <m:sty m:val="p"/>
                    </m:rPr>
                    <w:rPr>
                      <w:rFonts w:ascii="Cambria Math" w:hAnsi="Cambria Math"/>
                    </w:rPr>
                    <m:t>0.620</m:t>
                  </m:r>
                  <m:ctrlPr>
                    <w:rPr>
                      <w:rFonts w:ascii="Cambria Math" w:hAnsi="Cambria Math"/>
                    </w:rPr>
                  </m:ctrlPr>
                </m:e>
                <m:e>
                  <m:r>
                    <m:rPr>
                      <m:sty m:val="p"/>
                    </m:rPr>
                    <w:rPr>
                      <w:rFonts w:ascii="Cambria Math" w:hAnsi="Cambria Math"/>
                    </w:rPr>
                    <m:t>1.201</m:t>
                  </m:r>
                  <m:ctrlPr>
                    <w:rPr>
                      <w:rFonts w:ascii="Cambria Math" w:hAnsi="Cambria Math"/>
                    </w:rPr>
                  </m:ctrlPr>
                </m:e>
                <m:e>
                  <m:r>
                    <m:rPr>
                      <m:sty m:val="p"/>
                    </m:rPr>
                    <w:rPr>
                      <w:rFonts w:ascii="Cambria Math" w:hAnsi="Cambria Math"/>
                    </w:rPr>
                    <m:t>2.340</m:t>
                  </m:r>
                  <m:ctrlPr>
                    <w:rPr>
                      <w:rFonts w:ascii="Cambria Math" w:hAnsi="Cambria Math"/>
                    </w:rPr>
                  </m:ctrlPr>
                </m:e>
                <m:e>
                  <m:r>
                    <m:rPr>
                      <m:sty m:val="p"/>
                    </m:rPr>
                    <w:rPr>
                      <w:rFonts w:ascii="Cambria Math" w:hAnsi="Cambria Math"/>
                    </w:rPr>
                    <m:t>2.671</m:t>
                  </m:r>
                  <m:ctrlPr>
                    <w:rPr>
                      <w:rFonts w:ascii="Cambria Math" w:hAnsi="Cambria Math"/>
                    </w:rPr>
                  </m:ctrlPr>
                </m:e>
                <m:e>
                  <m:r>
                    <m:rPr>
                      <m:sty m:val="p"/>
                    </m:rPr>
                    <w:rPr>
                      <w:rFonts w:ascii="Cambria Math" w:hAnsi="Cambria Math"/>
                    </w:rPr>
                    <m:t>6.306</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5" w:name="eq_jm_E"/>
      <w:r>
        <w:rPr>
          <w:sz w:val="20"/>
        </w:rPr>
        <w:tab/>
      </w:r>
      <w:r>
        <w:rPr>
          <w:sz w:val="20"/>
        </w:rPr>
        <w:tab/>
      </w:r>
      <w:r>
        <w:rPr>
          <w:sz w:val="20"/>
        </w:rPr>
        <w:t>(4.5)</w:t>
      </w:r>
      <w:bookmarkEnd w:id="105"/>
    </w:p>
    <w:p w14:paraId="00D72F2A">
      <w:pPr>
        <w:pStyle w:val="35"/>
        <w:ind w:firstLine="480"/>
      </w:pPr>
      <w:r>
        <w:rPr>
          <w:lang w:eastAsia="zh-CN"/>
        </w:rPr>
        <w:t>对每位专家的判断矩阵分别求解特征值问题</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oMath>
      <w:r>
        <w:rPr>
          <w:lang w:eastAsia="zh-CN"/>
        </w:rPr>
        <w:t xml:space="preserve">， 将最大特征值对应的特征向量归一化，得到各专家的个人权重向量。 其中专家A（体育管理学者）赋予流行度最高权重0.396、安全性次之0.201； 专家B（奥运研究专家）相对均衡，流行度0.310、性别平等0.237； 专家C（体育经济学研究者）最强调流行度（0.456）； 专家D（体育行政管理人员）更看重可持续性（0.151）； 专家E（国际体育研究学者）最重视安全性（0.227）。 五位专家在流行度维度上的权重差异最大（0.272–0.456）， 反映了不同学科背景对该维度重要性的认知分歧； 而创新性维度权重整体偏低且差异最小（0.036–0.096）， 说明专家群体对新旧程度在奥运项目评估中的权重有一致偏保守的判断。 </w:t>
      </w:r>
      <w:r>
        <w:t>各专家权重的分布模式如图</w:t>
      </w:r>
      <w:r>
        <w:rPr>
          <w:rFonts w:hint="eastAsia"/>
          <w:lang w:eastAsia="zh-CN"/>
        </w:rPr>
        <w:t>4.</w:t>
      </w:r>
      <w:r>
        <w:fldChar w:fldCharType="begin"/>
      </w:r>
      <w:r>
        <w:instrText xml:space="preserve"> HYPERLINK \l "fig:expert_heatmap" \h </w:instrText>
      </w:r>
      <w:r>
        <w:fldChar w:fldCharType="separate"/>
      </w:r>
      <w:r>
        <w:rPr>
          <w:rStyle w:val="32"/>
          <w:rFonts w:eastAsia="宋体"/>
          <w:color w:val="auto"/>
        </w:rPr>
        <w:t>2</w:t>
      </w:r>
      <w:r>
        <w:rPr>
          <w:rStyle w:val="32"/>
          <w:rFonts w:eastAsia="宋体"/>
          <w:color w:val="auto"/>
        </w:rPr>
        <w:fldChar w:fldCharType="end"/>
      </w:r>
      <w:r>
        <w:t>所示。</w:t>
      </w:r>
    </w:p>
    <w:p w14:paraId="5A390C56">
      <w:pPr>
        <w:pStyle w:val="59"/>
        <w:jc w:val="both"/>
      </w:pPr>
      <w:bookmarkStart w:id="106"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1"/>
                    <a:stretch>
                      <a:fillRect/>
                    </a:stretch>
                  </pic:blipFill>
                  <pic:spPr>
                    <a:xfrm>
                      <a:off x="0" y="0"/>
                      <a:ext cx="4267200" cy="2473812"/>
                    </a:xfrm>
                    <a:prstGeom prst="rect">
                      <a:avLst/>
                    </a:prstGeom>
                    <a:noFill/>
                    <a:ln w="9525">
                      <a:noFill/>
                    </a:ln>
                  </pic:spPr>
                </pic:pic>
              </a:graphicData>
            </a:graphic>
          </wp:inline>
        </w:drawing>
      </w:r>
    </w:p>
    <w:p w14:paraId="599B3448">
      <w:pPr>
        <w:pStyle w:val="104"/>
        <w:jc w:val="center"/>
      </w:pPr>
      <w:bookmarkStart w:id="107" w:name="_fig_expert_heatmap"/>
      <w:r>
        <w:rPr>
          <w:rFonts w:hint="eastAsia"/>
        </w:rPr>
        <w:t>图4.2：各专家AHP权重热力图</w:t>
      </w:r>
      <w:bookmarkEnd w:id="107"/>
    </w:p>
    <w:bookmarkEnd w:id="106"/>
    <w:p w14:paraId="323188D2">
      <w:pPr>
        <w:pStyle w:val="35"/>
        <w:ind w:firstLine="480"/>
        <w:rPr>
          <w:lang w:eastAsia="zh-CN"/>
        </w:rPr>
      </w:pPr>
      <w:r>
        <w:rPr>
          <w:lang w:eastAsia="zh-CN"/>
        </w:rPr>
        <w:t>采用几何平均法（式</w:t>
      </w:r>
      <w:r>
        <w:fldChar w:fldCharType="begin"/>
      </w:r>
      <w:r>
        <w:instrText xml:space="preserve"> HYPERLINK \l "eq:geomean" \h </w:instrText>
      </w:r>
      <w:r>
        <w:fldChar w:fldCharType="separate"/>
      </w:r>
      <w:r>
        <w:rPr>
          <w:rStyle w:val="32"/>
          <w:rFonts w:eastAsia="宋体"/>
          <w:color w:val="auto"/>
          <w:lang w:eastAsia="zh-CN"/>
        </w:rPr>
        <w:t>(3.20)</w:t>
      </w:r>
      <w:r>
        <w:rPr>
          <w:rStyle w:val="32"/>
          <w:rFonts w:eastAsia="宋体"/>
          <w:color w:val="auto"/>
          <w:lang w:eastAsia="zh-CN"/>
        </w:rPr>
        <w:fldChar w:fldCharType="end"/>
      </w:r>
      <w:r>
        <w:rPr>
          <w:lang w:eastAsia="zh-CN"/>
        </w:rPr>
        <w:t>）整合五位专家的判断矩阵， 得到综合判断矩阵</w:t>
      </w:r>
      <m:oMath>
        <m:r>
          <m:rPr/>
          <w:rPr>
            <w:rFonts w:ascii="Cambria Math" w:hAnsi="Cambria Math"/>
            <w:lang w:eastAsia="zh-CN"/>
          </w:rPr>
          <m:t>A</m:t>
        </m:r>
      </m:oMath>
      <w:r>
        <w:rPr>
          <w:lang w:eastAsia="zh-CN"/>
        </w:rPr>
        <w:t>如式</w:t>
      </w:r>
      <w:r>
        <w:fldChar w:fldCharType="begin"/>
      </w:r>
      <w:r>
        <w:instrText xml:space="preserve"> HYPERLINK \l "eq:jm_full" \h </w:instrText>
      </w:r>
      <w:r>
        <w:fldChar w:fldCharType="separate"/>
      </w:r>
      <w:r>
        <w:rPr>
          <w:rStyle w:val="32"/>
          <w:rFonts w:eastAsia="宋体"/>
          <w:color w:val="auto"/>
          <w:lang w:eastAsia="zh-CN"/>
        </w:rPr>
        <w:t>(4.6)</w:t>
      </w:r>
      <w:r>
        <w:rPr>
          <w:rStyle w:val="32"/>
          <w:rFonts w:eastAsia="宋体"/>
          <w:color w:val="auto"/>
          <w:lang w:eastAsia="zh-CN"/>
        </w:rPr>
        <w:fldChar w:fldCharType="end"/>
      </w:r>
      <w:r>
        <w:rPr>
          <w:lang w:eastAsia="zh-CN"/>
        </w:rPr>
        <w:t>所示。 该矩阵继承了各专家的互反性质（</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是后续特征值求解和权重提取的基础。</w:t>
      </w:r>
    </w:p>
    <w:p w14:paraId="315AB1E3">
      <w:pPr>
        <w:pStyle w:val="95"/>
      </w:pPr>
      <w:r>
        <w:rPr>
          <w:rFonts w:eastAsia="宋体" w:cstheme="minorBidi"/>
          <w:iCs/>
        </w:rPr>
        <w:tab/>
      </w:r>
      <m:oMath>
        <m:r>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1.644</m:t>
                  </m:r>
                  <m:ctrlPr>
                    <w:rPr>
                      <w:rFonts w:ascii="Cambria Math" w:hAnsi="Cambria Math"/>
                    </w:rPr>
                  </m:ctrlPr>
                </m:e>
                <m:e>
                  <m:r>
                    <m:rPr>
                      <m:sty m:val="p"/>
                    </m:rPr>
                    <w:rPr>
                      <w:rFonts w:ascii="Cambria Math" w:hAnsi="Cambria Math"/>
                    </w:rPr>
                    <m:t>3.677</m:t>
                  </m:r>
                  <m:ctrlPr>
                    <w:rPr>
                      <w:rFonts w:ascii="Cambria Math" w:hAnsi="Cambria Math"/>
                    </w:rPr>
                  </m:ctrlPr>
                </m:e>
                <m:e>
                  <m:r>
                    <m:rPr>
                      <m:sty m:val="p"/>
                    </m:rPr>
                    <w:rPr>
                      <w:rFonts w:ascii="Cambria Math" w:hAnsi="Cambria Math"/>
                    </w:rPr>
                    <m:t>4.338</m:t>
                  </m:r>
                  <m:ctrlPr>
                    <w:rPr>
                      <w:rFonts w:ascii="Cambria Math" w:hAnsi="Cambria Math"/>
                    </w:rPr>
                  </m:ctrlPr>
                </m:e>
                <m:e>
                  <m:r>
                    <m:rPr>
                      <m:sty m:val="p"/>
                    </m:rPr>
                    <w:rPr>
                      <w:rFonts w:ascii="Cambria Math" w:hAnsi="Cambria Math"/>
                    </w:rPr>
                    <m:t>5.404</m:t>
                  </m:r>
                  <m:ctrlPr>
                    <w:rPr>
                      <w:rFonts w:ascii="Cambria Math" w:hAnsi="Cambria Math"/>
                    </w:rPr>
                  </m:ctrlPr>
                </m:e>
                <m:e>
                  <m:r>
                    <m:rPr>
                      <m:sty m:val="p"/>
                    </m:rPr>
                    <w:rPr>
                      <w:rFonts w:ascii="Cambria Math" w:hAnsi="Cambria Math"/>
                    </w:rPr>
                    <m:t>2.000</m:t>
                  </m:r>
                  <m:ctrlPr>
                    <w:rPr>
                      <w:rFonts w:ascii="Cambria Math" w:hAnsi="Cambria Math"/>
                    </w:rPr>
                  </m:ctrlPr>
                </m:e>
              </m:mr>
              <m:mr>
                <m:e>
                  <m:r>
                    <m:rPr>
                      <m:sty m:val="p"/>
                    </m:rPr>
                    <w:rPr>
                      <w:rFonts w:ascii="Cambria Math" w:hAnsi="Cambria Math"/>
                    </w:rPr>
                    <m:t>0.608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2.605</m:t>
                  </m:r>
                  <m:ctrlPr>
                    <w:rPr>
                      <w:rFonts w:ascii="Cambria Math" w:hAnsi="Cambria Math"/>
                    </w:rPr>
                  </m:ctrlPr>
                </m:e>
                <m:e>
                  <m:r>
                    <m:rPr>
                      <m:sty m:val="p"/>
                    </m:rPr>
                    <w:rPr>
                      <w:rFonts w:ascii="Cambria Math" w:hAnsi="Cambria Math"/>
                    </w:rPr>
                    <m:t>1.000</m:t>
                  </m:r>
                  <m:ctrlPr>
                    <w:rPr>
                      <w:rFonts w:ascii="Cambria Math" w:hAnsi="Cambria Math"/>
                    </w:rPr>
                  </m:ctrlPr>
                </m:e>
              </m:mr>
              <m:mr>
                <m:e>
                  <m:r>
                    <m:rPr>
                      <m:sty m:val="p"/>
                    </m:rPr>
                    <w:rPr>
                      <w:rFonts w:ascii="Cambria Math" w:hAnsi="Cambria Math"/>
                    </w:rPr>
                    <m:t>0.272</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1.149</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0.574</m:t>
                  </m:r>
                  <m:ctrlPr>
                    <w:rPr>
                      <w:rFonts w:ascii="Cambria Math" w:hAnsi="Cambria Math"/>
                    </w:rPr>
                  </m:ctrlPr>
                </m:e>
              </m:mr>
              <m:mr>
                <m:e>
                  <m:r>
                    <m:rPr>
                      <m:sty m:val="p"/>
                    </m:rPr>
                    <w:rPr>
                      <w:rFonts w:ascii="Cambria Math" w:hAnsi="Cambria Math"/>
                    </w:rPr>
                    <m:t>0.231</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0.871</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1.320</m:t>
                  </m:r>
                  <m:ctrlPr>
                    <w:rPr>
                      <w:rFonts w:ascii="Cambria Math" w:hAnsi="Cambria Math"/>
                    </w:rPr>
                  </m:ctrlPr>
                </m:e>
                <m:e>
                  <m:r>
                    <m:rPr>
                      <m:sty m:val="p"/>
                    </m:rPr>
                    <w:rPr>
                      <w:rFonts w:ascii="Cambria Math" w:hAnsi="Cambria Math"/>
                    </w:rPr>
                    <m:t>0.488</m:t>
                  </m:r>
                  <m:ctrlPr>
                    <w:rPr>
                      <w:rFonts w:ascii="Cambria Math" w:hAnsi="Cambria Math"/>
                    </w:rPr>
                  </m:ctrlPr>
                </m:e>
              </m:mr>
              <m:mr>
                <m:e>
                  <m:r>
                    <m:rPr>
                      <m:sty m:val="p"/>
                    </m:rPr>
                    <w:rPr>
                      <w:rFonts w:ascii="Cambria Math" w:hAnsi="Cambria Math"/>
                    </w:rPr>
                    <m:t>0.185</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0.758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0.308</m:t>
                  </m:r>
                  <m:ctrlPr>
                    <w:rPr>
                      <w:rFonts w:ascii="Cambria Math" w:hAnsi="Cambria Math"/>
                    </w:rPr>
                  </m:ctrlPr>
                </m:e>
              </m:mr>
              <m:mr>
                <m:e>
                  <m:r>
                    <m:rPr>
                      <m:sty m:val="p"/>
                    </m:rPr>
                    <w:rPr>
                      <w:rFonts w:ascii="Cambria Math" w:hAnsi="Cambria Math"/>
                    </w:rPr>
                    <m:t>0.500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1.741</m:t>
                  </m:r>
                  <m:ctrlPr>
                    <w:rPr>
                      <w:rFonts w:ascii="Cambria Math" w:hAnsi="Cambria Math"/>
                    </w:rPr>
                  </m:ctrlPr>
                </m:e>
                <m:e>
                  <m:r>
                    <m:rPr>
                      <m:sty m:val="p"/>
                    </m:rPr>
                    <w:rPr>
                      <w:rFonts w:ascii="Cambria Math" w:hAnsi="Cambria Math"/>
                    </w:rPr>
                    <m:t>2.048</m:t>
                  </m:r>
                  <m:ctrlPr>
                    <w:rPr>
                      <w:rFonts w:ascii="Cambria Math" w:hAnsi="Cambria Math"/>
                    </w:rPr>
                  </m:ctrlPr>
                </m:e>
                <m:e>
                  <m:r>
                    <m:rPr>
                      <m:sty m:val="p"/>
                    </m:rPr>
                    <w:rPr>
                      <w:rFonts w:ascii="Cambria Math" w:hAnsi="Cambria Math"/>
                    </w:rPr>
                    <m:t>3.245</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8" w:name="eq_jm_full"/>
      <w:r>
        <w:rPr>
          <w:sz w:val="20"/>
        </w:rPr>
        <w:tab/>
      </w:r>
      <w:r>
        <w:rPr>
          <w:sz w:val="20"/>
        </w:rPr>
        <w:tab/>
      </w:r>
      <w:r>
        <w:rPr>
          <w:sz w:val="20"/>
        </w:rPr>
        <w:t>(4.6)</w:t>
      </w:r>
      <w:bookmarkEnd w:id="108"/>
    </w:p>
    <w:p w14:paraId="7F6723E2">
      <w:pPr>
        <w:pStyle w:val="35"/>
        <w:ind w:firstLine="480"/>
        <w:rPr>
          <w:lang w:eastAsia="zh-CN"/>
        </w:rPr>
      </w:pPr>
      <w:r>
        <w:rPr>
          <w:lang w:eastAsia="zh-CN"/>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2D88DD0">
      <w:pPr>
        <w:pStyle w:val="35"/>
        <w:ind w:firstLine="480"/>
        <w:rPr>
          <w:lang w:eastAsia="zh-CN"/>
        </w:rPr>
      </w:pPr>
      <w:r>
        <w:rPr>
          <w:rFonts w:hint="eastAsia"/>
          <w:lang w:eastAsia="zh-CN"/>
        </w:rPr>
        <w:t>下面以该综合判断矩阵为例，演示特征向量法求解权重的过程。首先计算各列的列和向量</w:t>
      </w:r>
      <m:oMath>
        <m:r>
          <m:rPr/>
          <w:rPr>
            <w:rFonts w:ascii="Cambria Math" w:hAnsi="Cambria Math"/>
            <w:lang w:eastAsia="zh-CN"/>
          </w:rPr>
          <m:t>S</m:t>
        </m:r>
      </m:oMath>
      <w:r>
        <w:rPr>
          <w:rFonts w:hint="eastAsia"/>
          <w:lang w:eastAsia="zh-CN"/>
        </w:rPr>
        <w:t>：</w:t>
      </w:r>
    </w:p>
    <w:p w14:paraId="7E3E6DF6">
      <w:pPr>
        <w:pStyle w:val="95"/>
      </w:pPr>
      <w:r>
        <w:rPr>
          <w:rFonts w:eastAsia="宋体" w:cstheme="minorBidi"/>
          <w:iCs/>
        </w:rPr>
        <w:tab/>
      </w:r>
      <m:oMath>
        <m:r>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2.796,5.088,9.707,11.181,15.462,5.370</m:t>
            </m:r>
            <m:ctrlPr>
              <w:rPr>
                <w:rFonts w:ascii="Cambria Math" w:hAnsi="Cambria Math"/>
              </w:rPr>
            </m:ctrlPr>
          </m:e>
        </m:d>
      </m:oMath>
      <w:r>
        <w:rPr>
          <w:rFonts w:hint="eastAsia"/>
        </w:rPr>
        <w:t xml:space="preserve"> .</w:t>
      </w:r>
      <w:r>
        <w:rPr>
          <w:rFonts w:eastAsiaTheme="minorEastAsia"/>
        </w:rPr>
        <w:tab/>
      </w:r>
      <w:r>
        <w:rPr>
          <w:rFonts w:eastAsiaTheme="minorEastAsia"/>
        </w:rPr>
        <w:tab/>
      </w:r>
      <w:r>
        <w:rPr>
          <w:rFonts w:hint="eastAsia"/>
        </w:rPr>
        <w:t>(4.7)</w:t>
      </w:r>
    </w:p>
    <w:p w14:paraId="38C53004">
      <w:pPr>
        <w:pStyle w:val="35"/>
        <w:ind w:firstLine="480"/>
        <w:rPr>
          <w:rFonts w:eastAsia="仿宋" w:cs="Times New Roman"/>
          <w:lang w:eastAsia="zh-CN"/>
        </w:rPr>
      </w:pPr>
      <w:r>
        <w:rPr>
          <w:rFonts w:hint="eastAsia" w:eastAsia="仿宋" w:cs="Times New Roman"/>
          <w:lang w:eastAsia="zh-CN"/>
        </w:rPr>
        <w:t>然后将矩阵每个元素除以其所在列的列和，得到归一化矩阵</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eastAsia="仿宋" w:cs="Times New Roman"/>
          <w:lang w:eastAsia="zh-CN"/>
        </w:rPr>
        <w:t>（以第1列为例：</w:t>
      </w:r>
      <m:oMath>
        <m:r>
          <m:rPr/>
          <w:rPr>
            <w:rFonts w:ascii="Cambria Math" w:hAnsi="Cambria Math"/>
            <w:lang w:eastAsia="zh-CN"/>
          </w:rPr>
          <m:t>1.000</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0.358</m:t>
        </m:r>
      </m:oMath>
      <w:r>
        <w:rPr>
          <w:rFonts w:hint="eastAsia" w:eastAsia="仿宋" w:cs="Times New Roman"/>
          <w:lang w:eastAsia="zh-CN"/>
        </w:rPr>
        <w:t>，</w:t>
      </w:r>
      <m:oMath>
        <m:r>
          <m:rPr/>
          <w:rPr>
            <w:rFonts w:ascii="Cambria Math" w:hAnsi="Cambria Math"/>
            <w:lang w:eastAsia="zh-CN"/>
          </w:rPr>
          <m:t>0.608</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0.217</m:t>
        </m:r>
      </m:oMath>
      <w:r>
        <w:rPr>
          <w:rFonts w:hint="eastAsia" w:eastAsia="仿宋" w:cs="Times New Roman"/>
          <w:lang w:eastAsia="zh-CN"/>
        </w:rPr>
        <w:t>，</w:t>
      </w:r>
      <m:oMath>
        <m:r>
          <m:rPr>
            <m:sty m:val="p"/>
          </m:rPr>
          <w:rPr>
            <w:rFonts w:ascii="Cambria Math" w:hAnsi="Cambria Math"/>
            <w:lang w:eastAsia="zh-CN"/>
          </w:rPr>
          <m:t>⋯</m:t>
        </m:r>
      </m:oMath>
      <w:r>
        <w:rPr>
          <w:rFonts w:hint="eastAsia" w:eastAsia="仿宋" w:cs="Times New Roman"/>
          <w:lang w:eastAsia="zh-CN"/>
        </w:rPr>
        <w:t>）。对</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eastAsia="仿宋" w:cs="Times New Roman"/>
          <w:lang w:eastAsia="zh-CN"/>
        </w:rPr>
        <w:t>的每一行求平均值，即得权重向量：</w:t>
      </w:r>
    </w:p>
    <w:p w14:paraId="2C1D80FB">
      <w:pPr>
        <w:pStyle w:val="95"/>
        <w:rPr>
          <w:rFonts w:eastAsia="仿宋"/>
        </w:rPr>
      </w:pPr>
      <w:r>
        <w:rPr>
          <w:rFonts w:eastAsia="仿宋"/>
        </w:rPr>
        <w:tab/>
      </w:r>
      <m:oMath>
        <m:sSup>
          <m:sSupPr>
            <m:ctrlPr>
              <w:rPr>
                <w:rFonts w:ascii="Cambria Math" w:hAnsi="Cambria Math" w:eastAsia="仿宋"/>
              </w:rPr>
            </m:ctrlPr>
          </m:sSupPr>
          <m:e>
            <m:r>
              <m:rPr/>
              <w:rPr>
                <w:rFonts w:ascii="Cambria Math" w:hAnsi="Cambria Math" w:eastAsia="仿宋"/>
              </w:rPr>
              <m:t>W</m:t>
            </m:r>
            <m:ctrlPr>
              <w:rPr>
                <w:rFonts w:ascii="Cambria Math" w:hAnsi="Cambria Math" w:eastAsia="仿宋"/>
              </w:rPr>
            </m:ctrlPr>
          </m:e>
          <m:sup>
            <m:r>
              <m:rPr/>
              <w:rPr>
                <w:rFonts w:ascii="Cambria Math" w:hAnsi="Cambria Math" w:eastAsia="仿宋"/>
              </w:rPr>
              <m:t>AHP</m:t>
            </m:r>
            <m:ctrlPr>
              <w:rPr>
                <w:rFonts w:ascii="Cambria Math" w:hAnsi="Cambria Math" w:eastAsia="仿宋"/>
              </w:rPr>
            </m:ctrlPr>
          </m:sup>
        </m:sSup>
        <m:r>
          <m:rPr>
            <m:sty m:val="p"/>
          </m:rPr>
          <w:rPr>
            <w:rFonts w:ascii="Cambria Math" w:hAnsi="Cambria Math" w:eastAsia="仿宋"/>
          </w:rPr>
          <m:t>=</m:t>
        </m:r>
        <m:sSup>
          <m:sSupPr>
            <m:ctrlPr>
              <w:rPr>
                <w:rFonts w:ascii="Cambria Math" w:hAnsi="Cambria Math" w:eastAsia="仿宋"/>
              </w:rPr>
            </m:ctrlPr>
          </m:sSupPr>
          <m:e>
            <m:d>
              <m:dPr>
                <m:begChr m:val="["/>
                <m:endChr m:val="]"/>
                <m:ctrlPr>
                  <w:rPr>
                    <w:rFonts w:ascii="Cambria Math" w:hAnsi="Cambria Math" w:eastAsia="仿宋"/>
                  </w:rPr>
                </m:ctrlPr>
              </m:dPr>
              <m:e>
                <m:m>
                  <m:mPr>
                    <m:mcs>
                      <m:mc>
                        <m:mcPr>
                          <m:count m:val="6"/>
                          <m:mcJc m:val="center"/>
                        </m:mcPr>
                      </m:mc>
                    </m:mcs>
                    <m:ctrlPr>
                      <w:rPr>
                        <w:rFonts w:ascii="Cambria Math" w:hAnsi="Cambria Math" w:eastAsia="仿宋"/>
                      </w:rPr>
                    </m:ctrlPr>
                  </m:mPr>
                  <m:mr>
                    <m:e>
                      <m:r>
                        <m:rPr>
                          <m:sty m:val="p"/>
                        </m:rPr>
                        <w:rPr>
                          <w:rFonts w:ascii="Cambria Math" w:hAnsi="Cambria Math" w:eastAsia="仿宋"/>
                        </w:rPr>
                        <m:t>0.362</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e>
                      <m:r>
                        <m:rPr>
                          <m:sty m:val="p"/>
                        </m:rPr>
                        <w:rPr>
                          <w:rFonts w:ascii="Cambria Math" w:hAnsi="Cambria Math" w:eastAsia="仿宋"/>
                        </w:rPr>
                        <m:t>0.106</m:t>
                      </m:r>
                      <m:ctrlPr>
                        <w:rPr>
                          <w:rFonts w:ascii="Cambria Math" w:hAnsi="Cambria Math" w:eastAsia="仿宋"/>
                        </w:rPr>
                      </m:ctrlPr>
                    </m:e>
                    <m:e>
                      <m:r>
                        <m:rPr>
                          <m:sty m:val="p"/>
                        </m:rPr>
                        <w:rPr>
                          <w:rFonts w:ascii="Cambria Math" w:hAnsi="Cambria Math" w:eastAsia="仿宋"/>
                        </w:rPr>
                        <m:t>0.090</m:t>
                      </m:r>
                      <m:ctrlPr>
                        <w:rPr>
                          <w:rFonts w:ascii="Cambria Math" w:hAnsi="Cambria Math" w:eastAsia="仿宋"/>
                        </w:rPr>
                      </m:ctrlPr>
                    </m:e>
                    <m:e>
                      <m:r>
                        <m:rPr>
                          <m:sty m:val="p"/>
                        </m:rPr>
                        <w:rPr>
                          <w:rFonts w:ascii="Cambria Math" w:hAnsi="Cambria Math" w:eastAsia="仿宋"/>
                        </w:rPr>
                        <m:t>0.064</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mr>
                </m:m>
                <m:ctrlPr>
                  <w:rPr>
                    <w:rFonts w:ascii="Cambria Math" w:hAnsi="Cambria Math" w:eastAsia="仿宋"/>
                  </w:rPr>
                </m:ctrlPr>
              </m:e>
            </m:d>
            <m:ctrlPr>
              <w:rPr>
                <w:rFonts w:ascii="Cambria Math" w:hAnsi="Cambria Math" w:eastAsia="仿宋"/>
              </w:rPr>
            </m:ctrlPr>
          </m:e>
          <m:sup>
            <m:r>
              <m:rPr/>
              <w:rPr>
                <w:rFonts w:ascii="Cambria Math" w:hAnsi="Cambria Math" w:eastAsia="仿宋"/>
              </w:rPr>
              <m:t>T</m:t>
            </m:r>
            <m:ctrlPr>
              <w:rPr>
                <w:rFonts w:ascii="Cambria Math" w:hAnsi="Cambria Math" w:eastAsia="仿宋"/>
              </w:rPr>
            </m:ctrlPr>
          </m:sup>
        </m:sSup>
      </m:oMath>
      <w:r>
        <w:rPr>
          <w:rFonts w:hint="eastAsia" w:eastAsia="仿宋"/>
        </w:rPr>
        <w:t xml:space="preserve"> .</w:t>
      </w:r>
      <w:r>
        <w:rPr>
          <w:rFonts w:eastAsia="仿宋"/>
        </w:rPr>
        <w:tab/>
      </w:r>
      <w:r>
        <w:rPr>
          <w:rFonts w:eastAsia="仿宋"/>
        </w:rPr>
        <w:tab/>
      </w:r>
      <w:r>
        <w:rPr>
          <w:rFonts w:hint="eastAsia" w:eastAsia="仿宋"/>
        </w:rPr>
        <w:t>(4.8)</w:t>
      </w:r>
    </w:p>
    <w:p w14:paraId="7FCFDFEB">
      <w:pPr>
        <w:pStyle w:val="35"/>
        <w:ind w:firstLine="480"/>
        <w:rPr>
          <w:lang w:eastAsia="zh-CN"/>
        </w:rPr>
      </w:pPr>
      <w:r>
        <w:rPr>
          <w:lang w:eastAsia="zh-CN"/>
        </w:rPr>
        <w:t>验算：计算</w:t>
      </w:r>
      <m:oMath>
        <m:r>
          <m:rPr/>
          <w:rPr>
            <w:rFonts w:ascii="Cambria Math" w:hAnsi="Cambria Math"/>
            <w:lang w:eastAsia="zh-CN"/>
          </w:rPr>
          <m:t>A</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=[2.241, 1.158, 0.648, 0.548, 0.393, 1.163</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scr m:val="sans-serif"/>
              </m:rPr>
              <w:rPr>
                <w:rFonts w:ascii="Cambria Math" w:hAnsi="Cambria Math"/>
                <w:lang w:eastAsia="zh-CN"/>
              </w:rPr>
              <m:t>T</m:t>
            </m:r>
            <m:ctrlPr>
              <w:rPr>
                <w:rFonts w:ascii="Cambria Math" w:hAnsi="Cambria Math"/>
              </w:rPr>
            </m:ctrlPr>
          </m:sup>
        </m:sSup>
      </m:oMath>
      <w:r>
        <w:rPr>
          <w:lang w:eastAsia="zh-CN"/>
        </w:rPr>
        <w:t>，各分量除以对应权重得到</w:t>
      </w:r>
      <m:oMath>
        <m:d>
          <m:dPr>
            <m:begChr m:val="["/>
            <m:endChr m:val="]"/>
            <m:ctrlPr>
              <w:rPr>
                <w:rFonts w:ascii="Cambria Math" w:hAnsi="Cambria Math"/>
              </w:rPr>
            </m:ctrlPr>
          </m:dPr>
          <m:e>
            <m:r>
              <m:rPr>
                <m:sty m:val="p"/>
              </m:rPr>
              <w:rPr>
                <w:rFonts w:ascii="Cambria Math" w:hAnsi="Cambria Math"/>
                <w:lang w:eastAsia="zh-CN"/>
              </w:rPr>
              <m:t>6.19, 6.13, 6.11, 6.09, 6.14, 6.15</m:t>
            </m:r>
            <m:ctrlPr>
              <w:rPr>
                <w:rFonts w:ascii="Cambria Math" w:hAnsi="Cambria Math"/>
              </w:rPr>
            </m:ctrlPr>
          </m:e>
        </m:d>
      </m:oMath>
      <w:r>
        <w:rPr>
          <w:lang w:eastAsia="zh-CN"/>
        </w:rPr>
        <w:t>，取平均得</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≈6.017</m:t>
        </m:r>
      </m:oMath>
      <w:r>
        <w:rPr>
          <w:lang w:eastAsia="zh-CN"/>
        </w:rPr>
        <w:t>。</w:t>
      </w:r>
      <m:oMath>
        <m:r>
          <m:rPr/>
          <w:rPr>
            <w:rFonts w:ascii="Cambria Math" w:hAnsi="Cambria Math"/>
            <w:lang w:eastAsia="zh-CN"/>
          </w:rPr>
          <m:t>CI</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n</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w:rPr>
                <w:rFonts w:ascii="Cambria Math" w:hAnsi="Cambria Math"/>
                <w:lang w:eastAsia="zh-CN"/>
              </w:rPr>
              <m:t>n</m:t>
            </m:r>
            <m:r>
              <m:rPr>
                <m:sty m:val="p"/>
              </m:rPr>
              <w:rPr>
                <w:rFonts w:ascii="Cambria Math" w:hAnsi="Cambria Math"/>
                <w:lang w:eastAsia="zh-CN"/>
              </w:rPr>
              <m:t>−1</m:t>
            </m:r>
            <m:ctrlPr>
              <w:rPr>
                <w:rFonts w:ascii="Cambria Math" w:hAnsi="Cambria Math"/>
              </w:rPr>
            </m:ctrlPr>
          </m:e>
        </m:d>
        <m:r>
          <m:rPr>
            <m:sty m:val="p"/>
          </m:rPr>
          <w:rPr>
            <w:rFonts w:ascii="Cambria Math" w:hAnsi="Cambria Math"/>
            <w:lang w:eastAsia="zh-CN"/>
          </w:rPr>
          <m:t>=0.003</m:t>
        </m:r>
      </m:oMath>
      <w:r>
        <w:rPr>
          <w:lang w:eastAsia="zh-CN"/>
        </w:rPr>
        <w:t>，查表得</w:t>
      </w:r>
      <m:oMath>
        <m:r>
          <m:rPr/>
          <w:rPr>
            <w:rFonts w:ascii="Cambria Math" w:hAnsi="Cambria Math"/>
            <w:lang w:eastAsia="zh-CN"/>
          </w:rPr>
          <m:t>RI</m:t>
        </m:r>
        <m:d>
          <m:dPr>
            <m:ctrlPr>
              <w:rPr>
                <w:rFonts w:ascii="Cambria Math" w:hAnsi="Cambria Math"/>
              </w:rPr>
            </m:ctrlPr>
          </m:dPr>
          <m:e>
            <m:r>
              <m:rPr>
                <m:sty m:val="p"/>
              </m:rPr>
              <w:rPr>
                <w:rFonts w:ascii="Cambria Math" w:hAnsi="Cambria Math"/>
                <w:lang w:eastAsia="zh-CN"/>
              </w:rPr>
              <m:t>6</m:t>
            </m:r>
            <m:ctrlPr>
              <w:rPr>
                <w:rFonts w:ascii="Cambria Math" w:hAnsi="Cambria Math"/>
              </w:rPr>
            </m:ctrlPr>
          </m:e>
        </m:d>
        <m:r>
          <m:rPr>
            <m:sty m:val="p"/>
          </m:rPr>
          <w:rPr>
            <w:rFonts w:ascii="Cambria Math" w:hAnsi="Cambria Math"/>
            <w:lang w:eastAsia="zh-CN"/>
          </w:rPr>
          <m:t>=1.26</m:t>
        </m:r>
      </m:oMath>
      <w:r>
        <w:rPr>
          <w:lang w:eastAsia="zh-CN"/>
        </w:rPr>
        <w:t>，</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r>
          <m:rPr>
            <m:sty m:val="p"/>
          </m:rPr>
          <w:rPr>
            <w:rFonts w:ascii="Cambria Math" w:hAnsi="Cambria Math"/>
            <w:lang w:eastAsia="zh-CN"/>
          </w:rPr>
          <m:t>=0.003&lt;0.1</m:t>
        </m:r>
      </m:oMath>
      <w:r>
        <w:rPr>
          <w:lang w:eastAsia="zh-CN"/>
        </w:rPr>
        <w:t xml:space="preserve">，通过一致性检验。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r>
        <w:rPr>
          <w:lang w:eastAsia="zh-CN"/>
        </w:rPr>
        <w:t>接近</w:t>
      </w:r>
      <m:oMath>
        <m:r>
          <m:rPr/>
          <w:rPr>
            <w:rFonts w:ascii="Cambria Math" w:hAnsi="Cambria Math"/>
            <w:lang w:eastAsia="zh-CN"/>
          </w:rPr>
          <m:t>n</m:t>
        </m:r>
        <m:r>
          <m:rPr>
            <m:sty m:val="p"/>
          </m:rPr>
          <w:rPr>
            <w:rFonts w:ascii="Cambria Math" w:hAnsi="Cambria Math"/>
            <w:lang w:eastAsia="zh-CN"/>
          </w:rPr>
          <m:t>=6</m:t>
        </m:r>
      </m:oMath>
      <w:r>
        <w:rPr>
          <w:lang w:eastAsia="zh-CN"/>
        </w:rPr>
        <w:t>且</w:t>
      </w:r>
      <m:oMath>
        <m:r>
          <m:rPr/>
          <w:rPr>
            <w:rFonts w:ascii="Cambria Math" w:hAnsi="Cambria Math"/>
            <w:lang w:eastAsia="zh-CN"/>
          </w:rPr>
          <m:t>CR</m:t>
        </m:r>
      </m:oMath>
      <w:r>
        <w:rPr>
          <w:lang w:eastAsia="zh-CN"/>
        </w:rPr>
        <w:t>远小于0.1，说明五位专家的判断矩阵整合后具有良好的一致性。</w:t>
      </w:r>
    </w:p>
    <w:p w14:paraId="64CE2BBC">
      <w:pPr>
        <w:pStyle w:val="35"/>
        <w:ind w:firstLine="480"/>
        <w:rPr>
          <w:lang w:eastAsia="zh-CN"/>
        </w:rPr>
      </w:pPr>
      <w:r>
        <w:rPr>
          <w:lang w:eastAsia="zh-CN"/>
        </w:rPr>
        <w:t>AHP主观权重如表</w:t>
      </w:r>
      <w:r>
        <w:fldChar w:fldCharType="begin"/>
      </w:r>
      <w:r>
        <w:instrText xml:space="preserve"> HYPERLINK \l "tab:ahp_weights" \h </w:instrText>
      </w:r>
      <w:r>
        <w:fldChar w:fldCharType="separate"/>
      </w:r>
      <w:r>
        <w:rPr>
          <w:rStyle w:val="32"/>
          <w:rFonts w:eastAsia="宋体"/>
          <w:color w:val="auto"/>
          <w:lang w:eastAsia="zh-CN"/>
        </w:rPr>
        <w:t>4</w:t>
      </w:r>
      <w:r>
        <w:rPr>
          <w:rStyle w:val="32"/>
          <w:rFonts w:eastAsia="宋体"/>
          <w:color w:val="auto"/>
          <w:lang w:eastAsia="zh-CN"/>
        </w:rPr>
        <w:fldChar w:fldCharType="end"/>
      </w:r>
      <w:r>
        <w:rPr>
          <w:rStyle w:val="32"/>
          <w:rFonts w:hint="eastAsia" w:eastAsia="宋体"/>
          <w:color w:val="auto"/>
          <w:lang w:eastAsia="zh-CN"/>
        </w:rPr>
        <w:t>.1</w:t>
      </w:r>
      <w:r>
        <w:rPr>
          <w:lang w:eastAsia="zh-CN"/>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1C38A455">
      <w:pPr>
        <w:pStyle w:val="102"/>
      </w:pPr>
      <w:r>
        <w:rPr>
          <w:rFonts w:hint="eastAsia" w:eastAsiaTheme="minorEastAsia"/>
        </w:rPr>
        <w:t>表4.1</w:t>
      </w:r>
      <w:r>
        <w:rPr>
          <w:rFonts w:hint="eastAsia"/>
        </w:rPr>
        <w:t>AHP主观权重</w:t>
      </w:r>
    </w:p>
    <w:tbl>
      <w:tblPr>
        <w:tblStyle w:val="30"/>
        <w:tblW w:w="5000" w:type="pct"/>
        <w:tblInd w:w="0" w:type="dxa"/>
        <w:tblLayout w:type="autofit"/>
        <w:tblCellMar>
          <w:top w:w="0" w:type="dxa"/>
          <w:left w:w="108" w:type="dxa"/>
          <w:bottom w:w="0" w:type="dxa"/>
          <w:right w:w="108" w:type="dxa"/>
        </w:tblCellMar>
      </w:tblPr>
      <w:tblGrid>
        <w:gridCol w:w="3411"/>
        <w:gridCol w:w="2908"/>
        <w:gridCol w:w="2537"/>
      </w:tblGrid>
      <w:tr w14:paraId="734E131E">
        <w:tblPrEx>
          <w:tblCellMar>
            <w:top w:w="0" w:type="dxa"/>
            <w:left w:w="108" w:type="dxa"/>
            <w:bottom w:w="0" w:type="dxa"/>
            <w:right w:w="108" w:type="dxa"/>
          </w:tblCellMar>
        </w:tblPrEx>
        <w:tc>
          <w:tcPr>
            <w:tcW w:w="1926" w:type="pct"/>
            <w:tcBorders>
              <w:top w:val="single" w:color="000000" w:sz="12" w:space="0"/>
              <w:left w:val="nil"/>
              <w:bottom w:val="single" w:color="000000" w:sz="4" w:space="0"/>
              <w:right w:val="nil"/>
            </w:tcBorders>
          </w:tcPr>
          <w:p w14:paraId="39876121">
            <w:r>
              <w:rPr>
                <w:rFonts w:hint="eastAsia" w:ascii="宋体" w:hAnsi="宋体" w:eastAsia="宋体" w:cs="宋体"/>
              </w:rPr>
              <w:t>指标</w:t>
            </w:r>
          </w:p>
        </w:tc>
        <w:tc>
          <w:tcPr>
            <w:tcW w:w="1642" w:type="pct"/>
            <w:tcBorders>
              <w:top w:val="single" w:color="000000" w:sz="12" w:space="0"/>
              <w:left w:val="nil"/>
              <w:bottom w:val="single" w:color="000000" w:sz="4" w:space="0"/>
              <w:right w:val="nil"/>
            </w:tcBorders>
          </w:tcPr>
          <w:p w14:paraId="19A604DC">
            <w:r>
              <w:rPr>
                <w:rFonts w:hint="eastAsia" w:ascii="宋体" w:hAnsi="宋体" w:eastAsia="宋体" w:cs="宋体"/>
              </w:rPr>
              <w:t>权重</w:t>
            </w:r>
          </w:p>
        </w:tc>
        <w:tc>
          <w:tcPr>
            <w:tcW w:w="1432" w:type="pct"/>
            <w:tcBorders>
              <w:top w:val="single" w:color="000000" w:sz="12" w:space="0"/>
              <w:left w:val="nil"/>
              <w:bottom w:val="single" w:color="000000" w:sz="4" w:space="0"/>
              <w:right w:val="nil"/>
            </w:tcBorders>
          </w:tcPr>
          <w:p w14:paraId="1115258C">
            <w:r>
              <w:rPr>
                <w:rFonts w:hint="eastAsia" w:ascii="宋体" w:hAnsi="宋体" w:eastAsia="宋体" w:cs="宋体"/>
              </w:rPr>
              <w:t>排名</w:t>
            </w:r>
          </w:p>
        </w:tc>
      </w:tr>
      <w:tr w14:paraId="0D54C6A8">
        <w:tblPrEx>
          <w:tblCellMar>
            <w:top w:w="0" w:type="dxa"/>
            <w:left w:w="108" w:type="dxa"/>
            <w:bottom w:w="0" w:type="dxa"/>
            <w:right w:w="108" w:type="dxa"/>
          </w:tblCellMar>
        </w:tblPrEx>
        <w:tc>
          <w:tcPr>
            <w:tcW w:w="1926" w:type="pct"/>
            <w:tcBorders>
              <w:left w:val="nil"/>
              <w:right w:val="nil"/>
            </w:tcBorders>
          </w:tcPr>
          <w:p w14:paraId="15406CFF">
            <w:r>
              <w:rPr>
                <w:rFonts w:hint="eastAsia" w:ascii="宋体" w:hAnsi="宋体" w:eastAsia="宋体" w:cs="宋体"/>
              </w:rPr>
              <w:t>流行度</w:t>
            </w:r>
          </w:p>
        </w:tc>
        <w:tc>
          <w:tcPr>
            <w:tcW w:w="1642" w:type="pct"/>
            <w:tcBorders>
              <w:left w:val="nil"/>
              <w:right w:val="nil"/>
            </w:tcBorders>
          </w:tcPr>
          <w:p w14:paraId="63A2394B">
            <w:r>
              <w:rPr>
                <w:rFonts w:eastAsia="Song"/>
              </w:rPr>
              <w:t>0.362</w:t>
            </w:r>
          </w:p>
        </w:tc>
        <w:tc>
          <w:tcPr>
            <w:tcW w:w="1432" w:type="pct"/>
            <w:tcBorders>
              <w:left w:val="nil"/>
              <w:right w:val="nil"/>
            </w:tcBorders>
          </w:tcPr>
          <w:p w14:paraId="617CD719">
            <w:r>
              <w:rPr>
                <w:rFonts w:eastAsia="Song"/>
              </w:rPr>
              <w:t>1</w:t>
            </w:r>
          </w:p>
        </w:tc>
      </w:tr>
      <w:tr w14:paraId="2371789F">
        <w:tblPrEx>
          <w:tblCellMar>
            <w:top w:w="0" w:type="dxa"/>
            <w:left w:w="108" w:type="dxa"/>
            <w:bottom w:w="0" w:type="dxa"/>
            <w:right w:w="108" w:type="dxa"/>
          </w:tblCellMar>
        </w:tblPrEx>
        <w:tc>
          <w:tcPr>
            <w:tcW w:w="1926" w:type="pct"/>
            <w:tcBorders>
              <w:left w:val="nil"/>
              <w:right w:val="nil"/>
            </w:tcBorders>
          </w:tcPr>
          <w:p w14:paraId="0855D614">
            <w:r>
              <w:rPr>
                <w:rFonts w:hint="eastAsia" w:ascii="宋体" w:hAnsi="宋体" w:eastAsia="宋体" w:cs="宋体"/>
              </w:rPr>
              <w:t>性别平等</w:t>
            </w:r>
          </w:p>
        </w:tc>
        <w:tc>
          <w:tcPr>
            <w:tcW w:w="1642" w:type="pct"/>
            <w:tcBorders>
              <w:left w:val="nil"/>
              <w:right w:val="nil"/>
            </w:tcBorders>
          </w:tcPr>
          <w:p w14:paraId="600275D6">
            <w:r>
              <w:rPr>
                <w:rFonts w:eastAsia="Song"/>
              </w:rPr>
              <w:t>0.189</w:t>
            </w:r>
          </w:p>
        </w:tc>
        <w:tc>
          <w:tcPr>
            <w:tcW w:w="1432" w:type="pct"/>
            <w:tcBorders>
              <w:left w:val="nil"/>
              <w:right w:val="nil"/>
            </w:tcBorders>
          </w:tcPr>
          <w:p w14:paraId="596F71E6">
            <w:r>
              <w:rPr>
                <w:rFonts w:eastAsia="Song"/>
              </w:rPr>
              <w:t>2</w:t>
            </w:r>
          </w:p>
        </w:tc>
      </w:tr>
      <w:tr w14:paraId="33E3754E">
        <w:tblPrEx>
          <w:tblCellMar>
            <w:top w:w="0" w:type="dxa"/>
            <w:left w:w="108" w:type="dxa"/>
            <w:bottom w:w="0" w:type="dxa"/>
            <w:right w:w="108" w:type="dxa"/>
          </w:tblCellMar>
        </w:tblPrEx>
        <w:tc>
          <w:tcPr>
            <w:tcW w:w="1926" w:type="pct"/>
            <w:tcBorders>
              <w:left w:val="nil"/>
              <w:right w:val="nil"/>
            </w:tcBorders>
          </w:tcPr>
          <w:p w14:paraId="532D2D19">
            <w:r>
              <w:rPr>
                <w:rFonts w:hint="eastAsia" w:ascii="宋体" w:hAnsi="宋体" w:eastAsia="宋体" w:cs="宋体"/>
              </w:rPr>
              <w:t>安全性</w:t>
            </w:r>
          </w:p>
        </w:tc>
        <w:tc>
          <w:tcPr>
            <w:tcW w:w="1642" w:type="pct"/>
            <w:tcBorders>
              <w:left w:val="nil"/>
              <w:right w:val="nil"/>
            </w:tcBorders>
          </w:tcPr>
          <w:p w14:paraId="072800E9">
            <w:r>
              <w:rPr>
                <w:rFonts w:eastAsia="Song"/>
              </w:rPr>
              <w:t>0.189</w:t>
            </w:r>
          </w:p>
        </w:tc>
        <w:tc>
          <w:tcPr>
            <w:tcW w:w="1432" w:type="pct"/>
            <w:tcBorders>
              <w:left w:val="nil"/>
              <w:right w:val="nil"/>
            </w:tcBorders>
          </w:tcPr>
          <w:p w14:paraId="24B7A28B">
            <w:r>
              <w:rPr>
                <w:rFonts w:eastAsia="Song"/>
              </w:rPr>
              <w:t>2</w:t>
            </w:r>
          </w:p>
        </w:tc>
      </w:tr>
      <w:tr w14:paraId="3B1B872F">
        <w:tblPrEx>
          <w:tblCellMar>
            <w:top w:w="0" w:type="dxa"/>
            <w:left w:w="108" w:type="dxa"/>
            <w:bottom w:w="0" w:type="dxa"/>
            <w:right w:w="108" w:type="dxa"/>
          </w:tblCellMar>
        </w:tblPrEx>
        <w:tc>
          <w:tcPr>
            <w:tcW w:w="1926" w:type="pct"/>
            <w:tcBorders>
              <w:left w:val="nil"/>
              <w:right w:val="nil"/>
            </w:tcBorders>
          </w:tcPr>
          <w:p w14:paraId="3817FDC3">
            <w:r>
              <w:rPr>
                <w:rFonts w:hint="eastAsia" w:ascii="宋体" w:hAnsi="宋体" w:eastAsia="宋体" w:cs="宋体"/>
              </w:rPr>
              <w:t>可持续性</w:t>
            </w:r>
          </w:p>
        </w:tc>
        <w:tc>
          <w:tcPr>
            <w:tcW w:w="1642" w:type="pct"/>
            <w:tcBorders>
              <w:left w:val="nil"/>
              <w:right w:val="nil"/>
            </w:tcBorders>
          </w:tcPr>
          <w:p w14:paraId="0B6F062C">
            <w:r>
              <w:rPr>
                <w:rFonts w:eastAsia="Song"/>
              </w:rPr>
              <w:t>0.106</w:t>
            </w:r>
          </w:p>
        </w:tc>
        <w:tc>
          <w:tcPr>
            <w:tcW w:w="1432" w:type="pct"/>
            <w:tcBorders>
              <w:left w:val="nil"/>
              <w:right w:val="nil"/>
            </w:tcBorders>
          </w:tcPr>
          <w:p w14:paraId="3D4C81C7">
            <w:r>
              <w:rPr>
                <w:rFonts w:eastAsia="Song"/>
              </w:rPr>
              <w:t>4</w:t>
            </w:r>
          </w:p>
        </w:tc>
      </w:tr>
      <w:tr w14:paraId="2EE611DD">
        <w:tblPrEx>
          <w:tblCellMar>
            <w:top w:w="0" w:type="dxa"/>
            <w:left w:w="108" w:type="dxa"/>
            <w:bottom w:w="0" w:type="dxa"/>
            <w:right w:w="108" w:type="dxa"/>
          </w:tblCellMar>
        </w:tblPrEx>
        <w:tc>
          <w:tcPr>
            <w:tcW w:w="1926" w:type="pct"/>
            <w:tcBorders>
              <w:left w:val="nil"/>
              <w:right w:val="nil"/>
            </w:tcBorders>
          </w:tcPr>
          <w:p w14:paraId="2A1DF263">
            <w:r>
              <w:rPr>
                <w:rFonts w:hint="eastAsia" w:ascii="宋体" w:hAnsi="宋体" w:eastAsia="宋体" w:cs="宋体"/>
              </w:rPr>
              <w:t>包容性</w:t>
            </w:r>
          </w:p>
        </w:tc>
        <w:tc>
          <w:tcPr>
            <w:tcW w:w="1642" w:type="pct"/>
            <w:tcBorders>
              <w:left w:val="nil"/>
              <w:right w:val="nil"/>
            </w:tcBorders>
          </w:tcPr>
          <w:p w14:paraId="59E89169">
            <w:r>
              <w:rPr>
                <w:rFonts w:eastAsia="Song"/>
              </w:rPr>
              <w:t>0.090</w:t>
            </w:r>
          </w:p>
        </w:tc>
        <w:tc>
          <w:tcPr>
            <w:tcW w:w="1432" w:type="pct"/>
            <w:tcBorders>
              <w:left w:val="nil"/>
              <w:right w:val="nil"/>
            </w:tcBorders>
          </w:tcPr>
          <w:p w14:paraId="4A1F53FE">
            <w:r>
              <w:rPr>
                <w:rFonts w:eastAsia="Song"/>
              </w:rPr>
              <w:t>5</w:t>
            </w:r>
          </w:p>
        </w:tc>
      </w:tr>
      <w:tr w14:paraId="27735C11">
        <w:tblPrEx>
          <w:tblCellMar>
            <w:top w:w="0" w:type="dxa"/>
            <w:left w:w="108" w:type="dxa"/>
            <w:bottom w:w="0" w:type="dxa"/>
            <w:right w:w="108" w:type="dxa"/>
          </w:tblCellMar>
        </w:tblPrEx>
        <w:tc>
          <w:tcPr>
            <w:tcW w:w="1926" w:type="pct"/>
            <w:tcBorders>
              <w:left w:val="nil"/>
              <w:bottom w:val="single" w:color="000000" w:sz="12" w:space="0"/>
              <w:right w:val="nil"/>
            </w:tcBorders>
          </w:tcPr>
          <w:p w14:paraId="4B4815EA">
            <w:r>
              <w:rPr>
                <w:rFonts w:hint="eastAsia" w:ascii="宋体" w:hAnsi="宋体" w:eastAsia="宋体" w:cs="宋体"/>
              </w:rPr>
              <w:t>创新性</w:t>
            </w:r>
          </w:p>
        </w:tc>
        <w:tc>
          <w:tcPr>
            <w:tcW w:w="1642" w:type="pct"/>
            <w:tcBorders>
              <w:left w:val="nil"/>
              <w:bottom w:val="single" w:color="000000" w:sz="12" w:space="0"/>
              <w:right w:val="nil"/>
            </w:tcBorders>
          </w:tcPr>
          <w:p w14:paraId="277D888D">
            <w:r>
              <w:rPr>
                <w:rFonts w:eastAsia="Song"/>
              </w:rPr>
              <w:t>0.064</w:t>
            </w:r>
          </w:p>
        </w:tc>
        <w:tc>
          <w:tcPr>
            <w:tcW w:w="1432" w:type="pct"/>
            <w:tcBorders>
              <w:left w:val="nil"/>
              <w:bottom w:val="single" w:color="000000" w:sz="12" w:space="0"/>
              <w:right w:val="nil"/>
            </w:tcBorders>
          </w:tcPr>
          <w:p w14:paraId="15EC5B32">
            <w:r>
              <w:rPr>
                <w:rFonts w:eastAsia="Song"/>
              </w:rPr>
              <w:t>6</w:t>
            </w:r>
          </w:p>
        </w:tc>
      </w:tr>
    </w:tbl>
    <w:p w14:paraId="0945101A">
      <w:pPr>
        <w:pStyle w:val="3"/>
        <w:rPr>
          <w:lang w:eastAsia="zh-CN"/>
        </w:rPr>
      </w:pPr>
    </w:p>
    <w:p w14:paraId="5470C4C1">
      <w:pPr>
        <w:pStyle w:val="102"/>
      </w:pPr>
    </w:p>
    <w:p w14:paraId="21E84856">
      <w:pPr>
        <w:pStyle w:val="5"/>
        <w:jc w:val="both"/>
        <w:rPr>
          <w:rFonts w:hint="eastAsia"/>
          <w:color w:val="auto"/>
          <w:lang w:eastAsia="zh-CN"/>
        </w:rPr>
      </w:pPr>
      <w:bookmarkStart w:id="109" w:name="ewm客观权重计算"/>
      <w:r>
        <w:rPr>
          <w:rStyle w:val="62"/>
          <w:rFonts w:eastAsia="黑体" w:cs="Times New Roman"/>
          <w:color w:val="auto"/>
          <w:sz w:val="26"/>
          <w:szCs w:val="26"/>
          <w:lang w:eastAsia="zh-CN"/>
        </w:rPr>
        <w:t>4.2.2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EWM客观权重计算</w:t>
      </w:r>
    </w:p>
    <w:p w14:paraId="672BDC16">
      <w:pPr>
        <w:pStyle w:val="35"/>
        <w:ind w:firstLine="480"/>
        <w:rPr>
          <w:lang w:eastAsia="zh-CN"/>
        </w:rPr>
      </w:pPr>
      <w:r>
        <w:rPr>
          <w:lang w:eastAsia="zh-CN"/>
        </w:rPr>
        <w:t>EWM的计算以12个代表性项目的六维评分决策矩阵</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m:sty m:val="p"/>
              </m:rPr>
              <w:rPr>
                <w:rFonts w:ascii="Cambria Math" w:hAnsi="Cambria Math"/>
                <w:lang w:eastAsia="zh-CN"/>
              </w:rPr>
              <m:t>12×6</m:t>
            </m:r>
            <m:ctrlPr>
              <w:rPr>
                <w:rFonts w:ascii="Cambria Math" w:hAnsi="Cambria Math"/>
              </w:rPr>
            </m:ctrlPr>
          </m:sub>
        </m:sSub>
      </m:oMath>
      <w:r>
        <w:rPr>
          <w:lang w:eastAsia="zh-CN"/>
        </w:rPr>
        <w:t>为起点。 矩阵元素</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为第</w:t>
      </w:r>
      <m:oMath>
        <m:r>
          <m:rPr/>
          <w:rPr>
            <w:rFonts w:ascii="Cambria Math" w:hAnsi="Cambria Math"/>
            <w:lang w:eastAsia="zh-CN"/>
          </w:rPr>
          <m:t>i</m:t>
        </m:r>
      </m:oMath>
      <w:r>
        <w:rPr>
          <w:lang w:eastAsia="zh-CN"/>
        </w:rPr>
        <w:t>个项目在第</w:t>
      </w:r>
      <m:oMath>
        <m:r>
          <m:rPr/>
          <w:rPr>
            <w:rFonts w:ascii="Cambria Math" w:hAnsi="Cambria Math"/>
            <w:lang w:eastAsia="zh-CN"/>
          </w:rPr>
          <m:t>j</m:t>
        </m:r>
      </m:oMath>
      <w:r>
        <w:rPr>
          <w:lang w:eastAsia="zh-CN"/>
        </w:rPr>
        <w:t>个维度上的原始评分， 数据来源见第4.1节：流行度、可持续性、包容性、创新性四项指标由HiMCM历史设项数据计算得到， 性别平等数据来源于IOC巴黎2024官方报告中的男女参赛比例， 安全性评分则基于PubMed文献中各项目标准化受伤率的反向映射（受伤率越高则安全性评分越低）。 12个项目在六个维度上的原始评分构成决策矩阵</w:t>
      </w:r>
      <m:oMath>
        <m:r>
          <m:rPr/>
          <w:rPr>
            <w:rFonts w:ascii="Cambria Math" w:hAnsi="Cambria Math"/>
            <w:lang w:eastAsia="zh-CN"/>
          </w:rPr>
          <m:t>X</m:t>
        </m:r>
      </m:oMath>
      <w:r>
        <w:rPr>
          <w:lang w:eastAsia="zh-CN"/>
        </w:rPr>
        <w:t>如表</w:t>
      </w:r>
      <w:r>
        <w:rPr>
          <w:rFonts w:hint="eastAsia"/>
          <w:lang w:eastAsia="zh-CN"/>
        </w:rPr>
        <w:t>4.2</w:t>
      </w:r>
      <w:r>
        <w:rPr>
          <w:lang w:eastAsia="zh-CN"/>
        </w:rPr>
        <w:t>所示。</w:t>
      </w:r>
    </w:p>
    <w:p w14:paraId="18C703A6">
      <w:pPr>
        <w:pStyle w:val="102"/>
      </w:pPr>
      <w:bookmarkStart w:id="110" w:name="_tab_decision"/>
      <w:r>
        <w:t>表4.2：六维评分决策矩阵 X</w:t>
      </w:r>
      <w:bookmarkEnd w:id="110"/>
    </w:p>
    <w:tbl>
      <w:tblPr>
        <w:tblStyle w:val="30"/>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3D673B91">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101E49BC">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74FF62D2">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047F14F8">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A54192E">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2756BE32">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45CB5EC1">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25FEDCBE">
            <w:r>
              <w:rPr>
                <w:rFonts w:hint="eastAsia" w:ascii="宋体" w:hAnsi="宋体" w:eastAsia="宋体" w:cs="宋体"/>
              </w:rPr>
              <w:t>安全性</w:t>
            </w:r>
          </w:p>
        </w:tc>
      </w:tr>
      <w:tr w14:paraId="16E4262E">
        <w:tblPrEx>
          <w:tblCellMar>
            <w:top w:w="0" w:type="dxa"/>
            <w:left w:w="108" w:type="dxa"/>
            <w:bottom w:w="0" w:type="dxa"/>
            <w:right w:w="108" w:type="dxa"/>
          </w:tblCellMar>
        </w:tblPrEx>
        <w:tc>
          <w:tcPr>
            <w:tcW w:w="858" w:type="pct"/>
            <w:tcBorders>
              <w:left w:val="nil"/>
              <w:right w:val="nil"/>
            </w:tcBorders>
          </w:tcPr>
          <w:p w14:paraId="3C64FBA6">
            <w:r>
              <w:rPr>
                <w:rFonts w:hint="eastAsia" w:ascii="宋体" w:hAnsi="宋体" w:eastAsia="宋体" w:cs="宋体"/>
              </w:rPr>
              <w:t>田径</w:t>
            </w:r>
          </w:p>
        </w:tc>
        <w:tc>
          <w:tcPr>
            <w:tcW w:w="650" w:type="pct"/>
            <w:tcBorders>
              <w:left w:val="nil"/>
              <w:right w:val="nil"/>
            </w:tcBorders>
          </w:tcPr>
          <w:p w14:paraId="0916DE35">
            <w:r>
              <w:rPr>
                <w:rFonts w:eastAsia="Song"/>
              </w:rPr>
              <w:t>0.814</w:t>
            </w:r>
          </w:p>
        </w:tc>
        <w:tc>
          <w:tcPr>
            <w:tcW w:w="772" w:type="pct"/>
            <w:tcBorders>
              <w:left w:val="nil"/>
              <w:right w:val="nil"/>
            </w:tcBorders>
          </w:tcPr>
          <w:p w14:paraId="4D5754FF">
            <w:r>
              <w:rPr>
                <w:rFonts w:eastAsia="Song"/>
              </w:rPr>
              <w:t>0.880</w:t>
            </w:r>
          </w:p>
        </w:tc>
        <w:tc>
          <w:tcPr>
            <w:tcW w:w="772" w:type="pct"/>
            <w:tcBorders>
              <w:left w:val="nil"/>
              <w:right w:val="nil"/>
            </w:tcBorders>
          </w:tcPr>
          <w:p w14:paraId="2A6487E4">
            <w:r>
              <w:rPr>
                <w:rFonts w:eastAsia="Song"/>
              </w:rPr>
              <w:t>0.955</w:t>
            </w:r>
          </w:p>
        </w:tc>
        <w:tc>
          <w:tcPr>
            <w:tcW w:w="650" w:type="pct"/>
            <w:tcBorders>
              <w:left w:val="nil"/>
              <w:right w:val="nil"/>
            </w:tcBorders>
          </w:tcPr>
          <w:p w14:paraId="6DBDF3B7">
            <w:r>
              <w:rPr>
                <w:rFonts w:eastAsia="Song"/>
              </w:rPr>
              <w:t>1.000</w:t>
            </w:r>
          </w:p>
        </w:tc>
        <w:tc>
          <w:tcPr>
            <w:tcW w:w="650" w:type="pct"/>
            <w:tcBorders>
              <w:left w:val="nil"/>
              <w:right w:val="nil"/>
            </w:tcBorders>
          </w:tcPr>
          <w:p w14:paraId="2B3BB508">
            <w:r>
              <w:rPr>
                <w:rFonts w:eastAsia="Song"/>
              </w:rPr>
              <w:t>0.027</w:t>
            </w:r>
          </w:p>
        </w:tc>
        <w:tc>
          <w:tcPr>
            <w:tcW w:w="650" w:type="pct"/>
            <w:tcBorders>
              <w:left w:val="nil"/>
              <w:right w:val="nil"/>
            </w:tcBorders>
          </w:tcPr>
          <w:p w14:paraId="2C9CCFFF">
            <w:r>
              <w:rPr>
                <w:rFonts w:eastAsia="Song"/>
              </w:rPr>
              <w:t>0.750</w:t>
            </w:r>
          </w:p>
        </w:tc>
      </w:tr>
      <w:tr w14:paraId="7214E8F0">
        <w:tblPrEx>
          <w:tblCellMar>
            <w:top w:w="0" w:type="dxa"/>
            <w:left w:w="108" w:type="dxa"/>
            <w:bottom w:w="0" w:type="dxa"/>
            <w:right w:w="108" w:type="dxa"/>
          </w:tblCellMar>
        </w:tblPrEx>
        <w:tc>
          <w:tcPr>
            <w:tcW w:w="858" w:type="pct"/>
            <w:tcBorders>
              <w:left w:val="nil"/>
              <w:right w:val="nil"/>
            </w:tcBorders>
          </w:tcPr>
          <w:p w14:paraId="4999838F">
            <w:r>
              <w:rPr>
                <w:rFonts w:hint="eastAsia" w:ascii="宋体" w:hAnsi="宋体" w:eastAsia="宋体" w:cs="宋体"/>
              </w:rPr>
              <w:t>游泳</w:t>
            </w:r>
          </w:p>
        </w:tc>
        <w:tc>
          <w:tcPr>
            <w:tcW w:w="650" w:type="pct"/>
            <w:tcBorders>
              <w:left w:val="nil"/>
              <w:right w:val="nil"/>
            </w:tcBorders>
          </w:tcPr>
          <w:p w14:paraId="2158DE6A">
            <w:r>
              <w:rPr>
                <w:rFonts w:eastAsia="Song"/>
              </w:rPr>
              <w:t>0.580</w:t>
            </w:r>
          </w:p>
        </w:tc>
        <w:tc>
          <w:tcPr>
            <w:tcW w:w="772" w:type="pct"/>
            <w:tcBorders>
              <w:left w:val="nil"/>
              <w:right w:val="nil"/>
            </w:tcBorders>
          </w:tcPr>
          <w:p w14:paraId="69595DB3">
            <w:r>
              <w:rPr>
                <w:rFonts w:eastAsia="Song"/>
              </w:rPr>
              <w:t>0.950</w:t>
            </w:r>
          </w:p>
        </w:tc>
        <w:tc>
          <w:tcPr>
            <w:tcW w:w="772" w:type="pct"/>
            <w:tcBorders>
              <w:left w:val="nil"/>
              <w:right w:val="nil"/>
            </w:tcBorders>
          </w:tcPr>
          <w:p w14:paraId="246C8A06">
            <w:r>
              <w:rPr>
                <w:rFonts w:eastAsia="Song"/>
              </w:rPr>
              <w:t>0.716</w:t>
            </w:r>
          </w:p>
        </w:tc>
        <w:tc>
          <w:tcPr>
            <w:tcW w:w="650" w:type="pct"/>
            <w:tcBorders>
              <w:left w:val="nil"/>
              <w:right w:val="nil"/>
            </w:tcBorders>
          </w:tcPr>
          <w:p w14:paraId="72F7D487">
            <w:r>
              <w:rPr>
                <w:rFonts w:eastAsia="Song"/>
              </w:rPr>
              <w:t>0.432</w:t>
            </w:r>
          </w:p>
        </w:tc>
        <w:tc>
          <w:tcPr>
            <w:tcW w:w="650" w:type="pct"/>
            <w:tcBorders>
              <w:left w:val="nil"/>
              <w:right w:val="nil"/>
            </w:tcBorders>
          </w:tcPr>
          <w:p w14:paraId="28A142C5">
            <w:r>
              <w:rPr>
                <w:rFonts w:eastAsia="Song"/>
              </w:rPr>
              <w:t>0.418</w:t>
            </w:r>
          </w:p>
        </w:tc>
        <w:tc>
          <w:tcPr>
            <w:tcW w:w="650" w:type="pct"/>
            <w:tcBorders>
              <w:left w:val="nil"/>
              <w:right w:val="nil"/>
            </w:tcBorders>
          </w:tcPr>
          <w:p w14:paraId="4D8B3FA1">
            <w:r>
              <w:rPr>
                <w:rFonts w:eastAsia="Song"/>
              </w:rPr>
              <w:t>0.880</w:t>
            </w:r>
          </w:p>
        </w:tc>
      </w:tr>
      <w:tr w14:paraId="2170B913">
        <w:tblPrEx>
          <w:tblCellMar>
            <w:top w:w="0" w:type="dxa"/>
            <w:left w:w="108" w:type="dxa"/>
            <w:bottom w:w="0" w:type="dxa"/>
            <w:right w:w="108" w:type="dxa"/>
          </w:tblCellMar>
        </w:tblPrEx>
        <w:tc>
          <w:tcPr>
            <w:tcW w:w="858" w:type="pct"/>
            <w:tcBorders>
              <w:left w:val="nil"/>
              <w:right w:val="nil"/>
            </w:tcBorders>
          </w:tcPr>
          <w:p w14:paraId="27393D25">
            <w:r>
              <w:rPr>
                <w:rFonts w:hint="eastAsia" w:ascii="宋体" w:hAnsi="宋体" w:eastAsia="宋体" w:cs="宋体"/>
              </w:rPr>
              <w:t>足球</w:t>
            </w:r>
          </w:p>
        </w:tc>
        <w:tc>
          <w:tcPr>
            <w:tcW w:w="650" w:type="pct"/>
            <w:tcBorders>
              <w:left w:val="nil"/>
              <w:right w:val="nil"/>
            </w:tcBorders>
          </w:tcPr>
          <w:p w14:paraId="59EB74F4">
            <w:r>
              <w:rPr>
                <w:rFonts w:eastAsia="Song"/>
              </w:rPr>
              <w:t>0.692</w:t>
            </w:r>
          </w:p>
        </w:tc>
        <w:tc>
          <w:tcPr>
            <w:tcW w:w="772" w:type="pct"/>
            <w:tcBorders>
              <w:left w:val="nil"/>
              <w:right w:val="nil"/>
            </w:tcBorders>
          </w:tcPr>
          <w:p w14:paraId="38F29D8A">
            <w:r>
              <w:rPr>
                <w:rFonts w:eastAsia="Song"/>
              </w:rPr>
              <w:t>0.800</w:t>
            </w:r>
          </w:p>
        </w:tc>
        <w:tc>
          <w:tcPr>
            <w:tcW w:w="772" w:type="pct"/>
            <w:tcBorders>
              <w:left w:val="nil"/>
              <w:right w:val="nil"/>
            </w:tcBorders>
          </w:tcPr>
          <w:p w14:paraId="4E929C5C">
            <w:r>
              <w:rPr>
                <w:rFonts w:eastAsia="Song"/>
              </w:rPr>
              <w:t>0.735</w:t>
            </w:r>
          </w:p>
        </w:tc>
        <w:tc>
          <w:tcPr>
            <w:tcW w:w="650" w:type="pct"/>
            <w:tcBorders>
              <w:left w:val="nil"/>
              <w:right w:val="nil"/>
            </w:tcBorders>
          </w:tcPr>
          <w:p w14:paraId="69855E78">
            <w:r>
              <w:rPr>
                <w:rFonts w:eastAsia="Song"/>
              </w:rPr>
              <w:t>0.756</w:t>
            </w:r>
          </w:p>
        </w:tc>
        <w:tc>
          <w:tcPr>
            <w:tcW w:w="650" w:type="pct"/>
            <w:tcBorders>
              <w:left w:val="nil"/>
              <w:right w:val="nil"/>
            </w:tcBorders>
          </w:tcPr>
          <w:p w14:paraId="3C8614C2">
            <w:r>
              <w:rPr>
                <w:rFonts w:eastAsia="Song"/>
              </w:rPr>
              <w:t>0.023</w:t>
            </w:r>
          </w:p>
        </w:tc>
        <w:tc>
          <w:tcPr>
            <w:tcW w:w="650" w:type="pct"/>
            <w:tcBorders>
              <w:left w:val="nil"/>
              <w:right w:val="nil"/>
            </w:tcBorders>
          </w:tcPr>
          <w:p w14:paraId="7ED73748">
            <w:r>
              <w:rPr>
                <w:rFonts w:eastAsia="Song"/>
              </w:rPr>
              <w:t>0.500</w:t>
            </w:r>
          </w:p>
        </w:tc>
      </w:tr>
      <w:tr w14:paraId="1DD17F2E">
        <w:tblPrEx>
          <w:tblCellMar>
            <w:top w:w="0" w:type="dxa"/>
            <w:left w:w="108" w:type="dxa"/>
            <w:bottom w:w="0" w:type="dxa"/>
            <w:right w:w="108" w:type="dxa"/>
          </w:tblCellMar>
        </w:tblPrEx>
        <w:tc>
          <w:tcPr>
            <w:tcW w:w="858" w:type="pct"/>
            <w:tcBorders>
              <w:left w:val="nil"/>
              <w:right w:val="nil"/>
            </w:tcBorders>
          </w:tcPr>
          <w:p w14:paraId="7C78C160">
            <w:r>
              <w:rPr>
                <w:rFonts w:hint="eastAsia" w:ascii="宋体" w:hAnsi="宋体" w:eastAsia="宋体" w:cs="宋体"/>
              </w:rPr>
              <w:t>篮球</w:t>
            </w:r>
          </w:p>
        </w:tc>
        <w:tc>
          <w:tcPr>
            <w:tcW w:w="650" w:type="pct"/>
            <w:tcBorders>
              <w:left w:val="nil"/>
              <w:right w:val="nil"/>
            </w:tcBorders>
          </w:tcPr>
          <w:p w14:paraId="3F9F77E9">
            <w:r>
              <w:rPr>
                <w:rFonts w:eastAsia="Song"/>
              </w:rPr>
              <w:t>0.503</w:t>
            </w:r>
          </w:p>
        </w:tc>
        <w:tc>
          <w:tcPr>
            <w:tcW w:w="772" w:type="pct"/>
            <w:tcBorders>
              <w:left w:val="nil"/>
              <w:right w:val="nil"/>
            </w:tcBorders>
          </w:tcPr>
          <w:p w14:paraId="63C7FF2F">
            <w:r>
              <w:rPr>
                <w:rFonts w:eastAsia="Song"/>
              </w:rPr>
              <w:t>0.920</w:t>
            </w:r>
          </w:p>
        </w:tc>
        <w:tc>
          <w:tcPr>
            <w:tcW w:w="772" w:type="pct"/>
            <w:tcBorders>
              <w:left w:val="nil"/>
              <w:right w:val="nil"/>
            </w:tcBorders>
          </w:tcPr>
          <w:p w14:paraId="0A958A3D">
            <w:r>
              <w:rPr>
                <w:rFonts w:eastAsia="Song"/>
              </w:rPr>
              <w:t>0.626</w:t>
            </w:r>
          </w:p>
        </w:tc>
        <w:tc>
          <w:tcPr>
            <w:tcW w:w="650" w:type="pct"/>
            <w:tcBorders>
              <w:left w:val="nil"/>
              <w:right w:val="nil"/>
            </w:tcBorders>
          </w:tcPr>
          <w:p w14:paraId="25E509AC">
            <w:r>
              <w:rPr>
                <w:rFonts w:eastAsia="Song"/>
              </w:rPr>
              <w:t>0.269</w:t>
            </w:r>
          </w:p>
        </w:tc>
        <w:tc>
          <w:tcPr>
            <w:tcW w:w="650" w:type="pct"/>
            <w:tcBorders>
              <w:left w:val="nil"/>
              <w:right w:val="nil"/>
            </w:tcBorders>
          </w:tcPr>
          <w:p w14:paraId="5EB0D836">
            <w:r>
              <w:rPr>
                <w:rFonts w:eastAsia="Song"/>
              </w:rPr>
              <w:t>0.985</w:t>
            </w:r>
          </w:p>
        </w:tc>
        <w:tc>
          <w:tcPr>
            <w:tcW w:w="650" w:type="pct"/>
            <w:tcBorders>
              <w:left w:val="nil"/>
              <w:right w:val="nil"/>
            </w:tcBorders>
          </w:tcPr>
          <w:p w14:paraId="41636975">
            <w:r>
              <w:rPr>
                <w:rFonts w:eastAsia="Song"/>
              </w:rPr>
              <w:t>0.550</w:t>
            </w:r>
          </w:p>
        </w:tc>
      </w:tr>
      <w:tr w14:paraId="4F0D4ACE">
        <w:tblPrEx>
          <w:tblCellMar>
            <w:top w:w="0" w:type="dxa"/>
            <w:left w:w="108" w:type="dxa"/>
            <w:bottom w:w="0" w:type="dxa"/>
            <w:right w:w="108" w:type="dxa"/>
          </w:tblCellMar>
        </w:tblPrEx>
        <w:tc>
          <w:tcPr>
            <w:tcW w:w="858" w:type="pct"/>
            <w:tcBorders>
              <w:left w:val="nil"/>
              <w:right w:val="nil"/>
            </w:tcBorders>
          </w:tcPr>
          <w:p w14:paraId="0908BABE">
            <w:r>
              <w:rPr>
                <w:rFonts w:hint="eastAsia" w:ascii="宋体" w:hAnsi="宋体" w:eastAsia="宋体" w:cs="宋体"/>
              </w:rPr>
              <w:t>攀岩</w:t>
            </w:r>
          </w:p>
        </w:tc>
        <w:tc>
          <w:tcPr>
            <w:tcW w:w="650" w:type="pct"/>
            <w:tcBorders>
              <w:left w:val="nil"/>
              <w:right w:val="nil"/>
            </w:tcBorders>
          </w:tcPr>
          <w:p w14:paraId="2EF0B2E3">
            <w:r>
              <w:rPr>
                <w:rFonts w:eastAsia="Song"/>
              </w:rPr>
              <w:t>0.349</w:t>
            </w:r>
          </w:p>
        </w:tc>
        <w:tc>
          <w:tcPr>
            <w:tcW w:w="772" w:type="pct"/>
            <w:tcBorders>
              <w:left w:val="nil"/>
              <w:right w:val="nil"/>
            </w:tcBorders>
          </w:tcPr>
          <w:p w14:paraId="630B7A37">
            <w:r>
              <w:rPr>
                <w:rFonts w:eastAsia="Song"/>
              </w:rPr>
              <w:t>0.900</w:t>
            </w:r>
          </w:p>
        </w:tc>
        <w:tc>
          <w:tcPr>
            <w:tcW w:w="772" w:type="pct"/>
            <w:tcBorders>
              <w:left w:val="nil"/>
              <w:right w:val="nil"/>
            </w:tcBorders>
          </w:tcPr>
          <w:p w14:paraId="4A5C8252">
            <w:r>
              <w:rPr>
                <w:rFonts w:eastAsia="Song"/>
              </w:rPr>
              <w:t>0.568</w:t>
            </w:r>
          </w:p>
        </w:tc>
        <w:tc>
          <w:tcPr>
            <w:tcW w:w="650" w:type="pct"/>
            <w:tcBorders>
              <w:left w:val="nil"/>
              <w:right w:val="nil"/>
            </w:tcBorders>
          </w:tcPr>
          <w:p w14:paraId="5A0064AC">
            <w:r>
              <w:rPr>
                <w:rFonts w:eastAsia="Song"/>
              </w:rPr>
              <w:t>0.294</w:t>
            </w:r>
          </w:p>
        </w:tc>
        <w:tc>
          <w:tcPr>
            <w:tcW w:w="650" w:type="pct"/>
            <w:tcBorders>
              <w:left w:val="nil"/>
              <w:right w:val="nil"/>
            </w:tcBorders>
          </w:tcPr>
          <w:p w14:paraId="5C22EF01">
            <w:r>
              <w:rPr>
                <w:rFonts w:eastAsia="Song"/>
              </w:rPr>
              <w:t>0.985</w:t>
            </w:r>
          </w:p>
        </w:tc>
        <w:tc>
          <w:tcPr>
            <w:tcW w:w="650" w:type="pct"/>
            <w:tcBorders>
              <w:left w:val="nil"/>
              <w:right w:val="nil"/>
            </w:tcBorders>
          </w:tcPr>
          <w:p w14:paraId="4337CF02">
            <w:r>
              <w:rPr>
                <w:rFonts w:eastAsia="Song"/>
              </w:rPr>
              <w:t>0.850</w:t>
            </w:r>
          </w:p>
        </w:tc>
      </w:tr>
      <w:tr w14:paraId="5F6112BD">
        <w:tblPrEx>
          <w:tblCellMar>
            <w:top w:w="0" w:type="dxa"/>
            <w:left w:w="108" w:type="dxa"/>
            <w:bottom w:w="0" w:type="dxa"/>
            <w:right w:w="108" w:type="dxa"/>
          </w:tblCellMar>
        </w:tblPrEx>
        <w:tc>
          <w:tcPr>
            <w:tcW w:w="858" w:type="pct"/>
            <w:tcBorders>
              <w:left w:val="nil"/>
              <w:right w:val="nil"/>
            </w:tcBorders>
          </w:tcPr>
          <w:p w14:paraId="4BFB9AD3">
            <w:r>
              <w:rPr>
                <w:rFonts w:hint="eastAsia" w:ascii="宋体" w:hAnsi="宋体" w:eastAsia="宋体" w:cs="宋体"/>
              </w:rPr>
              <w:t>滑板</w:t>
            </w:r>
          </w:p>
        </w:tc>
        <w:tc>
          <w:tcPr>
            <w:tcW w:w="650" w:type="pct"/>
            <w:tcBorders>
              <w:left w:val="nil"/>
              <w:right w:val="nil"/>
            </w:tcBorders>
          </w:tcPr>
          <w:p w14:paraId="0E6F7044">
            <w:r>
              <w:rPr>
                <w:rFonts w:eastAsia="Song"/>
              </w:rPr>
              <w:t>0.394</w:t>
            </w:r>
          </w:p>
        </w:tc>
        <w:tc>
          <w:tcPr>
            <w:tcW w:w="772" w:type="pct"/>
            <w:tcBorders>
              <w:left w:val="nil"/>
              <w:right w:val="nil"/>
            </w:tcBorders>
          </w:tcPr>
          <w:p w14:paraId="64328B7C">
            <w:r>
              <w:rPr>
                <w:rFonts w:eastAsia="Song"/>
              </w:rPr>
              <w:t>0.900</w:t>
            </w:r>
          </w:p>
        </w:tc>
        <w:tc>
          <w:tcPr>
            <w:tcW w:w="772" w:type="pct"/>
            <w:tcBorders>
              <w:left w:val="nil"/>
              <w:right w:val="nil"/>
            </w:tcBorders>
          </w:tcPr>
          <w:p w14:paraId="021E0964">
            <w:r>
              <w:rPr>
                <w:rFonts w:eastAsia="Song"/>
              </w:rPr>
              <w:t>0.626</w:t>
            </w:r>
          </w:p>
        </w:tc>
        <w:tc>
          <w:tcPr>
            <w:tcW w:w="650" w:type="pct"/>
            <w:tcBorders>
              <w:left w:val="nil"/>
              <w:right w:val="nil"/>
            </w:tcBorders>
          </w:tcPr>
          <w:p w14:paraId="555ADFAC">
            <w:r>
              <w:rPr>
                <w:rFonts w:eastAsia="Song"/>
              </w:rPr>
              <w:t>0.294</w:t>
            </w:r>
          </w:p>
        </w:tc>
        <w:tc>
          <w:tcPr>
            <w:tcW w:w="650" w:type="pct"/>
            <w:tcBorders>
              <w:left w:val="nil"/>
              <w:right w:val="nil"/>
            </w:tcBorders>
          </w:tcPr>
          <w:p w14:paraId="1A43B8FC">
            <w:r>
              <w:rPr>
                <w:rFonts w:eastAsia="Song"/>
              </w:rPr>
              <w:t>0.985</w:t>
            </w:r>
          </w:p>
        </w:tc>
        <w:tc>
          <w:tcPr>
            <w:tcW w:w="650" w:type="pct"/>
            <w:tcBorders>
              <w:left w:val="nil"/>
              <w:right w:val="nil"/>
            </w:tcBorders>
          </w:tcPr>
          <w:p w14:paraId="331C4A74">
            <w:r>
              <w:rPr>
                <w:rFonts w:eastAsia="Song"/>
              </w:rPr>
              <w:t>0.350</w:t>
            </w:r>
          </w:p>
        </w:tc>
      </w:tr>
      <w:tr w14:paraId="663EC19A">
        <w:tblPrEx>
          <w:tblCellMar>
            <w:top w:w="0" w:type="dxa"/>
            <w:left w:w="108" w:type="dxa"/>
            <w:bottom w:w="0" w:type="dxa"/>
            <w:right w:w="108" w:type="dxa"/>
          </w:tblCellMar>
        </w:tblPrEx>
        <w:tc>
          <w:tcPr>
            <w:tcW w:w="858" w:type="pct"/>
            <w:tcBorders>
              <w:left w:val="nil"/>
              <w:right w:val="nil"/>
            </w:tcBorders>
          </w:tcPr>
          <w:p w14:paraId="2A18CB42">
            <w:r>
              <w:rPr>
                <w:rFonts w:hint="eastAsia" w:ascii="宋体" w:hAnsi="宋体" w:eastAsia="宋体" w:cs="宋体"/>
              </w:rPr>
              <w:t>冲浪</w:t>
            </w:r>
          </w:p>
        </w:tc>
        <w:tc>
          <w:tcPr>
            <w:tcW w:w="650" w:type="pct"/>
            <w:tcBorders>
              <w:left w:val="nil"/>
              <w:right w:val="nil"/>
            </w:tcBorders>
          </w:tcPr>
          <w:p w14:paraId="143A5A5A">
            <w:r>
              <w:rPr>
                <w:rFonts w:eastAsia="Song"/>
              </w:rPr>
              <w:t>0.369</w:t>
            </w:r>
          </w:p>
        </w:tc>
        <w:tc>
          <w:tcPr>
            <w:tcW w:w="772" w:type="pct"/>
            <w:tcBorders>
              <w:left w:val="nil"/>
              <w:right w:val="nil"/>
            </w:tcBorders>
          </w:tcPr>
          <w:p w14:paraId="1DA8EB17">
            <w:r>
              <w:rPr>
                <w:rFonts w:eastAsia="Song"/>
              </w:rPr>
              <w:t>0.900</w:t>
            </w:r>
          </w:p>
        </w:tc>
        <w:tc>
          <w:tcPr>
            <w:tcW w:w="772" w:type="pct"/>
            <w:tcBorders>
              <w:left w:val="nil"/>
              <w:right w:val="nil"/>
            </w:tcBorders>
          </w:tcPr>
          <w:p w14:paraId="744F9443">
            <w:r>
              <w:rPr>
                <w:rFonts w:eastAsia="Song"/>
              </w:rPr>
              <w:t>0.626</w:t>
            </w:r>
          </w:p>
        </w:tc>
        <w:tc>
          <w:tcPr>
            <w:tcW w:w="650" w:type="pct"/>
            <w:tcBorders>
              <w:left w:val="nil"/>
              <w:right w:val="nil"/>
            </w:tcBorders>
          </w:tcPr>
          <w:p w14:paraId="2BF7D669">
            <w:r>
              <w:rPr>
                <w:rFonts w:eastAsia="Song"/>
              </w:rPr>
              <w:t>0.269</w:t>
            </w:r>
          </w:p>
        </w:tc>
        <w:tc>
          <w:tcPr>
            <w:tcW w:w="650" w:type="pct"/>
            <w:tcBorders>
              <w:left w:val="nil"/>
              <w:right w:val="nil"/>
            </w:tcBorders>
          </w:tcPr>
          <w:p w14:paraId="5DE94E96">
            <w:r>
              <w:rPr>
                <w:rFonts w:eastAsia="Song"/>
              </w:rPr>
              <w:t>0.985</w:t>
            </w:r>
          </w:p>
        </w:tc>
        <w:tc>
          <w:tcPr>
            <w:tcW w:w="650" w:type="pct"/>
            <w:tcBorders>
              <w:left w:val="nil"/>
              <w:right w:val="nil"/>
            </w:tcBorders>
          </w:tcPr>
          <w:p w14:paraId="5A78C587">
            <w:r>
              <w:rPr>
                <w:rFonts w:eastAsia="Song"/>
              </w:rPr>
              <w:t>0.800</w:t>
            </w:r>
          </w:p>
        </w:tc>
      </w:tr>
      <w:tr w14:paraId="647F977D">
        <w:tblPrEx>
          <w:tblCellMar>
            <w:top w:w="0" w:type="dxa"/>
            <w:left w:w="108" w:type="dxa"/>
            <w:bottom w:w="0" w:type="dxa"/>
            <w:right w:w="108" w:type="dxa"/>
          </w:tblCellMar>
        </w:tblPrEx>
        <w:tc>
          <w:tcPr>
            <w:tcW w:w="858" w:type="pct"/>
            <w:tcBorders>
              <w:left w:val="nil"/>
              <w:right w:val="nil"/>
            </w:tcBorders>
          </w:tcPr>
          <w:p w14:paraId="109630ED">
            <w:r>
              <w:rPr>
                <w:rFonts w:hint="eastAsia" w:ascii="宋体" w:hAnsi="宋体" w:eastAsia="宋体" w:cs="宋体"/>
              </w:rPr>
              <w:t>霹雳舞</w:t>
            </w:r>
          </w:p>
        </w:tc>
        <w:tc>
          <w:tcPr>
            <w:tcW w:w="650" w:type="pct"/>
            <w:tcBorders>
              <w:left w:val="nil"/>
              <w:right w:val="nil"/>
            </w:tcBorders>
          </w:tcPr>
          <w:p w14:paraId="6CDFB0DD">
            <w:r>
              <w:rPr>
                <w:rFonts w:eastAsia="Song"/>
              </w:rPr>
              <w:t>0.327</w:t>
            </w:r>
          </w:p>
        </w:tc>
        <w:tc>
          <w:tcPr>
            <w:tcW w:w="772" w:type="pct"/>
            <w:tcBorders>
              <w:left w:val="nil"/>
              <w:right w:val="nil"/>
            </w:tcBorders>
          </w:tcPr>
          <w:p w14:paraId="5C90F409">
            <w:r>
              <w:rPr>
                <w:rFonts w:eastAsia="Song"/>
              </w:rPr>
              <w:t>0.920</w:t>
            </w:r>
          </w:p>
        </w:tc>
        <w:tc>
          <w:tcPr>
            <w:tcW w:w="772" w:type="pct"/>
            <w:tcBorders>
              <w:left w:val="nil"/>
              <w:right w:val="nil"/>
            </w:tcBorders>
          </w:tcPr>
          <w:p w14:paraId="3FEEF0E2">
            <w:r>
              <w:rPr>
                <w:rFonts w:eastAsia="Song"/>
              </w:rPr>
              <w:t>0.500</w:t>
            </w:r>
          </w:p>
        </w:tc>
        <w:tc>
          <w:tcPr>
            <w:tcW w:w="650" w:type="pct"/>
            <w:tcBorders>
              <w:left w:val="nil"/>
              <w:right w:val="nil"/>
            </w:tcBorders>
          </w:tcPr>
          <w:p w14:paraId="4C9BF25B">
            <w:r>
              <w:rPr>
                <w:rFonts w:eastAsia="Song"/>
              </w:rPr>
              <w:t>0.110</w:t>
            </w:r>
          </w:p>
        </w:tc>
        <w:tc>
          <w:tcPr>
            <w:tcW w:w="650" w:type="pct"/>
            <w:tcBorders>
              <w:left w:val="nil"/>
              <w:right w:val="nil"/>
            </w:tcBorders>
          </w:tcPr>
          <w:p w14:paraId="15AD6840">
            <w:r>
              <w:rPr>
                <w:rFonts w:eastAsia="Song"/>
              </w:rPr>
              <w:t>1.000</w:t>
            </w:r>
          </w:p>
        </w:tc>
        <w:tc>
          <w:tcPr>
            <w:tcW w:w="650" w:type="pct"/>
            <w:tcBorders>
              <w:left w:val="nil"/>
              <w:right w:val="nil"/>
            </w:tcBorders>
          </w:tcPr>
          <w:p w14:paraId="388514E6">
            <w:r>
              <w:rPr>
                <w:rFonts w:eastAsia="Song"/>
              </w:rPr>
              <w:t>0.700</w:t>
            </w:r>
          </w:p>
        </w:tc>
      </w:tr>
      <w:tr w14:paraId="1D9B1349">
        <w:tblPrEx>
          <w:tblCellMar>
            <w:top w:w="0" w:type="dxa"/>
            <w:left w:w="108" w:type="dxa"/>
            <w:bottom w:w="0" w:type="dxa"/>
            <w:right w:w="108" w:type="dxa"/>
          </w:tblCellMar>
        </w:tblPrEx>
        <w:tc>
          <w:tcPr>
            <w:tcW w:w="858" w:type="pct"/>
            <w:tcBorders>
              <w:left w:val="nil"/>
              <w:right w:val="nil"/>
            </w:tcBorders>
          </w:tcPr>
          <w:p w14:paraId="0DE391BF">
            <w:r>
              <w:rPr>
                <w:rFonts w:hint="eastAsia" w:ascii="宋体" w:hAnsi="宋体" w:eastAsia="宋体" w:cs="宋体"/>
              </w:rPr>
              <w:t>电子竞技</w:t>
            </w:r>
          </w:p>
        </w:tc>
        <w:tc>
          <w:tcPr>
            <w:tcW w:w="650" w:type="pct"/>
            <w:tcBorders>
              <w:left w:val="nil"/>
              <w:right w:val="nil"/>
            </w:tcBorders>
          </w:tcPr>
          <w:p w14:paraId="6E5AFF1C">
            <w:r>
              <w:rPr>
                <w:rFonts w:eastAsia="Song"/>
              </w:rPr>
              <w:t>0.950</w:t>
            </w:r>
          </w:p>
        </w:tc>
        <w:tc>
          <w:tcPr>
            <w:tcW w:w="772" w:type="pct"/>
            <w:tcBorders>
              <w:left w:val="nil"/>
              <w:right w:val="nil"/>
            </w:tcBorders>
          </w:tcPr>
          <w:p w14:paraId="33F9D440">
            <w:r>
              <w:rPr>
                <w:rFonts w:eastAsia="Song"/>
              </w:rPr>
              <w:t>0.650</w:t>
            </w:r>
          </w:p>
        </w:tc>
        <w:tc>
          <w:tcPr>
            <w:tcW w:w="772" w:type="pct"/>
            <w:tcBorders>
              <w:left w:val="nil"/>
              <w:right w:val="nil"/>
            </w:tcBorders>
          </w:tcPr>
          <w:p w14:paraId="1250777D">
            <w:r>
              <w:rPr>
                <w:rFonts w:eastAsia="Song"/>
              </w:rPr>
              <w:t>0.850</w:t>
            </w:r>
          </w:p>
        </w:tc>
        <w:tc>
          <w:tcPr>
            <w:tcW w:w="650" w:type="pct"/>
            <w:tcBorders>
              <w:left w:val="nil"/>
              <w:right w:val="nil"/>
            </w:tcBorders>
          </w:tcPr>
          <w:p w14:paraId="3404C0E4">
            <w:r>
              <w:rPr>
                <w:rFonts w:eastAsia="Song"/>
              </w:rPr>
              <w:t>0.550</w:t>
            </w:r>
          </w:p>
        </w:tc>
        <w:tc>
          <w:tcPr>
            <w:tcW w:w="650" w:type="pct"/>
            <w:tcBorders>
              <w:left w:val="nil"/>
              <w:right w:val="nil"/>
            </w:tcBorders>
          </w:tcPr>
          <w:p w14:paraId="3568B36F">
            <w:r>
              <w:rPr>
                <w:rFonts w:eastAsia="Song"/>
              </w:rPr>
              <w:t>1.000</w:t>
            </w:r>
          </w:p>
        </w:tc>
        <w:tc>
          <w:tcPr>
            <w:tcW w:w="650" w:type="pct"/>
            <w:tcBorders>
              <w:left w:val="nil"/>
              <w:right w:val="nil"/>
            </w:tcBorders>
          </w:tcPr>
          <w:p w14:paraId="0CB8838B">
            <w:r>
              <w:rPr>
                <w:rFonts w:eastAsia="Song"/>
              </w:rPr>
              <w:t>0.950</w:t>
            </w:r>
          </w:p>
        </w:tc>
      </w:tr>
      <w:tr w14:paraId="01B04E91">
        <w:tblPrEx>
          <w:tblCellMar>
            <w:top w:w="0" w:type="dxa"/>
            <w:left w:w="108" w:type="dxa"/>
            <w:bottom w:w="0" w:type="dxa"/>
            <w:right w:w="108" w:type="dxa"/>
          </w:tblCellMar>
        </w:tblPrEx>
        <w:tc>
          <w:tcPr>
            <w:tcW w:w="858" w:type="pct"/>
            <w:tcBorders>
              <w:left w:val="nil"/>
              <w:right w:val="nil"/>
            </w:tcBorders>
          </w:tcPr>
          <w:p w14:paraId="613F9C4D">
            <w:r>
              <w:rPr>
                <w:rFonts w:hint="eastAsia" w:ascii="宋体" w:hAnsi="宋体" w:eastAsia="宋体" w:cs="宋体"/>
              </w:rPr>
              <w:t>板球</w:t>
            </w:r>
          </w:p>
        </w:tc>
        <w:tc>
          <w:tcPr>
            <w:tcW w:w="650" w:type="pct"/>
            <w:tcBorders>
              <w:left w:val="nil"/>
              <w:right w:val="nil"/>
            </w:tcBorders>
          </w:tcPr>
          <w:p w14:paraId="605C2C6F">
            <w:r>
              <w:rPr>
                <w:rFonts w:eastAsia="Song"/>
              </w:rPr>
              <w:t>0.205</w:t>
            </w:r>
          </w:p>
        </w:tc>
        <w:tc>
          <w:tcPr>
            <w:tcW w:w="772" w:type="pct"/>
            <w:tcBorders>
              <w:left w:val="nil"/>
              <w:right w:val="nil"/>
            </w:tcBorders>
          </w:tcPr>
          <w:p w14:paraId="4B217ED5">
            <w:r>
              <w:rPr>
                <w:rFonts w:eastAsia="Song"/>
              </w:rPr>
              <w:t>0.700</w:t>
            </w:r>
          </w:p>
        </w:tc>
        <w:tc>
          <w:tcPr>
            <w:tcW w:w="772" w:type="pct"/>
            <w:tcBorders>
              <w:left w:val="nil"/>
              <w:right w:val="nil"/>
            </w:tcBorders>
          </w:tcPr>
          <w:p w14:paraId="5F0B896B">
            <w:r>
              <w:rPr>
                <w:rFonts w:eastAsia="Song"/>
              </w:rPr>
              <w:t>0.500</w:t>
            </w:r>
          </w:p>
        </w:tc>
        <w:tc>
          <w:tcPr>
            <w:tcW w:w="650" w:type="pct"/>
            <w:tcBorders>
              <w:left w:val="nil"/>
              <w:right w:val="nil"/>
            </w:tcBorders>
          </w:tcPr>
          <w:p w14:paraId="58A3B81E">
            <w:r>
              <w:rPr>
                <w:rFonts w:eastAsia="Song"/>
              </w:rPr>
              <w:t>0.247</w:t>
            </w:r>
          </w:p>
        </w:tc>
        <w:tc>
          <w:tcPr>
            <w:tcW w:w="650" w:type="pct"/>
            <w:tcBorders>
              <w:left w:val="nil"/>
              <w:right w:val="nil"/>
            </w:tcBorders>
          </w:tcPr>
          <w:p w14:paraId="1BDB4678">
            <w:r>
              <w:rPr>
                <w:rFonts w:eastAsia="Song"/>
              </w:rPr>
              <w:t>0.023</w:t>
            </w:r>
          </w:p>
        </w:tc>
        <w:tc>
          <w:tcPr>
            <w:tcW w:w="650" w:type="pct"/>
            <w:tcBorders>
              <w:left w:val="nil"/>
              <w:right w:val="nil"/>
            </w:tcBorders>
          </w:tcPr>
          <w:p w14:paraId="462B2ED4">
            <w:r>
              <w:rPr>
                <w:rFonts w:eastAsia="Song"/>
              </w:rPr>
              <w:t>0.650</w:t>
            </w:r>
          </w:p>
        </w:tc>
      </w:tr>
      <w:tr w14:paraId="1ED2BF6B">
        <w:tblPrEx>
          <w:tblCellMar>
            <w:top w:w="0" w:type="dxa"/>
            <w:left w:w="108" w:type="dxa"/>
            <w:bottom w:w="0" w:type="dxa"/>
            <w:right w:w="108" w:type="dxa"/>
          </w:tblCellMar>
        </w:tblPrEx>
        <w:tc>
          <w:tcPr>
            <w:tcW w:w="858" w:type="pct"/>
            <w:tcBorders>
              <w:left w:val="nil"/>
              <w:right w:val="nil"/>
            </w:tcBorders>
          </w:tcPr>
          <w:p w14:paraId="63C2B218">
            <w:r>
              <w:rPr>
                <w:rFonts w:hint="eastAsia" w:ascii="宋体" w:hAnsi="宋体" w:eastAsia="宋体" w:cs="宋体"/>
              </w:rPr>
              <w:t>空手道</w:t>
            </w:r>
          </w:p>
        </w:tc>
        <w:tc>
          <w:tcPr>
            <w:tcW w:w="650" w:type="pct"/>
            <w:tcBorders>
              <w:left w:val="nil"/>
              <w:right w:val="nil"/>
            </w:tcBorders>
          </w:tcPr>
          <w:p w14:paraId="3F371D03">
            <w:r>
              <w:rPr>
                <w:rFonts w:eastAsia="Song"/>
              </w:rPr>
              <w:t>0.500</w:t>
            </w:r>
          </w:p>
        </w:tc>
        <w:tc>
          <w:tcPr>
            <w:tcW w:w="772" w:type="pct"/>
            <w:tcBorders>
              <w:left w:val="nil"/>
              <w:right w:val="nil"/>
            </w:tcBorders>
          </w:tcPr>
          <w:p w14:paraId="4060C1D9">
            <w:r>
              <w:rPr>
                <w:rFonts w:eastAsia="Song"/>
              </w:rPr>
              <w:t>0.900</w:t>
            </w:r>
          </w:p>
        </w:tc>
        <w:tc>
          <w:tcPr>
            <w:tcW w:w="772" w:type="pct"/>
            <w:tcBorders>
              <w:left w:val="nil"/>
              <w:right w:val="nil"/>
            </w:tcBorders>
          </w:tcPr>
          <w:p w14:paraId="5AF97FCA">
            <w:r>
              <w:rPr>
                <w:rFonts w:eastAsia="Song"/>
              </w:rPr>
              <w:t>0.500</w:t>
            </w:r>
          </w:p>
        </w:tc>
        <w:tc>
          <w:tcPr>
            <w:tcW w:w="650" w:type="pct"/>
            <w:tcBorders>
              <w:left w:val="nil"/>
              <w:right w:val="nil"/>
            </w:tcBorders>
          </w:tcPr>
          <w:p w14:paraId="30A8600B">
            <w:r>
              <w:rPr>
                <w:rFonts w:eastAsia="Song"/>
              </w:rPr>
              <w:t>0.185</w:t>
            </w:r>
          </w:p>
        </w:tc>
        <w:tc>
          <w:tcPr>
            <w:tcW w:w="650" w:type="pct"/>
            <w:tcBorders>
              <w:left w:val="nil"/>
              <w:right w:val="nil"/>
            </w:tcBorders>
          </w:tcPr>
          <w:p w14:paraId="467962E8">
            <w:r>
              <w:rPr>
                <w:rFonts w:eastAsia="Song"/>
              </w:rPr>
              <w:t>0.985</w:t>
            </w:r>
          </w:p>
        </w:tc>
        <w:tc>
          <w:tcPr>
            <w:tcW w:w="650" w:type="pct"/>
            <w:tcBorders>
              <w:left w:val="nil"/>
              <w:right w:val="nil"/>
            </w:tcBorders>
          </w:tcPr>
          <w:p w14:paraId="39D4411D">
            <w:r>
              <w:rPr>
                <w:rFonts w:eastAsia="Song"/>
              </w:rPr>
              <w:t>0.600</w:t>
            </w:r>
          </w:p>
        </w:tc>
      </w:tr>
      <w:tr w14:paraId="22ACFCDD">
        <w:tblPrEx>
          <w:tblCellMar>
            <w:top w:w="0" w:type="dxa"/>
            <w:left w:w="108" w:type="dxa"/>
            <w:bottom w:w="0" w:type="dxa"/>
            <w:right w:w="108" w:type="dxa"/>
          </w:tblCellMar>
        </w:tblPrEx>
        <w:tc>
          <w:tcPr>
            <w:tcW w:w="858" w:type="pct"/>
            <w:tcBorders>
              <w:left w:val="nil"/>
              <w:bottom w:val="single" w:color="000000" w:sz="12" w:space="0"/>
              <w:right w:val="nil"/>
            </w:tcBorders>
          </w:tcPr>
          <w:p w14:paraId="16062319">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047D248B">
            <w:r>
              <w:rPr>
                <w:rFonts w:eastAsia="Song"/>
              </w:rPr>
              <w:t>0.445</w:t>
            </w:r>
          </w:p>
        </w:tc>
        <w:tc>
          <w:tcPr>
            <w:tcW w:w="772" w:type="pct"/>
            <w:tcBorders>
              <w:left w:val="nil"/>
              <w:bottom w:val="single" w:color="000000" w:sz="12" w:space="0"/>
              <w:right w:val="nil"/>
            </w:tcBorders>
          </w:tcPr>
          <w:p w14:paraId="4FEF8D49">
            <w:r>
              <w:rPr>
                <w:rFonts w:eastAsia="Song"/>
              </w:rPr>
              <w:t>0.800</w:t>
            </w:r>
          </w:p>
        </w:tc>
        <w:tc>
          <w:tcPr>
            <w:tcW w:w="772" w:type="pct"/>
            <w:tcBorders>
              <w:left w:val="nil"/>
              <w:bottom w:val="single" w:color="000000" w:sz="12" w:space="0"/>
              <w:right w:val="nil"/>
            </w:tcBorders>
          </w:tcPr>
          <w:p w14:paraId="340C0A7A">
            <w:r>
              <w:rPr>
                <w:rFonts w:eastAsia="Song"/>
              </w:rPr>
              <w:t>0.590</w:t>
            </w:r>
          </w:p>
        </w:tc>
        <w:tc>
          <w:tcPr>
            <w:tcW w:w="650" w:type="pct"/>
            <w:tcBorders>
              <w:left w:val="nil"/>
              <w:bottom w:val="single" w:color="000000" w:sz="12" w:space="0"/>
              <w:right w:val="nil"/>
            </w:tcBorders>
          </w:tcPr>
          <w:p w14:paraId="4CFAC5CF">
            <w:r>
              <w:rPr>
                <w:rFonts w:eastAsia="Song"/>
              </w:rPr>
              <w:t>0.296</w:t>
            </w:r>
          </w:p>
        </w:tc>
        <w:tc>
          <w:tcPr>
            <w:tcW w:w="650" w:type="pct"/>
            <w:tcBorders>
              <w:left w:val="nil"/>
              <w:bottom w:val="single" w:color="000000" w:sz="12" w:space="0"/>
              <w:right w:val="nil"/>
            </w:tcBorders>
          </w:tcPr>
          <w:p w14:paraId="4B8367B9">
            <w:r>
              <w:rPr>
                <w:rFonts w:eastAsia="Song"/>
              </w:rPr>
              <w:t>0.377</w:t>
            </w:r>
          </w:p>
        </w:tc>
        <w:tc>
          <w:tcPr>
            <w:tcW w:w="650" w:type="pct"/>
            <w:tcBorders>
              <w:left w:val="nil"/>
              <w:bottom w:val="single" w:color="000000" w:sz="12" w:space="0"/>
              <w:right w:val="nil"/>
            </w:tcBorders>
          </w:tcPr>
          <w:p w14:paraId="0B2EEFAA">
            <w:r>
              <w:rPr>
                <w:rFonts w:eastAsia="Song"/>
              </w:rPr>
              <w:t>0.800</w:t>
            </w:r>
          </w:p>
        </w:tc>
      </w:tr>
    </w:tbl>
    <w:p w14:paraId="7A52D042">
      <w:pPr>
        <w:pStyle w:val="3"/>
        <w:spacing w:before="0" w:after="0"/>
        <w:ind w:firstLine="480"/>
        <w:jc w:val="both"/>
        <w:rPr>
          <w:rFonts w:cs="Times New Roman"/>
          <w:lang w:eastAsia="zh-CN"/>
        </w:rPr>
      </w:pPr>
    </w:p>
    <w:p w14:paraId="18A737D3">
      <w:pPr>
        <w:pStyle w:val="35"/>
        <w:ind w:firstLine="480"/>
        <w:rPr>
          <w:lang w:eastAsia="zh-CN"/>
        </w:rPr>
      </w:pPr>
      <w:r>
        <w:rPr>
          <w:rFonts w:hint="eastAsia"/>
          <w:lang w:eastAsia="zh-CN"/>
        </w:rPr>
        <w:t>由于六个维度的原始数据具有不同的量纲和取值范围，</w:t>
      </w:r>
      <w:r>
        <w:rPr>
          <w:lang w:eastAsia="zh-CN"/>
        </w:rPr>
        <w:t xml:space="preserve"> </w:t>
      </w:r>
      <w:r>
        <w:rPr>
          <w:rFonts w:hint="eastAsia"/>
          <w:lang w:eastAsia="zh-CN"/>
        </w:rPr>
        <w:t>例如流行度列的取值范围为</w:t>
      </w:r>
      <m:oMath>
        <m:d>
          <m:dPr>
            <m:begChr m:val="["/>
            <m:endChr m:val="]"/>
            <m:ctrlPr>
              <w:rPr>
                <w:rFonts w:ascii="Cambria Math" w:hAnsi="Cambria Math"/>
                <w:lang w:eastAsia="zh-CN"/>
              </w:rPr>
            </m:ctrlPr>
          </m:dPr>
          <m:e>
            <m:r>
              <m:rPr/>
              <w:rPr>
                <w:rFonts w:ascii="Cambria Math" w:hAnsi="Cambria Math"/>
                <w:lang w:eastAsia="zh-CN"/>
              </w:rPr>
              <m:t>0.205</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，包容性列为</w:t>
      </w:r>
      <m:oMath>
        <m:d>
          <m:dPr>
            <m:begChr m:val="["/>
            <m:endChr m:val="]"/>
            <m:ctrlPr>
              <w:rPr>
                <w:rFonts w:ascii="Cambria Math" w:hAnsi="Cambria Math"/>
                <w:lang w:eastAsia="zh-CN"/>
              </w:rPr>
            </m:ctrlPr>
          </m:dPr>
          <m:e>
            <m:r>
              <m:rPr/>
              <w:rPr>
                <w:rFonts w:ascii="Cambria Math" w:hAnsi="Cambria Math"/>
                <w:lang w:eastAsia="zh-CN"/>
              </w:rPr>
              <m:t>0.110</m:t>
            </m:r>
            <m:r>
              <m:rPr>
                <m:sty m:val="p"/>
              </m:rPr>
              <w:rPr>
                <w:rFonts w:ascii="Cambria Math" w:hAnsi="Cambria Math"/>
                <w:lang w:eastAsia="zh-CN"/>
              </w:rPr>
              <m:t>,</m:t>
            </m:r>
            <m:r>
              <m:rPr/>
              <w:rPr>
                <w:rFonts w:ascii="Cambria Math" w:hAnsi="Cambria Math"/>
                <w:lang w:eastAsia="zh-CN"/>
              </w:rPr>
              <m:t>1.000</m:t>
            </m:r>
            <m:ctrlPr>
              <w:rPr>
                <w:rFonts w:ascii="Cambria Math" w:hAnsi="Cambria Math"/>
                <w:lang w:eastAsia="zh-CN"/>
              </w:rPr>
            </m:ctrlPr>
          </m:e>
        </m:d>
      </m:oMath>
      <w:r>
        <w:rPr>
          <w:rFonts w:hint="eastAsia"/>
          <w:lang w:eastAsia="zh-CN"/>
        </w:rPr>
        <w:t>，安全性列为</w:t>
      </w:r>
      <m:oMath>
        <m:d>
          <m:dPr>
            <m:begChr m:val="["/>
            <m:endChr m:val="]"/>
            <m:ctrlPr>
              <w:rPr>
                <w:rFonts w:ascii="Cambria Math" w:hAnsi="Cambria Math"/>
                <w:lang w:eastAsia="zh-CN"/>
              </w:rPr>
            </m:ctrlPr>
          </m:dPr>
          <m:e>
            <m:r>
              <m:rPr/>
              <w:rPr>
                <w:rFonts w:ascii="Cambria Math" w:hAnsi="Cambria Math"/>
                <w:lang w:eastAsia="zh-CN"/>
              </w:rPr>
              <m:t>0.350</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直接用于熵权计算会导致量纲大的指标在数值上占据优势，从而扭曲客观权重的分配。</w:t>
      </w:r>
      <w:r>
        <w:rPr>
          <w:lang w:eastAsia="zh-CN"/>
        </w:rPr>
        <w:t xml:space="preserve"> </w:t>
      </w:r>
      <w:r>
        <w:rPr>
          <w:rFonts w:hint="eastAsia"/>
          <w:lang w:eastAsia="zh-CN"/>
        </w:rPr>
        <w:t>因此必须对</w:t>
      </w:r>
      <m:oMath>
        <m:r>
          <m:rPr/>
          <w:rPr>
            <w:rFonts w:ascii="Cambria Math" w:hAnsi="Cambria Math"/>
            <w:lang w:eastAsia="zh-CN"/>
          </w:rPr>
          <m:t>X</m:t>
        </m:r>
      </m:oMath>
      <w:r>
        <w:rPr>
          <w:rFonts w:hint="eastAsia"/>
          <w:lang w:eastAsia="zh-CN"/>
        </w:rPr>
        <w:t>的每一列（每个维度）独立进行最小-最大归一化处理，</w:t>
      </w:r>
      <w:r>
        <w:rPr>
          <w:lang w:eastAsia="zh-CN"/>
        </w:rPr>
        <w:t xml:space="preserve"> </w:t>
      </w:r>
      <w:r>
        <w:rPr>
          <w:rFonts w:hint="eastAsia"/>
          <w:lang w:eastAsia="zh-CN"/>
        </w:rPr>
        <w:t>消除量纲差异并将所有数据映射到统一的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w:t>
      </w:r>
      <w:r>
        <w:rPr>
          <w:lang w:eastAsia="zh-CN"/>
        </w:rPr>
        <w:t xml:space="preserve"> </w:t>
      </w:r>
      <w:r>
        <w:rPr>
          <w:rFonts w:hint="eastAsia"/>
          <w:lang w:eastAsia="zh-CN"/>
        </w:rPr>
        <w:t>对正向指标，按式</w:t>
      </w:r>
      <w:r>
        <w:fldChar w:fldCharType="begin"/>
      </w:r>
      <w:r>
        <w:instrText xml:space="preserve"> HYPERLINK \l "eq:normalize" \h </w:instrText>
      </w:r>
      <w:r>
        <w:fldChar w:fldCharType="separate"/>
      </w:r>
      <w:r>
        <w:rPr>
          <w:rStyle w:val="32"/>
          <w:color w:val="auto"/>
          <w:lang w:eastAsia="zh-CN"/>
        </w:rPr>
        <w:t>(3.22)</w:t>
      </w:r>
      <w:r>
        <w:rPr>
          <w:rStyle w:val="32"/>
          <w:color w:val="auto"/>
          <w:lang w:eastAsia="zh-CN"/>
        </w:rPr>
        <w:fldChar w:fldCharType="end"/>
      </w:r>
      <w:r>
        <w:rPr>
          <w:rFonts w:hint="eastAsia"/>
          <w:lang w:eastAsia="zh-CN"/>
        </w:rPr>
        <w:t>计算：</w:t>
      </w:r>
    </w:p>
    <w:p w14:paraId="0BA14948">
      <w:pPr>
        <w:pStyle w:val="95"/>
        <w:rPr>
          <w:rFonts w:eastAsiaTheme="minorEastAsia"/>
        </w:rPr>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den>
        </m:f>
        <m:r>
          <m:rPr>
            <m:sty m:val="p"/>
          </m:rPr>
          <w:rPr>
            <w:rFonts w:ascii="Cambria Math" w:hAnsi="Cambria Math"/>
          </w:rPr>
          <m:t xml:space="preserve"> .</m:t>
        </m:r>
      </m:oMath>
      <w:r>
        <w:rPr>
          <w:rFonts w:hint="eastAsia"/>
        </w:rPr>
        <w:t xml:space="preserve"> </w:t>
      </w:r>
      <w:r>
        <w:rPr>
          <w:rFonts w:eastAsiaTheme="minorEastAsia"/>
        </w:rPr>
        <w:tab/>
      </w:r>
      <w:r>
        <w:rPr>
          <w:rFonts w:eastAsiaTheme="minorEastAsia"/>
        </w:rPr>
        <w:tab/>
      </w:r>
      <w:r>
        <w:rPr>
          <w:rFonts w:hint="eastAsia"/>
        </w:rPr>
        <w:t>(4.9)</w:t>
      </w:r>
    </w:p>
    <w:p w14:paraId="6D78823A">
      <w:pPr>
        <w:pStyle w:val="95"/>
        <w:rPr>
          <w:rFonts w:eastAsiaTheme="minorEastAsia"/>
        </w:rPr>
      </w:pPr>
    </w:p>
    <w:p w14:paraId="0829FCC9">
      <w:pPr>
        <w:pStyle w:val="35"/>
        <w:ind w:firstLine="480"/>
        <w:rPr>
          <w:lang w:eastAsia="zh-CN"/>
        </w:rPr>
      </w:pPr>
      <w:r>
        <w:rPr>
          <w:rFonts w:hint="eastAsia"/>
          <w:lang w:eastAsia="zh-CN"/>
        </w:rPr>
        <w:t>以流行度维度为例，该列的最小值为板球的0.205、最大值为电子竞技的0.950，</w:t>
      </w:r>
      <w:r>
        <w:rPr>
          <w:lang w:eastAsia="zh-CN"/>
        </w:rPr>
        <w:t xml:space="preserve"> </w:t>
      </w:r>
      <w:r>
        <w:rPr>
          <w:rFonts w:hint="eastAsia"/>
          <w:lang w:eastAsia="zh-CN"/>
        </w:rPr>
        <w:t>田径的流行度评分0.814经归一化后为</w:t>
      </w:r>
      <m:oMath>
        <m:d>
          <m:dPr>
            <m:ctrlPr>
              <w:rPr>
                <w:rFonts w:ascii="Cambria Math" w:hAnsi="Cambria Math"/>
                <w:lang w:eastAsia="zh-CN"/>
              </w:rPr>
            </m:ctrlPr>
          </m:dPr>
          <m:e>
            <m:r>
              <m:rPr/>
              <w:rPr>
                <w:rFonts w:ascii="Cambria Math" w:hAnsi="Cambria Math"/>
                <w:lang w:eastAsia="zh-CN"/>
              </w:rPr>
              <m:t>0.814</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lit/>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0.950</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sty m:val="p"/>
          </m:rPr>
          <w:rPr>
            <w:rFonts w:ascii="Cambria Math" w:hAnsi="Cambria Math"/>
            <w:lang w:eastAsia="zh-CN"/>
          </w:rPr>
          <m:t>=</m:t>
        </m:r>
        <m:r>
          <m:rPr/>
          <w:rPr>
            <w:rFonts w:ascii="Cambria Math" w:hAnsi="Cambria Math"/>
            <w:lang w:eastAsia="zh-CN"/>
          </w:rPr>
          <m:t>0.817</m:t>
        </m:r>
      </m:oMath>
      <w:r>
        <w:rPr>
          <w:lang w:eastAsia="zh-CN"/>
        </w:rPr>
        <w:t xml:space="preserve">。 </w:t>
      </w:r>
      <w:r>
        <w:rPr>
          <w:rFonts w:hint="eastAsia"/>
          <w:lang w:eastAsia="zh-CN"/>
        </w:rPr>
        <w:t>滑板的安全性评分0.350为该列最小值，归一化后恰好为0；</w:t>
      </w:r>
      <w:r>
        <w:rPr>
          <w:lang w:eastAsia="zh-CN"/>
        </w:rPr>
        <w:t xml:space="preserve"> </w:t>
      </w:r>
      <w:r>
        <w:rPr>
          <w:rFonts w:hint="eastAsia"/>
          <w:lang w:eastAsia="zh-CN"/>
        </w:rPr>
        <w:t>电子竞技的安全性评分0.950为最大值，归一化后恰好为1。</w:t>
      </w:r>
      <w:r>
        <w:rPr>
          <w:lang w:eastAsia="zh-CN"/>
        </w:rPr>
        <w:t xml:space="preserve"> </w:t>
      </w:r>
      <w:r>
        <w:rPr>
          <w:rFonts w:hint="eastAsia"/>
          <w:lang w:eastAsia="zh-CN"/>
        </w:rPr>
        <w:t>各维度经标准化后的决策矩阵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如表4.3所示。</w:t>
      </w:r>
    </w:p>
    <w:p w14:paraId="748D90E4">
      <w:pPr>
        <w:pStyle w:val="102"/>
      </w:pPr>
      <w:bookmarkStart w:id="111" w:name="_tab_normalized"/>
      <w:r>
        <w:t>表4.3：标准化决策矩阵</w:t>
      </w:r>
      <w:bookmarkEnd w:id="111"/>
    </w:p>
    <w:tbl>
      <w:tblPr>
        <w:tblStyle w:val="30"/>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7DE0A45D">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4DD365C3">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41F3D344">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41FCA0FC">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3B8AFC1">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2F3B282D">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0B810E82">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711641A1">
            <w:r>
              <w:rPr>
                <w:rFonts w:hint="eastAsia" w:ascii="宋体" w:hAnsi="宋体" w:eastAsia="宋体" w:cs="宋体"/>
              </w:rPr>
              <w:t>安全性</w:t>
            </w:r>
          </w:p>
        </w:tc>
      </w:tr>
      <w:tr w14:paraId="35756E27">
        <w:tblPrEx>
          <w:tblCellMar>
            <w:top w:w="0" w:type="dxa"/>
            <w:left w:w="108" w:type="dxa"/>
            <w:bottom w:w="0" w:type="dxa"/>
            <w:right w:w="108" w:type="dxa"/>
          </w:tblCellMar>
        </w:tblPrEx>
        <w:tc>
          <w:tcPr>
            <w:tcW w:w="858" w:type="pct"/>
            <w:tcBorders>
              <w:left w:val="nil"/>
              <w:right w:val="nil"/>
            </w:tcBorders>
          </w:tcPr>
          <w:p w14:paraId="2E0E6CC3">
            <w:r>
              <w:rPr>
                <w:rFonts w:hint="eastAsia" w:ascii="宋体" w:hAnsi="宋体" w:eastAsia="宋体" w:cs="宋体"/>
              </w:rPr>
              <w:t>田径</w:t>
            </w:r>
          </w:p>
        </w:tc>
        <w:tc>
          <w:tcPr>
            <w:tcW w:w="650" w:type="pct"/>
            <w:tcBorders>
              <w:left w:val="nil"/>
              <w:right w:val="nil"/>
            </w:tcBorders>
          </w:tcPr>
          <w:p w14:paraId="7A6F3ABF">
            <w:r>
              <w:rPr>
                <w:rFonts w:eastAsia="Song"/>
              </w:rPr>
              <w:t>0.817</w:t>
            </w:r>
          </w:p>
        </w:tc>
        <w:tc>
          <w:tcPr>
            <w:tcW w:w="772" w:type="pct"/>
            <w:tcBorders>
              <w:left w:val="nil"/>
              <w:right w:val="nil"/>
            </w:tcBorders>
          </w:tcPr>
          <w:p w14:paraId="182D9D49">
            <w:r>
              <w:rPr>
                <w:rFonts w:eastAsia="Song"/>
              </w:rPr>
              <w:t>0.767</w:t>
            </w:r>
          </w:p>
        </w:tc>
        <w:tc>
          <w:tcPr>
            <w:tcW w:w="772" w:type="pct"/>
            <w:tcBorders>
              <w:left w:val="nil"/>
              <w:right w:val="nil"/>
            </w:tcBorders>
          </w:tcPr>
          <w:p w14:paraId="28F7C294">
            <w:r>
              <w:rPr>
                <w:rFonts w:eastAsia="Song"/>
              </w:rPr>
              <w:t>1.000</w:t>
            </w:r>
          </w:p>
        </w:tc>
        <w:tc>
          <w:tcPr>
            <w:tcW w:w="650" w:type="pct"/>
            <w:tcBorders>
              <w:left w:val="nil"/>
              <w:right w:val="nil"/>
            </w:tcBorders>
          </w:tcPr>
          <w:p w14:paraId="43F05F10">
            <w:r>
              <w:rPr>
                <w:rFonts w:eastAsia="Song"/>
              </w:rPr>
              <w:t>1.000</w:t>
            </w:r>
          </w:p>
        </w:tc>
        <w:tc>
          <w:tcPr>
            <w:tcW w:w="650" w:type="pct"/>
            <w:tcBorders>
              <w:left w:val="nil"/>
              <w:right w:val="nil"/>
            </w:tcBorders>
          </w:tcPr>
          <w:p w14:paraId="777BC499">
            <w:r>
              <w:rPr>
                <w:rFonts w:eastAsia="Song"/>
              </w:rPr>
              <w:t>0.004</w:t>
            </w:r>
          </w:p>
        </w:tc>
        <w:tc>
          <w:tcPr>
            <w:tcW w:w="650" w:type="pct"/>
            <w:tcBorders>
              <w:left w:val="nil"/>
              <w:right w:val="nil"/>
            </w:tcBorders>
          </w:tcPr>
          <w:p w14:paraId="62320EFA">
            <w:r>
              <w:rPr>
                <w:rFonts w:eastAsia="Song"/>
              </w:rPr>
              <w:t>0.667</w:t>
            </w:r>
          </w:p>
        </w:tc>
      </w:tr>
      <w:tr w14:paraId="19DD1AF9">
        <w:tblPrEx>
          <w:tblCellMar>
            <w:top w:w="0" w:type="dxa"/>
            <w:left w:w="108" w:type="dxa"/>
            <w:bottom w:w="0" w:type="dxa"/>
            <w:right w:w="108" w:type="dxa"/>
          </w:tblCellMar>
        </w:tblPrEx>
        <w:tc>
          <w:tcPr>
            <w:tcW w:w="858" w:type="pct"/>
            <w:tcBorders>
              <w:left w:val="nil"/>
              <w:right w:val="nil"/>
            </w:tcBorders>
          </w:tcPr>
          <w:p w14:paraId="750FA622">
            <w:r>
              <w:rPr>
                <w:rFonts w:hint="eastAsia" w:ascii="宋体" w:hAnsi="宋体" w:eastAsia="宋体" w:cs="宋体"/>
              </w:rPr>
              <w:t>游泳</w:t>
            </w:r>
          </w:p>
        </w:tc>
        <w:tc>
          <w:tcPr>
            <w:tcW w:w="650" w:type="pct"/>
            <w:tcBorders>
              <w:left w:val="nil"/>
              <w:right w:val="nil"/>
            </w:tcBorders>
          </w:tcPr>
          <w:p w14:paraId="746549A1">
            <w:r>
              <w:rPr>
                <w:rFonts w:eastAsia="Song"/>
              </w:rPr>
              <w:t>0.503</w:t>
            </w:r>
          </w:p>
        </w:tc>
        <w:tc>
          <w:tcPr>
            <w:tcW w:w="772" w:type="pct"/>
            <w:tcBorders>
              <w:left w:val="nil"/>
              <w:right w:val="nil"/>
            </w:tcBorders>
          </w:tcPr>
          <w:p w14:paraId="6CC69940">
            <w:r>
              <w:rPr>
                <w:rFonts w:eastAsia="Song"/>
              </w:rPr>
              <w:t>1.000</w:t>
            </w:r>
          </w:p>
        </w:tc>
        <w:tc>
          <w:tcPr>
            <w:tcW w:w="772" w:type="pct"/>
            <w:tcBorders>
              <w:left w:val="nil"/>
              <w:right w:val="nil"/>
            </w:tcBorders>
          </w:tcPr>
          <w:p w14:paraId="19F21E85">
            <w:r>
              <w:rPr>
                <w:rFonts w:eastAsia="Song"/>
              </w:rPr>
              <w:t>0.475</w:t>
            </w:r>
          </w:p>
        </w:tc>
        <w:tc>
          <w:tcPr>
            <w:tcW w:w="650" w:type="pct"/>
            <w:tcBorders>
              <w:left w:val="nil"/>
              <w:right w:val="nil"/>
            </w:tcBorders>
          </w:tcPr>
          <w:p w14:paraId="788987F0">
            <w:r>
              <w:rPr>
                <w:rFonts w:eastAsia="Song"/>
              </w:rPr>
              <w:t>0.362</w:t>
            </w:r>
          </w:p>
        </w:tc>
        <w:tc>
          <w:tcPr>
            <w:tcW w:w="650" w:type="pct"/>
            <w:tcBorders>
              <w:left w:val="nil"/>
              <w:right w:val="nil"/>
            </w:tcBorders>
          </w:tcPr>
          <w:p w14:paraId="4F310829">
            <w:r>
              <w:rPr>
                <w:rFonts w:eastAsia="Song"/>
              </w:rPr>
              <w:t>0.404</w:t>
            </w:r>
          </w:p>
        </w:tc>
        <w:tc>
          <w:tcPr>
            <w:tcW w:w="650" w:type="pct"/>
            <w:tcBorders>
              <w:left w:val="nil"/>
              <w:right w:val="nil"/>
            </w:tcBorders>
          </w:tcPr>
          <w:p w14:paraId="2712DE0B">
            <w:r>
              <w:rPr>
                <w:rFonts w:eastAsia="Song"/>
              </w:rPr>
              <w:t>0.883</w:t>
            </w:r>
          </w:p>
        </w:tc>
      </w:tr>
      <w:tr w14:paraId="156C97BC">
        <w:tblPrEx>
          <w:tblCellMar>
            <w:top w:w="0" w:type="dxa"/>
            <w:left w:w="108" w:type="dxa"/>
            <w:bottom w:w="0" w:type="dxa"/>
            <w:right w:w="108" w:type="dxa"/>
          </w:tblCellMar>
        </w:tblPrEx>
        <w:tc>
          <w:tcPr>
            <w:tcW w:w="858" w:type="pct"/>
            <w:tcBorders>
              <w:left w:val="nil"/>
              <w:right w:val="nil"/>
            </w:tcBorders>
          </w:tcPr>
          <w:p w14:paraId="5260872A">
            <w:r>
              <w:rPr>
                <w:rFonts w:hint="eastAsia" w:ascii="宋体" w:hAnsi="宋体" w:eastAsia="宋体" w:cs="宋体"/>
              </w:rPr>
              <w:t>足球</w:t>
            </w:r>
          </w:p>
        </w:tc>
        <w:tc>
          <w:tcPr>
            <w:tcW w:w="650" w:type="pct"/>
            <w:tcBorders>
              <w:left w:val="nil"/>
              <w:right w:val="nil"/>
            </w:tcBorders>
          </w:tcPr>
          <w:p w14:paraId="5C2E45C0">
            <w:r>
              <w:rPr>
                <w:rFonts w:eastAsia="Song"/>
              </w:rPr>
              <w:t>0.654</w:t>
            </w:r>
          </w:p>
        </w:tc>
        <w:tc>
          <w:tcPr>
            <w:tcW w:w="772" w:type="pct"/>
            <w:tcBorders>
              <w:left w:val="nil"/>
              <w:right w:val="nil"/>
            </w:tcBorders>
          </w:tcPr>
          <w:p w14:paraId="7636BB60">
            <w:r>
              <w:rPr>
                <w:rFonts w:eastAsia="Song"/>
              </w:rPr>
              <w:t>0.500</w:t>
            </w:r>
          </w:p>
        </w:tc>
        <w:tc>
          <w:tcPr>
            <w:tcW w:w="772" w:type="pct"/>
            <w:tcBorders>
              <w:left w:val="nil"/>
              <w:right w:val="nil"/>
            </w:tcBorders>
          </w:tcPr>
          <w:p w14:paraId="2CBF4FE8">
            <w:r>
              <w:rPr>
                <w:rFonts w:eastAsia="Song"/>
              </w:rPr>
              <w:t>0.516</w:t>
            </w:r>
          </w:p>
        </w:tc>
        <w:tc>
          <w:tcPr>
            <w:tcW w:w="650" w:type="pct"/>
            <w:tcBorders>
              <w:left w:val="nil"/>
              <w:right w:val="nil"/>
            </w:tcBorders>
          </w:tcPr>
          <w:p w14:paraId="42693ED7">
            <w:r>
              <w:rPr>
                <w:rFonts w:eastAsia="Song"/>
              </w:rPr>
              <w:t>0.726</w:t>
            </w:r>
          </w:p>
        </w:tc>
        <w:tc>
          <w:tcPr>
            <w:tcW w:w="650" w:type="pct"/>
            <w:tcBorders>
              <w:left w:val="nil"/>
              <w:right w:val="nil"/>
            </w:tcBorders>
          </w:tcPr>
          <w:p w14:paraId="5A9C837D">
            <w:r>
              <w:rPr>
                <w:rFonts w:eastAsia="Song"/>
              </w:rPr>
              <w:t>0.000</w:t>
            </w:r>
          </w:p>
        </w:tc>
        <w:tc>
          <w:tcPr>
            <w:tcW w:w="650" w:type="pct"/>
            <w:tcBorders>
              <w:left w:val="nil"/>
              <w:right w:val="nil"/>
            </w:tcBorders>
          </w:tcPr>
          <w:p w14:paraId="416D33E4">
            <w:r>
              <w:rPr>
                <w:rFonts w:eastAsia="Song"/>
              </w:rPr>
              <w:t>0.250</w:t>
            </w:r>
          </w:p>
        </w:tc>
      </w:tr>
      <w:tr w14:paraId="05E8AEB4">
        <w:tblPrEx>
          <w:tblCellMar>
            <w:top w:w="0" w:type="dxa"/>
            <w:left w:w="108" w:type="dxa"/>
            <w:bottom w:w="0" w:type="dxa"/>
            <w:right w:w="108" w:type="dxa"/>
          </w:tblCellMar>
        </w:tblPrEx>
        <w:tc>
          <w:tcPr>
            <w:tcW w:w="858" w:type="pct"/>
            <w:tcBorders>
              <w:left w:val="nil"/>
              <w:right w:val="nil"/>
            </w:tcBorders>
          </w:tcPr>
          <w:p w14:paraId="0205BBFA">
            <w:r>
              <w:rPr>
                <w:rFonts w:hint="eastAsia" w:ascii="宋体" w:hAnsi="宋体" w:eastAsia="宋体" w:cs="宋体"/>
              </w:rPr>
              <w:t>篮球</w:t>
            </w:r>
          </w:p>
        </w:tc>
        <w:tc>
          <w:tcPr>
            <w:tcW w:w="650" w:type="pct"/>
            <w:tcBorders>
              <w:left w:val="nil"/>
              <w:right w:val="nil"/>
            </w:tcBorders>
          </w:tcPr>
          <w:p w14:paraId="31090D89">
            <w:r>
              <w:rPr>
                <w:rFonts w:eastAsia="Song"/>
              </w:rPr>
              <w:t>0.400</w:t>
            </w:r>
          </w:p>
        </w:tc>
        <w:tc>
          <w:tcPr>
            <w:tcW w:w="772" w:type="pct"/>
            <w:tcBorders>
              <w:left w:val="nil"/>
              <w:right w:val="nil"/>
            </w:tcBorders>
          </w:tcPr>
          <w:p w14:paraId="4358FE96">
            <w:r>
              <w:rPr>
                <w:rFonts w:eastAsia="Song"/>
              </w:rPr>
              <w:t>0.900</w:t>
            </w:r>
          </w:p>
        </w:tc>
        <w:tc>
          <w:tcPr>
            <w:tcW w:w="772" w:type="pct"/>
            <w:tcBorders>
              <w:left w:val="nil"/>
              <w:right w:val="nil"/>
            </w:tcBorders>
          </w:tcPr>
          <w:p w14:paraId="482BABB7">
            <w:r>
              <w:rPr>
                <w:rFonts w:eastAsia="Song"/>
              </w:rPr>
              <w:t>0.277</w:t>
            </w:r>
          </w:p>
        </w:tc>
        <w:tc>
          <w:tcPr>
            <w:tcW w:w="650" w:type="pct"/>
            <w:tcBorders>
              <w:left w:val="nil"/>
              <w:right w:val="nil"/>
            </w:tcBorders>
          </w:tcPr>
          <w:p w14:paraId="4E67628C">
            <w:r>
              <w:rPr>
                <w:rFonts w:eastAsia="Song"/>
              </w:rPr>
              <w:t>0.179</w:t>
            </w:r>
          </w:p>
        </w:tc>
        <w:tc>
          <w:tcPr>
            <w:tcW w:w="650" w:type="pct"/>
            <w:tcBorders>
              <w:left w:val="nil"/>
              <w:right w:val="nil"/>
            </w:tcBorders>
          </w:tcPr>
          <w:p w14:paraId="6F3C713E">
            <w:r>
              <w:rPr>
                <w:rFonts w:eastAsia="Song"/>
              </w:rPr>
              <w:t>0.985</w:t>
            </w:r>
          </w:p>
        </w:tc>
        <w:tc>
          <w:tcPr>
            <w:tcW w:w="650" w:type="pct"/>
            <w:tcBorders>
              <w:left w:val="nil"/>
              <w:right w:val="nil"/>
            </w:tcBorders>
          </w:tcPr>
          <w:p w14:paraId="7CD1564C">
            <w:r>
              <w:rPr>
                <w:rFonts w:eastAsia="Song"/>
              </w:rPr>
              <w:t>0.333</w:t>
            </w:r>
          </w:p>
        </w:tc>
      </w:tr>
      <w:tr w14:paraId="08AA1A64">
        <w:tblPrEx>
          <w:tblCellMar>
            <w:top w:w="0" w:type="dxa"/>
            <w:left w:w="108" w:type="dxa"/>
            <w:bottom w:w="0" w:type="dxa"/>
            <w:right w:w="108" w:type="dxa"/>
          </w:tblCellMar>
        </w:tblPrEx>
        <w:tc>
          <w:tcPr>
            <w:tcW w:w="858" w:type="pct"/>
            <w:tcBorders>
              <w:left w:val="nil"/>
              <w:right w:val="nil"/>
            </w:tcBorders>
          </w:tcPr>
          <w:p w14:paraId="4A82E411">
            <w:r>
              <w:rPr>
                <w:rFonts w:hint="eastAsia" w:ascii="宋体" w:hAnsi="宋体" w:eastAsia="宋体" w:cs="宋体"/>
              </w:rPr>
              <w:t>攀岩</w:t>
            </w:r>
          </w:p>
        </w:tc>
        <w:tc>
          <w:tcPr>
            <w:tcW w:w="650" w:type="pct"/>
            <w:tcBorders>
              <w:left w:val="nil"/>
              <w:right w:val="nil"/>
            </w:tcBorders>
          </w:tcPr>
          <w:p w14:paraId="1A742E41">
            <w:r>
              <w:rPr>
                <w:rFonts w:eastAsia="Song"/>
              </w:rPr>
              <w:t>0.193</w:t>
            </w:r>
          </w:p>
        </w:tc>
        <w:tc>
          <w:tcPr>
            <w:tcW w:w="772" w:type="pct"/>
            <w:tcBorders>
              <w:left w:val="nil"/>
              <w:right w:val="nil"/>
            </w:tcBorders>
          </w:tcPr>
          <w:p w14:paraId="761F316D">
            <w:r>
              <w:rPr>
                <w:rFonts w:eastAsia="Song"/>
              </w:rPr>
              <w:t>0.833</w:t>
            </w:r>
          </w:p>
        </w:tc>
        <w:tc>
          <w:tcPr>
            <w:tcW w:w="772" w:type="pct"/>
            <w:tcBorders>
              <w:left w:val="nil"/>
              <w:right w:val="nil"/>
            </w:tcBorders>
          </w:tcPr>
          <w:p w14:paraId="25B81D2F">
            <w:r>
              <w:rPr>
                <w:rFonts w:eastAsia="Song"/>
              </w:rPr>
              <w:t>0.149</w:t>
            </w:r>
          </w:p>
        </w:tc>
        <w:tc>
          <w:tcPr>
            <w:tcW w:w="650" w:type="pct"/>
            <w:tcBorders>
              <w:left w:val="nil"/>
              <w:right w:val="nil"/>
            </w:tcBorders>
          </w:tcPr>
          <w:p w14:paraId="23444DD9">
            <w:r>
              <w:rPr>
                <w:rFonts w:eastAsia="Song"/>
              </w:rPr>
              <w:t>0.207</w:t>
            </w:r>
          </w:p>
        </w:tc>
        <w:tc>
          <w:tcPr>
            <w:tcW w:w="650" w:type="pct"/>
            <w:tcBorders>
              <w:left w:val="nil"/>
              <w:right w:val="nil"/>
            </w:tcBorders>
          </w:tcPr>
          <w:p w14:paraId="0E6B3309">
            <w:r>
              <w:rPr>
                <w:rFonts w:eastAsia="Song"/>
              </w:rPr>
              <w:t>0.985</w:t>
            </w:r>
          </w:p>
        </w:tc>
        <w:tc>
          <w:tcPr>
            <w:tcW w:w="650" w:type="pct"/>
            <w:tcBorders>
              <w:left w:val="nil"/>
              <w:right w:val="nil"/>
            </w:tcBorders>
          </w:tcPr>
          <w:p w14:paraId="41919266">
            <w:r>
              <w:rPr>
                <w:rFonts w:eastAsia="Song"/>
              </w:rPr>
              <w:t>0.833</w:t>
            </w:r>
          </w:p>
        </w:tc>
      </w:tr>
      <w:tr w14:paraId="007F3446">
        <w:tblPrEx>
          <w:tblCellMar>
            <w:top w:w="0" w:type="dxa"/>
            <w:left w:w="108" w:type="dxa"/>
            <w:bottom w:w="0" w:type="dxa"/>
            <w:right w:w="108" w:type="dxa"/>
          </w:tblCellMar>
        </w:tblPrEx>
        <w:tc>
          <w:tcPr>
            <w:tcW w:w="858" w:type="pct"/>
            <w:tcBorders>
              <w:left w:val="nil"/>
              <w:right w:val="nil"/>
            </w:tcBorders>
          </w:tcPr>
          <w:p w14:paraId="00C31ED0">
            <w:r>
              <w:rPr>
                <w:rFonts w:hint="eastAsia" w:ascii="宋体" w:hAnsi="宋体" w:eastAsia="宋体" w:cs="宋体"/>
              </w:rPr>
              <w:t>滑板</w:t>
            </w:r>
          </w:p>
        </w:tc>
        <w:tc>
          <w:tcPr>
            <w:tcW w:w="650" w:type="pct"/>
            <w:tcBorders>
              <w:left w:val="nil"/>
              <w:right w:val="nil"/>
            </w:tcBorders>
          </w:tcPr>
          <w:p w14:paraId="5881B2AE">
            <w:r>
              <w:rPr>
                <w:rFonts w:eastAsia="Song"/>
              </w:rPr>
              <w:t>0.254</w:t>
            </w:r>
          </w:p>
        </w:tc>
        <w:tc>
          <w:tcPr>
            <w:tcW w:w="772" w:type="pct"/>
            <w:tcBorders>
              <w:left w:val="nil"/>
              <w:right w:val="nil"/>
            </w:tcBorders>
          </w:tcPr>
          <w:p w14:paraId="02B0A1FF">
            <w:r>
              <w:rPr>
                <w:rFonts w:eastAsia="Song"/>
              </w:rPr>
              <w:t>0.833</w:t>
            </w:r>
          </w:p>
        </w:tc>
        <w:tc>
          <w:tcPr>
            <w:tcW w:w="772" w:type="pct"/>
            <w:tcBorders>
              <w:left w:val="nil"/>
              <w:right w:val="nil"/>
            </w:tcBorders>
          </w:tcPr>
          <w:p w14:paraId="4D4357FA">
            <w:r>
              <w:rPr>
                <w:rFonts w:eastAsia="Song"/>
              </w:rPr>
              <w:t>0.277</w:t>
            </w:r>
          </w:p>
        </w:tc>
        <w:tc>
          <w:tcPr>
            <w:tcW w:w="650" w:type="pct"/>
            <w:tcBorders>
              <w:left w:val="nil"/>
              <w:right w:val="nil"/>
            </w:tcBorders>
          </w:tcPr>
          <w:p w14:paraId="2B92EF56">
            <w:r>
              <w:rPr>
                <w:rFonts w:eastAsia="Song"/>
              </w:rPr>
              <w:t>0.207</w:t>
            </w:r>
          </w:p>
        </w:tc>
        <w:tc>
          <w:tcPr>
            <w:tcW w:w="650" w:type="pct"/>
            <w:tcBorders>
              <w:left w:val="nil"/>
              <w:right w:val="nil"/>
            </w:tcBorders>
          </w:tcPr>
          <w:p w14:paraId="3EF474BC">
            <w:r>
              <w:rPr>
                <w:rFonts w:eastAsia="Song"/>
              </w:rPr>
              <w:t>0.985</w:t>
            </w:r>
          </w:p>
        </w:tc>
        <w:tc>
          <w:tcPr>
            <w:tcW w:w="650" w:type="pct"/>
            <w:tcBorders>
              <w:left w:val="nil"/>
              <w:right w:val="nil"/>
            </w:tcBorders>
          </w:tcPr>
          <w:p w14:paraId="432F1681">
            <w:r>
              <w:rPr>
                <w:rFonts w:eastAsia="Song"/>
              </w:rPr>
              <w:t>0.000</w:t>
            </w:r>
          </w:p>
        </w:tc>
      </w:tr>
      <w:tr w14:paraId="723DAC45">
        <w:tblPrEx>
          <w:tblCellMar>
            <w:top w:w="0" w:type="dxa"/>
            <w:left w:w="108" w:type="dxa"/>
            <w:bottom w:w="0" w:type="dxa"/>
            <w:right w:w="108" w:type="dxa"/>
          </w:tblCellMar>
        </w:tblPrEx>
        <w:tc>
          <w:tcPr>
            <w:tcW w:w="858" w:type="pct"/>
            <w:tcBorders>
              <w:left w:val="nil"/>
              <w:right w:val="nil"/>
            </w:tcBorders>
          </w:tcPr>
          <w:p w14:paraId="2B051A01">
            <w:r>
              <w:rPr>
                <w:rFonts w:hint="eastAsia" w:ascii="宋体" w:hAnsi="宋体" w:eastAsia="宋体" w:cs="宋体"/>
              </w:rPr>
              <w:t>冲浪</w:t>
            </w:r>
          </w:p>
        </w:tc>
        <w:tc>
          <w:tcPr>
            <w:tcW w:w="650" w:type="pct"/>
            <w:tcBorders>
              <w:left w:val="nil"/>
              <w:right w:val="nil"/>
            </w:tcBorders>
          </w:tcPr>
          <w:p w14:paraId="7DC35128">
            <w:r>
              <w:rPr>
                <w:rFonts w:eastAsia="Song"/>
              </w:rPr>
              <w:t>0.220</w:t>
            </w:r>
          </w:p>
        </w:tc>
        <w:tc>
          <w:tcPr>
            <w:tcW w:w="772" w:type="pct"/>
            <w:tcBorders>
              <w:left w:val="nil"/>
              <w:right w:val="nil"/>
            </w:tcBorders>
          </w:tcPr>
          <w:p w14:paraId="490D6B19">
            <w:r>
              <w:rPr>
                <w:rFonts w:eastAsia="Song"/>
              </w:rPr>
              <w:t>0.833</w:t>
            </w:r>
          </w:p>
        </w:tc>
        <w:tc>
          <w:tcPr>
            <w:tcW w:w="772" w:type="pct"/>
            <w:tcBorders>
              <w:left w:val="nil"/>
              <w:right w:val="nil"/>
            </w:tcBorders>
          </w:tcPr>
          <w:p w14:paraId="22D26E2F">
            <w:r>
              <w:rPr>
                <w:rFonts w:eastAsia="Song"/>
              </w:rPr>
              <w:t>0.277</w:t>
            </w:r>
          </w:p>
        </w:tc>
        <w:tc>
          <w:tcPr>
            <w:tcW w:w="650" w:type="pct"/>
            <w:tcBorders>
              <w:left w:val="nil"/>
              <w:right w:val="nil"/>
            </w:tcBorders>
          </w:tcPr>
          <w:p w14:paraId="7DD9BB37">
            <w:r>
              <w:rPr>
                <w:rFonts w:eastAsia="Song"/>
              </w:rPr>
              <w:t>0.179</w:t>
            </w:r>
          </w:p>
        </w:tc>
        <w:tc>
          <w:tcPr>
            <w:tcW w:w="650" w:type="pct"/>
            <w:tcBorders>
              <w:left w:val="nil"/>
              <w:right w:val="nil"/>
            </w:tcBorders>
          </w:tcPr>
          <w:p w14:paraId="24F02B63">
            <w:r>
              <w:rPr>
                <w:rFonts w:eastAsia="Song"/>
              </w:rPr>
              <w:t>0.985</w:t>
            </w:r>
          </w:p>
        </w:tc>
        <w:tc>
          <w:tcPr>
            <w:tcW w:w="650" w:type="pct"/>
            <w:tcBorders>
              <w:left w:val="nil"/>
              <w:right w:val="nil"/>
            </w:tcBorders>
          </w:tcPr>
          <w:p w14:paraId="2CBD38ED">
            <w:r>
              <w:rPr>
                <w:rFonts w:eastAsia="Song"/>
              </w:rPr>
              <w:t>0.750</w:t>
            </w:r>
          </w:p>
        </w:tc>
      </w:tr>
      <w:tr w14:paraId="5D11A498">
        <w:tblPrEx>
          <w:tblCellMar>
            <w:top w:w="0" w:type="dxa"/>
            <w:left w:w="108" w:type="dxa"/>
            <w:bottom w:w="0" w:type="dxa"/>
            <w:right w:w="108" w:type="dxa"/>
          </w:tblCellMar>
        </w:tblPrEx>
        <w:tc>
          <w:tcPr>
            <w:tcW w:w="858" w:type="pct"/>
            <w:tcBorders>
              <w:left w:val="nil"/>
              <w:right w:val="nil"/>
            </w:tcBorders>
          </w:tcPr>
          <w:p w14:paraId="4306BA8B">
            <w:r>
              <w:rPr>
                <w:rFonts w:hint="eastAsia" w:ascii="宋体" w:hAnsi="宋体" w:eastAsia="宋体" w:cs="宋体"/>
              </w:rPr>
              <w:t>霹雳舞</w:t>
            </w:r>
          </w:p>
        </w:tc>
        <w:tc>
          <w:tcPr>
            <w:tcW w:w="650" w:type="pct"/>
            <w:tcBorders>
              <w:left w:val="nil"/>
              <w:right w:val="nil"/>
            </w:tcBorders>
          </w:tcPr>
          <w:p w14:paraId="742F3A7D">
            <w:r>
              <w:rPr>
                <w:rFonts w:eastAsia="Song"/>
              </w:rPr>
              <w:t>0.164</w:t>
            </w:r>
          </w:p>
        </w:tc>
        <w:tc>
          <w:tcPr>
            <w:tcW w:w="772" w:type="pct"/>
            <w:tcBorders>
              <w:left w:val="nil"/>
              <w:right w:val="nil"/>
            </w:tcBorders>
          </w:tcPr>
          <w:p w14:paraId="52E3BF00">
            <w:r>
              <w:rPr>
                <w:rFonts w:eastAsia="Song"/>
              </w:rPr>
              <w:t>0.900</w:t>
            </w:r>
          </w:p>
        </w:tc>
        <w:tc>
          <w:tcPr>
            <w:tcW w:w="772" w:type="pct"/>
            <w:tcBorders>
              <w:left w:val="nil"/>
              <w:right w:val="nil"/>
            </w:tcBorders>
          </w:tcPr>
          <w:p w14:paraId="06234AEE">
            <w:r>
              <w:rPr>
                <w:rFonts w:eastAsia="Song"/>
              </w:rPr>
              <w:t>0.000</w:t>
            </w:r>
          </w:p>
        </w:tc>
        <w:tc>
          <w:tcPr>
            <w:tcW w:w="650" w:type="pct"/>
            <w:tcBorders>
              <w:left w:val="nil"/>
              <w:right w:val="nil"/>
            </w:tcBorders>
          </w:tcPr>
          <w:p w14:paraId="12FE3D78">
            <w:r>
              <w:rPr>
                <w:rFonts w:eastAsia="Song"/>
              </w:rPr>
              <w:t>0.000</w:t>
            </w:r>
          </w:p>
        </w:tc>
        <w:tc>
          <w:tcPr>
            <w:tcW w:w="650" w:type="pct"/>
            <w:tcBorders>
              <w:left w:val="nil"/>
              <w:right w:val="nil"/>
            </w:tcBorders>
          </w:tcPr>
          <w:p w14:paraId="3E88D021">
            <w:r>
              <w:rPr>
                <w:rFonts w:eastAsia="Song"/>
              </w:rPr>
              <w:t>1.000</w:t>
            </w:r>
          </w:p>
        </w:tc>
        <w:tc>
          <w:tcPr>
            <w:tcW w:w="650" w:type="pct"/>
            <w:tcBorders>
              <w:left w:val="nil"/>
              <w:right w:val="nil"/>
            </w:tcBorders>
          </w:tcPr>
          <w:p w14:paraId="21A549EC">
            <w:r>
              <w:rPr>
                <w:rFonts w:eastAsia="Song"/>
              </w:rPr>
              <w:t>0.583</w:t>
            </w:r>
          </w:p>
        </w:tc>
      </w:tr>
      <w:tr w14:paraId="554A2591">
        <w:tblPrEx>
          <w:tblCellMar>
            <w:top w:w="0" w:type="dxa"/>
            <w:left w:w="108" w:type="dxa"/>
            <w:bottom w:w="0" w:type="dxa"/>
            <w:right w:w="108" w:type="dxa"/>
          </w:tblCellMar>
        </w:tblPrEx>
        <w:tc>
          <w:tcPr>
            <w:tcW w:w="858" w:type="pct"/>
            <w:tcBorders>
              <w:left w:val="nil"/>
              <w:right w:val="nil"/>
            </w:tcBorders>
          </w:tcPr>
          <w:p w14:paraId="08E44E76">
            <w:r>
              <w:rPr>
                <w:rFonts w:hint="eastAsia" w:ascii="宋体" w:hAnsi="宋体" w:eastAsia="宋体" w:cs="宋体"/>
              </w:rPr>
              <w:t>电子竞技</w:t>
            </w:r>
          </w:p>
        </w:tc>
        <w:tc>
          <w:tcPr>
            <w:tcW w:w="650" w:type="pct"/>
            <w:tcBorders>
              <w:left w:val="nil"/>
              <w:right w:val="nil"/>
            </w:tcBorders>
          </w:tcPr>
          <w:p w14:paraId="39A2C648">
            <w:r>
              <w:rPr>
                <w:rFonts w:eastAsia="Song"/>
              </w:rPr>
              <w:t>1.000</w:t>
            </w:r>
          </w:p>
        </w:tc>
        <w:tc>
          <w:tcPr>
            <w:tcW w:w="772" w:type="pct"/>
            <w:tcBorders>
              <w:left w:val="nil"/>
              <w:right w:val="nil"/>
            </w:tcBorders>
          </w:tcPr>
          <w:p w14:paraId="349D8196">
            <w:r>
              <w:rPr>
                <w:rFonts w:eastAsia="Song"/>
              </w:rPr>
              <w:t>0.000</w:t>
            </w:r>
          </w:p>
        </w:tc>
        <w:tc>
          <w:tcPr>
            <w:tcW w:w="772" w:type="pct"/>
            <w:tcBorders>
              <w:left w:val="nil"/>
              <w:right w:val="nil"/>
            </w:tcBorders>
          </w:tcPr>
          <w:p w14:paraId="198131A2">
            <w:r>
              <w:rPr>
                <w:rFonts w:eastAsia="Song"/>
              </w:rPr>
              <w:t>0.769</w:t>
            </w:r>
          </w:p>
        </w:tc>
        <w:tc>
          <w:tcPr>
            <w:tcW w:w="650" w:type="pct"/>
            <w:tcBorders>
              <w:left w:val="nil"/>
              <w:right w:val="nil"/>
            </w:tcBorders>
          </w:tcPr>
          <w:p w14:paraId="0C59DB09">
            <w:r>
              <w:rPr>
                <w:rFonts w:eastAsia="Song"/>
              </w:rPr>
              <w:t>0.494</w:t>
            </w:r>
          </w:p>
        </w:tc>
        <w:tc>
          <w:tcPr>
            <w:tcW w:w="650" w:type="pct"/>
            <w:tcBorders>
              <w:left w:val="nil"/>
              <w:right w:val="nil"/>
            </w:tcBorders>
          </w:tcPr>
          <w:p w14:paraId="6E34B12C">
            <w:r>
              <w:rPr>
                <w:rFonts w:eastAsia="Song"/>
              </w:rPr>
              <w:t>1.000</w:t>
            </w:r>
          </w:p>
        </w:tc>
        <w:tc>
          <w:tcPr>
            <w:tcW w:w="650" w:type="pct"/>
            <w:tcBorders>
              <w:left w:val="nil"/>
              <w:right w:val="nil"/>
            </w:tcBorders>
          </w:tcPr>
          <w:p w14:paraId="767DDB12">
            <w:r>
              <w:rPr>
                <w:rFonts w:eastAsia="Song"/>
              </w:rPr>
              <w:t>1.000</w:t>
            </w:r>
          </w:p>
        </w:tc>
      </w:tr>
      <w:tr w14:paraId="1F864D19">
        <w:tblPrEx>
          <w:tblCellMar>
            <w:top w:w="0" w:type="dxa"/>
            <w:left w:w="108" w:type="dxa"/>
            <w:bottom w:w="0" w:type="dxa"/>
            <w:right w:w="108" w:type="dxa"/>
          </w:tblCellMar>
        </w:tblPrEx>
        <w:tc>
          <w:tcPr>
            <w:tcW w:w="858" w:type="pct"/>
            <w:tcBorders>
              <w:left w:val="nil"/>
              <w:right w:val="nil"/>
            </w:tcBorders>
          </w:tcPr>
          <w:p w14:paraId="18901866">
            <w:r>
              <w:rPr>
                <w:rFonts w:hint="eastAsia" w:ascii="宋体" w:hAnsi="宋体" w:eastAsia="宋体" w:cs="宋体"/>
              </w:rPr>
              <w:t>板球</w:t>
            </w:r>
          </w:p>
        </w:tc>
        <w:tc>
          <w:tcPr>
            <w:tcW w:w="650" w:type="pct"/>
            <w:tcBorders>
              <w:left w:val="nil"/>
              <w:right w:val="nil"/>
            </w:tcBorders>
          </w:tcPr>
          <w:p w14:paraId="6B04CA08">
            <w:r>
              <w:rPr>
                <w:rFonts w:eastAsia="Song"/>
              </w:rPr>
              <w:t>0.000</w:t>
            </w:r>
          </w:p>
        </w:tc>
        <w:tc>
          <w:tcPr>
            <w:tcW w:w="772" w:type="pct"/>
            <w:tcBorders>
              <w:left w:val="nil"/>
              <w:right w:val="nil"/>
            </w:tcBorders>
          </w:tcPr>
          <w:p w14:paraId="31C791F6">
            <w:r>
              <w:rPr>
                <w:rFonts w:eastAsia="Song"/>
              </w:rPr>
              <w:t>0.167</w:t>
            </w:r>
          </w:p>
        </w:tc>
        <w:tc>
          <w:tcPr>
            <w:tcW w:w="772" w:type="pct"/>
            <w:tcBorders>
              <w:left w:val="nil"/>
              <w:right w:val="nil"/>
            </w:tcBorders>
          </w:tcPr>
          <w:p w14:paraId="50376A5A">
            <w:r>
              <w:rPr>
                <w:rFonts w:eastAsia="Song"/>
              </w:rPr>
              <w:t>0.000</w:t>
            </w:r>
          </w:p>
        </w:tc>
        <w:tc>
          <w:tcPr>
            <w:tcW w:w="650" w:type="pct"/>
            <w:tcBorders>
              <w:left w:val="nil"/>
              <w:right w:val="nil"/>
            </w:tcBorders>
          </w:tcPr>
          <w:p w14:paraId="78F7CC51">
            <w:r>
              <w:rPr>
                <w:rFonts w:eastAsia="Song"/>
              </w:rPr>
              <w:t>0.154</w:t>
            </w:r>
          </w:p>
        </w:tc>
        <w:tc>
          <w:tcPr>
            <w:tcW w:w="650" w:type="pct"/>
            <w:tcBorders>
              <w:left w:val="nil"/>
              <w:right w:val="nil"/>
            </w:tcBorders>
          </w:tcPr>
          <w:p w14:paraId="55664685">
            <w:r>
              <w:rPr>
                <w:rFonts w:eastAsia="Song"/>
              </w:rPr>
              <w:t>0.000</w:t>
            </w:r>
          </w:p>
        </w:tc>
        <w:tc>
          <w:tcPr>
            <w:tcW w:w="650" w:type="pct"/>
            <w:tcBorders>
              <w:left w:val="nil"/>
              <w:right w:val="nil"/>
            </w:tcBorders>
          </w:tcPr>
          <w:p w14:paraId="4FAC4956">
            <w:r>
              <w:rPr>
                <w:rFonts w:eastAsia="Song"/>
              </w:rPr>
              <w:t>0.500</w:t>
            </w:r>
          </w:p>
        </w:tc>
      </w:tr>
      <w:tr w14:paraId="792A49AC">
        <w:tblPrEx>
          <w:tblCellMar>
            <w:top w:w="0" w:type="dxa"/>
            <w:left w:w="108" w:type="dxa"/>
            <w:bottom w:w="0" w:type="dxa"/>
            <w:right w:w="108" w:type="dxa"/>
          </w:tblCellMar>
        </w:tblPrEx>
        <w:tc>
          <w:tcPr>
            <w:tcW w:w="858" w:type="pct"/>
            <w:tcBorders>
              <w:left w:val="nil"/>
              <w:right w:val="nil"/>
            </w:tcBorders>
          </w:tcPr>
          <w:p w14:paraId="7E487E49">
            <w:r>
              <w:rPr>
                <w:rFonts w:hint="eastAsia" w:ascii="宋体" w:hAnsi="宋体" w:eastAsia="宋体" w:cs="宋体"/>
              </w:rPr>
              <w:t>空手道</w:t>
            </w:r>
          </w:p>
        </w:tc>
        <w:tc>
          <w:tcPr>
            <w:tcW w:w="650" w:type="pct"/>
            <w:tcBorders>
              <w:left w:val="nil"/>
              <w:right w:val="nil"/>
            </w:tcBorders>
          </w:tcPr>
          <w:p w14:paraId="3E21BE4A">
            <w:r>
              <w:rPr>
                <w:rFonts w:eastAsia="Song"/>
              </w:rPr>
              <w:t>0.396</w:t>
            </w:r>
          </w:p>
        </w:tc>
        <w:tc>
          <w:tcPr>
            <w:tcW w:w="772" w:type="pct"/>
            <w:tcBorders>
              <w:left w:val="nil"/>
              <w:right w:val="nil"/>
            </w:tcBorders>
          </w:tcPr>
          <w:p w14:paraId="2F8DFBD1">
            <w:r>
              <w:rPr>
                <w:rFonts w:eastAsia="Song"/>
              </w:rPr>
              <w:t>0.833</w:t>
            </w:r>
          </w:p>
        </w:tc>
        <w:tc>
          <w:tcPr>
            <w:tcW w:w="772" w:type="pct"/>
            <w:tcBorders>
              <w:left w:val="nil"/>
              <w:right w:val="nil"/>
            </w:tcBorders>
          </w:tcPr>
          <w:p w14:paraId="75026015">
            <w:r>
              <w:rPr>
                <w:rFonts w:eastAsia="Song"/>
              </w:rPr>
              <w:t>0.000</w:t>
            </w:r>
          </w:p>
        </w:tc>
        <w:tc>
          <w:tcPr>
            <w:tcW w:w="650" w:type="pct"/>
            <w:tcBorders>
              <w:left w:val="nil"/>
              <w:right w:val="nil"/>
            </w:tcBorders>
          </w:tcPr>
          <w:p w14:paraId="772CF9B1">
            <w:r>
              <w:rPr>
                <w:rFonts w:eastAsia="Song"/>
              </w:rPr>
              <w:t>0.084</w:t>
            </w:r>
          </w:p>
        </w:tc>
        <w:tc>
          <w:tcPr>
            <w:tcW w:w="650" w:type="pct"/>
            <w:tcBorders>
              <w:left w:val="nil"/>
              <w:right w:val="nil"/>
            </w:tcBorders>
          </w:tcPr>
          <w:p w14:paraId="1373E314">
            <w:r>
              <w:rPr>
                <w:rFonts w:eastAsia="Song"/>
              </w:rPr>
              <w:t>0.985</w:t>
            </w:r>
          </w:p>
        </w:tc>
        <w:tc>
          <w:tcPr>
            <w:tcW w:w="650" w:type="pct"/>
            <w:tcBorders>
              <w:left w:val="nil"/>
              <w:right w:val="nil"/>
            </w:tcBorders>
          </w:tcPr>
          <w:p w14:paraId="5FDB3FC5">
            <w:r>
              <w:rPr>
                <w:rFonts w:eastAsia="Song"/>
              </w:rPr>
              <w:t>0.417</w:t>
            </w:r>
          </w:p>
        </w:tc>
      </w:tr>
      <w:tr w14:paraId="2E161A60">
        <w:tblPrEx>
          <w:tblCellMar>
            <w:top w:w="0" w:type="dxa"/>
            <w:left w:w="108" w:type="dxa"/>
            <w:bottom w:w="0" w:type="dxa"/>
            <w:right w:w="108" w:type="dxa"/>
          </w:tblCellMar>
        </w:tblPrEx>
        <w:tc>
          <w:tcPr>
            <w:tcW w:w="858" w:type="pct"/>
            <w:tcBorders>
              <w:left w:val="nil"/>
              <w:bottom w:val="single" w:color="000000" w:sz="12" w:space="0"/>
              <w:right w:val="nil"/>
            </w:tcBorders>
          </w:tcPr>
          <w:p w14:paraId="665934E8">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074F9801">
            <w:r>
              <w:rPr>
                <w:rFonts w:eastAsia="Song"/>
              </w:rPr>
              <w:t>0.322</w:t>
            </w:r>
          </w:p>
        </w:tc>
        <w:tc>
          <w:tcPr>
            <w:tcW w:w="772" w:type="pct"/>
            <w:tcBorders>
              <w:left w:val="nil"/>
              <w:bottom w:val="single" w:color="000000" w:sz="12" w:space="0"/>
              <w:right w:val="nil"/>
            </w:tcBorders>
          </w:tcPr>
          <w:p w14:paraId="13870B2C">
            <w:r>
              <w:rPr>
                <w:rFonts w:eastAsia="Song"/>
              </w:rPr>
              <w:t>0.500</w:t>
            </w:r>
          </w:p>
        </w:tc>
        <w:tc>
          <w:tcPr>
            <w:tcW w:w="772" w:type="pct"/>
            <w:tcBorders>
              <w:left w:val="nil"/>
              <w:bottom w:val="single" w:color="000000" w:sz="12" w:space="0"/>
              <w:right w:val="nil"/>
            </w:tcBorders>
          </w:tcPr>
          <w:p w14:paraId="3EC4624A">
            <w:r>
              <w:rPr>
                <w:rFonts w:eastAsia="Song"/>
              </w:rPr>
              <w:t>0.198</w:t>
            </w:r>
          </w:p>
        </w:tc>
        <w:tc>
          <w:tcPr>
            <w:tcW w:w="650" w:type="pct"/>
            <w:tcBorders>
              <w:left w:val="nil"/>
              <w:bottom w:val="single" w:color="000000" w:sz="12" w:space="0"/>
              <w:right w:val="nil"/>
            </w:tcBorders>
          </w:tcPr>
          <w:p w14:paraId="0EFB796B">
            <w:r>
              <w:rPr>
                <w:rFonts w:eastAsia="Song"/>
              </w:rPr>
              <w:t>0.209</w:t>
            </w:r>
          </w:p>
        </w:tc>
        <w:tc>
          <w:tcPr>
            <w:tcW w:w="650" w:type="pct"/>
            <w:tcBorders>
              <w:left w:val="nil"/>
              <w:bottom w:val="single" w:color="000000" w:sz="12" w:space="0"/>
              <w:right w:val="nil"/>
            </w:tcBorders>
          </w:tcPr>
          <w:p w14:paraId="606DAAC0">
            <w:r>
              <w:rPr>
                <w:rFonts w:eastAsia="Song"/>
              </w:rPr>
              <w:t>0.360</w:t>
            </w:r>
          </w:p>
        </w:tc>
        <w:tc>
          <w:tcPr>
            <w:tcW w:w="650" w:type="pct"/>
            <w:tcBorders>
              <w:left w:val="nil"/>
              <w:bottom w:val="single" w:color="000000" w:sz="12" w:space="0"/>
              <w:right w:val="nil"/>
            </w:tcBorders>
          </w:tcPr>
          <w:p w14:paraId="6A3C8062">
            <w:r>
              <w:rPr>
                <w:rFonts w:eastAsia="Song"/>
              </w:rPr>
              <w:t>0.750</w:t>
            </w:r>
          </w:p>
        </w:tc>
      </w:tr>
    </w:tbl>
    <w:p w14:paraId="389D5DF3">
      <w:pPr>
        <w:pStyle w:val="3"/>
        <w:rPr>
          <w:lang w:eastAsia="zh-CN"/>
        </w:rPr>
      </w:pPr>
    </w:p>
    <w:p w14:paraId="658A84AD">
      <w:pPr>
        <w:pStyle w:val="35"/>
        <w:ind w:firstLine="480"/>
        <w:rPr>
          <w:rFonts w:cs="Times New Roman"/>
          <w:lang w:eastAsia="zh-CN"/>
        </w:rPr>
      </w:pPr>
      <w:r>
        <w:rPr>
          <w:rFonts w:hint="eastAsia" w:cs="Times New Roman"/>
          <w:lang w:eastAsia="zh-CN"/>
        </w:rPr>
        <w:t>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cs="Times New Roman"/>
          <w:lang w:eastAsia="zh-CN"/>
        </w:rPr>
        <w:t>的基础上，按式</w:t>
      </w:r>
      <w:r>
        <w:fldChar w:fldCharType="begin"/>
      </w:r>
      <w:r>
        <w:instrText xml:space="preserve"> HYPERLINK \l "eq:ewm_p" \h </w:instrText>
      </w:r>
      <w:r>
        <w:fldChar w:fldCharType="separate"/>
      </w:r>
      <w:r>
        <w:rPr>
          <w:rStyle w:val="32"/>
          <w:color w:val="auto"/>
          <w:lang w:eastAsia="zh-CN"/>
        </w:rPr>
        <w:t>(3.24)</w:t>
      </w:r>
      <w:r>
        <w:rPr>
          <w:rStyle w:val="32"/>
          <w:color w:val="auto"/>
          <w:lang w:eastAsia="zh-CN"/>
        </w:rPr>
        <w:fldChar w:fldCharType="end"/>
      </w:r>
      <w:r>
        <w:rPr>
          <w:rFonts w:hint="eastAsia" w:cs="Times New Roman"/>
          <w:lang w:eastAsia="zh-CN"/>
        </w:rPr>
        <w:t>计算各指标下的比重矩阵</w:t>
      </w:r>
      <m:oMath>
        <m:r>
          <m:rPr/>
          <w:rPr>
            <w:rFonts w:ascii="Cambria Math" w:hAnsi="Cambria Math"/>
            <w:lang w:eastAsia="zh-CN"/>
          </w:rPr>
          <m:t>P</m:t>
        </m:r>
      </m:oMath>
      <w:r>
        <w:rPr>
          <w:rFonts w:hint="eastAsia" w:cs="Times New Roman"/>
          <w:lang w:eastAsia="zh-CN"/>
        </w:rPr>
        <w:t>（表</w:t>
      </w:r>
      <w:r>
        <w:rPr>
          <w:rFonts w:hint="eastAsia"/>
          <w:lang w:eastAsia="zh-CN"/>
        </w:rPr>
        <w:t>4.4</w:t>
      </w:r>
      <w:r>
        <w:rPr>
          <w:rFonts w:hint="eastAsia" w:cs="Times New Roman"/>
          <w:lang w:eastAsia="zh-CN"/>
        </w:rPr>
        <w:t>），</w:t>
      </w:r>
      <w:r>
        <w:rPr>
          <w:rFonts w:cs="Times New Roman"/>
          <w:lang w:eastAsia="zh-CN"/>
        </w:rPr>
        <w:t xml:space="preserve"> </w:t>
      </w:r>
      <w:r>
        <w:rPr>
          <w:rFonts w:hint="eastAsia" w:cs="Times New Roman"/>
          <w:lang w:eastAsia="zh-CN"/>
        </w:rPr>
        <w:t>然后通过信息熵求解（式</w:t>
      </w:r>
      <w:r>
        <w:fldChar w:fldCharType="begin"/>
      </w:r>
      <w:r>
        <w:instrText xml:space="preserve"> HYPERLINK \l "eq:ewm_H" \h </w:instrText>
      </w:r>
      <w:r>
        <w:fldChar w:fldCharType="separate"/>
      </w:r>
      <w:r>
        <w:rPr>
          <w:rStyle w:val="32"/>
          <w:color w:val="auto"/>
          <w:lang w:eastAsia="zh-CN"/>
        </w:rPr>
        <w:t>(3.25)</w:t>
      </w:r>
      <w:r>
        <w:rPr>
          <w:rStyle w:val="32"/>
          <w:color w:val="auto"/>
          <w:lang w:eastAsia="zh-CN"/>
        </w:rPr>
        <w:fldChar w:fldCharType="end"/>
      </w:r>
      <w:r>
        <w:rPr>
          <w:rFonts w:hint="eastAsia" w:cs="Times New Roman"/>
          <w:lang w:eastAsia="zh-CN"/>
        </w:rPr>
        <w:t>）和信息效用值归一化（式</w:t>
      </w:r>
      <w:r>
        <w:fldChar w:fldCharType="begin"/>
      </w:r>
      <w:r>
        <w:instrText xml:space="preserve"> HYPERLINK \l "eq:ewm_W" \h </w:instrText>
      </w:r>
      <w:r>
        <w:fldChar w:fldCharType="separate"/>
      </w:r>
      <w:r>
        <w:rPr>
          <w:rStyle w:val="32"/>
          <w:color w:val="auto"/>
          <w:lang w:eastAsia="zh-CN"/>
        </w:rPr>
        <w:t>(3.27)</w:t>
      </w:r>
      <w:r>
        <w:rPr>
          <w:rStyle w:val="32"/>
          <w:color w:val="auto"/>
          <w:lang w:eastAsia="zh-CN"/>
        </w:rPr>
        <w:fldChar w:fldCharType="end"/>
      </w:r>
      <w:r>
        <w:rPr>
          <w:rFonts w:hint="eastAsia" w:cs="Times New Roman"/>
          <w:lang w:eastAsia="zh-CN"/>
        </w:rPr>
        <w:t>），</w:t>
      </w:r>
      <w:r>
        <w:rPr>
          <w:rFonts w:cs="Times New Roman"/>
          <w:lang w:eastAsia="zh-CN"/>
        </w:rPr>
        <w:t xml:space="preserve"> </w:t>
      </w:r>
      <w:r>
        <w:rPr>
          <w:rFonts w:hint="eastAsia" w:cs="Times New Roman"/>
          <w:lang w:eastAsia="zh-CN"/>
        </w:rPr>
        <w:t>得到各指标的信息熵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rFonts w:hint="eastAsia" w:cs="Times New Roman"/>
          <w:lang w:eastAsia="zh-CN"/>
        </w:rPr>
        <w:t>，结果如表</w:t>
      </w:r>
      <w:r>
        <w:rPr>
          <w:rFonts w:hint="eastAsia"/>
          <w:lang w:eastAsia="zh-CN"/>
        </w:rPr>
        <w:t>4.5</w:t>
      </w:r>
      <w:r>
        <w:rPr>
          <w:rFonts w:hint="eastAsia" w:cs="Times New Roman"/>
          <w:lang w:eastAsia="zh-CN"/>
        </w:rPr>
        <w:t>所示。</w:t>
      </w:r>
    </w:p>
    <w:p w14:paraId="0A8C77F3">
      <w:pPr>
        <w:pStyle w:val="102"/>
      </w:pPr>
      <w:r>
        <w:rPr>
          <w:rFonts w:hint="eastAsia"/>
        </w:rPr>
        <w:t>表</w:t>
      </w:r>
      <w:r>
        <w:t xml:space="preserve"> 4.4</w:t>
      </w:r>
      <w:r>
        <w:rPr>
          <w:rFonts w:hint="eastAsia"/>
        </w:rPr>
        <w:t>比重矩阵</w:t>
      </w:r>
      <m:oMath>
        <m:r>
          <m:rPr/>
          <w:rPr>
            <w:rFonts w:ascii="Cambria Math" w:hAnsi="Cambria Math"/>
          </w:rPr>
          <m:t xml:space="preserve">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lit/>
          </m:rPr>
          <w:rPr>
            <w:rFonts w:ascii="Cambria Math" w:hAnsi="Cambria Math"/>
          </w:rPr>
          <m:t>/</m:t>
        </m:r>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oMath>
    </w:p>
    <w:tbl>
      <w:tblPr>
        <w:tblStyle w:val="30"/>
        <w:tblW w:w="5000" w:type="pct"/>
        <w:tblInd w:w="0" w:type="dxa"/>
        <w:tblLayout w:type="autofit"/>
        <w:tblCellMar>
          <w:top w:w="0" w:type="dxa"/>
          <w:left w:w="108" w:type="dxa"/>
          <w:bottom w:w="0" w:type="dxa"/>
          <w:right w:w="108" w:type="dxa"/>
        </w:tblCellMar>
      </w:tblPr>
      <w:tblGrid>
        <w:gridCol w:w="1521"/>
        <w:gridCol w:w="1151"/>
        <w:gridCol w:w="1367"/>
        <w:gridCol w:w="1367"/>
        <w:gridCol w:w="1151"/>
        <w:gridCol w:w="1152"/>
        <w:gridCol w:w="1147"/>
      </w:tblGrid>
      <w:tr w14:paraId="55F14E7D">
        <w:tblPrEx>
          <w:tblCellMar>
            <w:top w:w="0" w:type="dxa"/>
            <w:left w:w="108" w:type="dxa"/>
            <w:bottom w:w="0" w:type="dxa"/>
            <w:right w:w="108" w:type="dxa"/>
          </w:tblCellMar>
        </w:tblPrEx>
        <w:tc>
          <w:tcPr>
            <w:tcW w:w="859" w:type="pct"/>
            <w:tcBorders>
              <w:top w:val="single" w:color="000000" w:sz="12" w:space="0"/>
              <w:left w:val="nil"/>
              <w:bottom w:val="single" w:color="000000" w:sz="4" w:space="0"/>
              <w:right w:val="nil"/>
            </w:tcBorders>
          </w:tcPr>
          <w:p w14:paraId="2DD6FD7D">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2BC77795">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1E435A6F">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8F11CDC">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74ECD0CD">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3C13411C">
            <w:r>
              <w:rPr>
                <w:rFonts w:hint="eastAsia" w:ascii="宋体" w:hAnsi="宋体" w:eastAsia="宋体" w:cs="宋体"/>
              </w:rPr>
              <w:t>创新性</w:t>
            </w:r>
          </w:p>
        </w:tc>
        <w:tc>
          <w:tcPr>
            <w:tcW w:w="648" w:type="pct"/>
            <w:tcBorders>
              <w:top w:val="single" w:color="000000" w:sz="12" w:space="0"/>
              <w:left w:val="nil"/>
              <w:bottom w:val="single" w:color="000000" w:sz="4" w:space="0"/>
              <w:right w:val="nil"/>
            </w:tcBorders>
          </w:tcPr>
          <w:p w14:paraId="49B593BB">
            <w:r>
              <w:rPr>
                <w:rFonts w:hint="eastAsia" w:ascii="宋体" w:hAnsi="宋体" w:eastAsia="宋体" w:cs="宋体"/>
              </w:rPr>
              <w:t>安全性</w:t>
            </w:r>
          </w:p>
        </w:tc>
      </w:tr>
      <w:tr w14:paraId="7AA2F3B1">
        <w:tblPrEx>
          <w:tblCellMar>
            <w:top w:w="0" w:type="dxa"/>
            <w:left w:w="108" w:type="dxa"/>
            <w:bottom w:w="0" w:type="dxa"/>
            <w:right w:w="108" w:type="dxa"/>
          </w:tblCellMar>
        </w:tblPrEx>
        <w:tc>
          <w:tcPr>
            <w:tcW w:w="859" w:type="pct"/>
            <w:tcBorders>
              <w:left w:val="nil"/>
              <w:right w:val="nil"/>
            </w:tcBorders>
          </w:tcPr>
          <w:p w14:paraId="255CFE48">
            <w:r>
              <w:rPr>
                <w:rFonts w:hint="eastAsia" w:ascii="宋体" w:hAnsi="宋体" w:eastAsia="宋体" w:cs="宋体"/>
              </w:rPr>
              <w:t>田径</w:t>
            </w:r>
          </w:p>
        </w:tc>
        <w:tc>
          <w:tcPr>
            <w:tcW w:w="650" w:type="pct"/>
            <w:tcBorders>
              <w:left w:val="nil"/>
              <w:right w:val="nil"/>
            </w:tcBorders>
            <w:vAlign w:val="center"/>
          </w:tcPr>
          <w:p w14:paraId="7B93E712">
            <w:r>
              <w:rPr>
                <w:rFonts w:ascii="Segoe UI" w:hAnsi="Segoe UI" w:eastAsia="宋体" w:cs="Segoe UI"/>
                <w:color w:val="0F1115"/>
                <w:sz w:val="23"/>
                <w:szCs w:val="23"/>
                <w:lang w:eastAsia="zh-CN"/>
              </w:rPr>
              <w:t>0.166</w:t>
            </w:r>
          </w:p>
        </w:tc>
        <w:tc>
          <w:tcPr>
            <w:tcW w:w="772" w:type="pct"/>
            <w:tcBorders>
              <w:left w:val="nil"/>
              <w:right w:val="nil"/>
            </w:tcBorders>
            <w:vAlign w:val="center"/>
          </w:tcPr>
          <w:p w14:paraId="74149259">
            <w:r>
              <w:rPr>
                <w:rFonts w:ascii="Segoe UI" w:hAnsi="Segoe UI" w:eastAsia="宋体" w:cs="Segoe UI"/>
                <w:color w:val="0F1115"/>
                <w:sz w:val="23"/>
                <w:szCs w:val="23"/>
                <w:lang w:eastAsia="zh-CN"/>
              </w:rPr>
              <w:t>0.095</w:t>
            </w:r>
          </w:p>
        </w:tc>
        <w:tc>
          <w:tcPr>
            <w:tcW w:w="772" w:type="pct"/>
            <w:tcBorders>
              <w:left w:val="nil"/>
              <w:right w:val="nil"/>
            </w:tcBorders>
            <w:vAlign w:val="center"/>
          </w:tcPr>
          <w:p w14:paraId="543F676D">
            <w:r>
              <w:rPr>
                <w:rFonts w:ascii="Segoe UI" w:hAnsi="Segoe UI" w:eastAsia="宋体" w:cs="Segoe UI"/>
                <w:color w:val="0F1115"/>
                <w:sz w:val="23"/>
                <w:szCs w:val="23"/>
                <w:lang w:eastAsia="zh-CN"/>
              </w:rPr>
              <w:t>0.254</w:t>
            </w:r>
          </w:p>
        </w:tc>
        <w:tc>
          <w:tcPr>
            <w:tcW w:w="650" w:type="pct"/>
            <w:tcBorders>
              <w:left w:val="nil"/>
              <w:right w:val="nil"/>
            </w:tcBorders>
            <w:vAlign w:val="center"/>
          </w:tcPr>
          <w:p w14:paraId="1F6FAD9F">
            <w:r>
              <w:rPr>
                <w:rFonts w:ascii="Segoe UI" w:hAnsi="Segoe UI" w:eastAsia="宋体" w:cs="Segoe UI"/>
                <w:color w:val="0F1115"/>
                <w:sz w:val="23"/>
                <w:szCs w:val="23"/>
                <w:lang w:eastAsia="zh-CN"/>
              </w:rPr>
              <w:t>0.263</w:t>
            </w:r>
          </w:p>
        </w:tc>
        <w:tc>
          <w:tcPr>
            <w:tcW w:w="650" w:type="pct"/>
            <w:tcBorders>
              <w:left w:val="nil"/>
              <w:right w:val="nil"/>
            </w:tcBorders>
            <w:vAlign w:val="center"/>
          </w:tcPr>
          <w:p w14:paraId="1A646B41">
            <w:r>
              <w:rPr>
                <w:rFonts w:ascii="Segoe UI" w:hAnsi="Segoe UI" w:eastAsia="宋体" w:cs="Segoe UI"/>
                <w:color w:val="0F1115"/>
                <w:sz w:val="23"/>
                <w:szCs w:val="23"/>
                <w:lang w:eastAsia="zh-CN"/>
              </w:rPr>
              <w:t>0.001</w:t>
            </w:r>
          </w:p>
        </w:tc>
        <w:tc>
          <w:tcPr>
            <w:tcW w:w="648" w:type="pct"/>
            <w:tcBorders>
              <w:left w:val="nil"/>
              <w:right w:val="nil"/>
            </w:tcBorders>
            <w:vAlign w:val="center"/>
          </w:tcPr>
          <w:p w14:paraId="197362D3">
            <w:r>
              <w:rPr>
                <w:rFonts w:ascii="Segoe UI" w:hAnsi="Segoe UI" w:eastAsia="宋体" w:cs="Segoe UI"/>
                <w:color w:val="0F1115"/>
                <w:sz w:val="23"/>
                <w:szCs w:val="23"/>
                <w:lang w:eastAsia="zh-CN"/>
              </w:rPr>
              <w:t>0.096</w:t>
            </w:r>
          </w:p>
        </w:tc>
      </w:tr>
      <w:tr w14:paraId="373DD71E">
        <w:tblPrEx>
          <w:tblCellMar>
            <w:top w:w="0" w:type="dxa"/>
            <w:left w:w="108" w:type="dxa"/>
            <w:bottom w:w="0" w:type="dxa"/>
            <w:right w:w="108" w:type="dxa"/>
          </w:tblCellMar>
        </w:tblPrEx>
        <w:tc>
          <w:tcPr>
            <w:tcW w:w="859" w:type="pct"/>
            <w:tcBorders>
              <w:left w:val="nil"/>
              <w:right w:val="nil"/>
            </w:tcBorders>
          </w:tcPr>
          <w:p w14:paraId="586BD299">
            <w:r>
              <w:rPr>
                <w:rFonts w:hint="eastAsia" w:ascii="宋体" w:hAnsi="宋体" w:eastAsia="宋体" w:cs="宋体"/>
              </w:rPr>
              <w:t>游泳</w:t>
            </w:r>
          </w:p>
        </w:tc>
        <w:tc>
          <w:tcPr>
            <w:tcW w:w="650" w:type="pct"/>
            <w:tcBorders>
              <w:left w:val="nil"/>
              <w:right w:val="nil"/>
            </w:tcBorders>
            <w:vAlign w:val="center"/>
          </w:tcPr>
          <w:p w14:paraId="3B7B16D1">
            <w:r>
              <w:rPr>
                <w:rFonts w:ascii="Segoe UI" w:hAnsi="Segoe UI" w:eastAsia="宋体" w:cs="Segoe UI"/>
                <w:color w:val="0F1115"/>
                <w:sz w:val="23"/>
                <w:szCs w:val="23"/>
                <w:lang w:eastAsia="zh-CN"/>
              </w:rPr>
              <w:t>0.102</w:t>
            </w:r>
          </w:p>
        </w:tc>
        <w:tc>
          <w:tcPr>
            <w:tcW w:w="772" w:type="pct"/>
            <w:tcBorders>
              <w:left w:val="nil"/>
              <w:right w:val="nil"/>
            </w:tcBorders>
            <w:vAlign w:val="center"/>
          </w:tcPr>
          <w:p w14:paraId="7C272497">
            <w:r>
              <w:rPr>
                <w:rFonts w:ascii="Segoe UI" w:hAnsi="Segoe UI" w:eastAsia="宋体" w:cs="Segoe UI"/>
                <w:color w:val="0F1115"/>
                <w:sz w:val="23"/>
                <w:szCs w:val="23"/>
                <w:lang w:eastAsia="zh-CN"/>
              </w:rPr>
              <w:t>0.124</w:t>
            </w:r>
          </w:p>
        </w:tc>
        <w:tc>
          <w:tcPr>
            <w:tcW w:w="772" w:type="pct"/>
            <w:tcBorders>
              <w:left w:val="nil"/>
              <w:right w:val="nil"/>
            </w:tcBorders>
            <w:vAlign w:val="center"/>
          </w:tcPr>
          <w:p w14:paraId="04B3BECD">
            <w:r>
              <w:rPr>
                <w:rFonts w:ascii="Segoe UI" w:hAnsi="Segoe UI" w:eastAsia="宋体" w:cs="Segoe UI"/>
                <w:color w:val="0F1115"/>
                <w:sz w:val="23"/>
                <w:szCs w:val="23"/>
                <w:lang w:eastAsia="zh-CN"/>
              </w:rPr>
              <w:t>0.121</w:t>
            </w:r>
          </w:p>
        </w:tc>
        <w:tc>
          <w:tcPr>
            <w:tcW w:w="650" w:type="pct"/>
            <w:tcBorders>
              <w:left w:val="nil"/>
              <w:right w:val="nil"/>
            </w:tcBorders>
            <w:vAlign w:val="center"/>
          </w:tcPr>
          <w:p w14:paraId="7EAB8161">
            <w:r>
              <w:rPr>
                <w:rFonts w:ascii="Segoe UI" w:hAnsi="Segoe UI" w:eastAsia="宋体" w:cs="Segoe UI"/>
                <w:color w:val="0F1115"/>
                <w:sz w:val="23"/>
                <w:szCs w:val="23"/>
                <w:lang w:eastAsia="zh-CN"/>
              </w:rPr>
              <w:t>0.095</w:t>
            </w:r>
          </w:p>
        </w:tc>
        <w:tc>
          <w:tcPr>
            <w:tcW w:w="650" w:type="pct"/>
            <w:tcBorders>
              <w:left w:val="nil"/>
              <w:right w:val="nil"/>
            </w:tcBorders>
            <w:vAlign w:val="center"/>
          </w:tcPr>
          <w:p w14:paraId="148F6E50">
            <w:r>
              <w:rPr>
                <w:rFonts w:ascii="Segoe UI" w:hAnsi="Segoe UI" w:eastAsia="宋体" w:cs="Segoe UI"/>
                <w:color w:val="0F1115"/>
                <w:sz w:val="23"/>
                <w:szCs w:val="23"/>
                <w:lang w:eastAsia="zh-CN"/>
              </w:rPr>
              <w:t>0.053</w:t>
            </w:r>
          </w:p>
        </w:tc>
        <w:tc>
          <w:tcPr>
            <w:tcW w:w="648" w:type="pct"/>
            <w:tcBorders>
              <w:left w:val="nil"/>
              <w:right w:val="nil"/>
            </w:tcBorders>
            <w:vAlign w:val="center"/>
          </w:tcPr>
          <w:p w14:paraId="5D87A124">
            <w:r>
              <w:rPr>
                <w:rFonts w:ascii="Segoe UI" w:hAnsi="Segoe UI" w:eastAsia="宋体" w:cs="Segoe UI"/>
                <w:color w:val="0F1115"/>
                <w:sz w:val="23"/>
                <w:szCs w:val="23"/>
                <w:lang w:eastAsia="zh-CN"/>
              </w:rPr>
              <w:t>0.127</w:t>
            </w:r>
          </w:p>
        </w:tc>
      </w:tr>
      <w:tr w14:paraId="7B06BEFA">
        <w:tblPrEx>
          <w:tblCellMar>
            <w:top w:w="0" w:type="dxa"/>
            <w:left w:w="108" w:type="dxa"/>
            <w:bottom w:w="0" w:type="dxa"/>
            <w:right w:w="108" w:type="dxa"/>
          </w:tblCellMar>
        </w:tblPrEx>
        <w:tc>
          <w:tcPr>
            <w:tcW w:w="859" w:type="pct"/>
            <w:tcBorders>
              <w:left w:val="nil"/>
              <w:right w:val="nil"/>
            </w:tcBorders>
          </w:tcPr>
          <w:p w14:paraId="5A726919">
            <w:r>
              <w:rPr>
                <w:rFonts w:hint="eastAsia" w:ascii="宋体" w:hAnsi="宋体" w:eastAsia="宋体" w:cs="宋体"/>
              </w:rPr>
              <w:t>足球</w:t>
            </w:r>
          </w:p>
        </w:tc>
        <w:tc>
          <w:tcPr>
            <w:tcW w:w="650" w:type="pct"/>
            <w:tcBorders>
              <w:left w:val="nil"/>
              <w:right w:val="nil"/>
            </w:tcBorders>
            <w:vAlign w:val="center"/>
          </w:tcPr>
          <w:p w14:paraId="7236BDB2">
            <w:r>
              <w:rPr>
                <w:rFonts w:ascii="Segoe UI" w:hAnsi="Segoe UI" w:eastAsia="宋体" w:cs="Segoe UI"/>
                <w:color w:val="0F1115"/>
                <w:sz w:val="23"/>
                <w:szCs w:val="23"/>
                <w:lang w:eastAsia="zh-CN"/>
              </w:rPr>
              <w:t>0.133</w:t>
            </w:r>
          </w:p>
        </w:tc>
        <w:tc>
          <w:tcPr>
            <w:tcW w:w="772" w:type="pct"/>
            <w:tcBorders>
              <w:left w:val="nil"/>
              <w:right w:val="nil"/>
            </w:tcBorders>
            <w:vAlign w:val="center"/>
          </w:tcPr>
          <w:p w14:paraId="391838CC">
            <w:r>
              <w:rPr>
                <w:rFonts w:ascii="Segoe UI" w:hAnsi="Segoe UI" w:eastAsia="宋体" w:cs="Segoe UI"/>
                <w:color w:val="0F1115"/>
                <w:sz w:val="23"/>
                <w:szCs w:val="23"/>
                <w:lang w:eastAsia="zh-CN"/>
              </w:rPr>
              <w:t>0.062</w:t>
            </w:r>
          </w:p>
        </w:tc>
        <w:tc>
          <w:tcPr>
            <w:tcW w:w="772" w:type="pct"/>
            <w:tcBorders>
              <w:left w:val="nil"/>
              <w:right w:val="nil"/>
            </w:tcBorders>
            <w:vAlign w:val="center"/>
          </w:tcPr>
          <w:p w14:paraId="7147A992">
            <w:r>
              <w:rPr>
                <w:rFonts w:ascii="Segoe UI" w:hAnsi="Segoe UI" w:eastAsia="宋体" w:cs="Segoe UI"/>
                <w:color w:val="0F1115"/>
                <w:sz w:val="23"/>
                <w:szCs w:val="23"/>
                <w:lang w:eastAsia="zh-CN"/>
              </w:rPr>
              <w:t>0.131</w:t>
            </w:r>
          </w:p>
        </w:tc>
        <w:tc>
          <w:tcPr>
            <w:tcW w:w="650" w:type="pct"/>
            <w:tcBorders>
              <w:left w:val="nil"/>
              <w:right w:val="nil"/>
            </w:tcBorders>
            <w:vAlign w:val="center"/>
          </w:tcPr>
          <w:p w14:paraId="65414078">
            <w:r>
              <w:rPr>
                <w:rFonts w:ascii="Segoe UI" w:hAnsi="Segoe UI" w:eastAsia="宋体" w:cs="Segoe UI"/>
                <w:color w:val="0F1115"/>
                <w:sz w:val="23"/>
                <w:szCs w:val="23"/>
                <w:lang w:eastAsia="zh-CN"/>
              </w:rPr>
              <w:t>0.191</w:t>
            </w:r>
          </w:p>
        </w:tc>
        <w:tc>
          <w:tcPr>
            <w:tcW w:w="650" w:type="pct"/>
            <w:tcBorders>
              <w:left w:val="nil"/>
              <w:right w:val="nil"/>
            </w:tcBorders>
            <w:vAlign w:val="center"/>
          </w:tcPr>
          <w:p w14:paraId="1353344E">
            <w:r>
              <w:rPr>
                <w:rFonts w:ascii="Segoe UI" w:hAnsi="Segoe UI" w:eastAsia="宋体" w:cs="Segoe UI"/>
                <w:color w:val="0F1115"/>
                <w:sz w:val="23"/>
                <w:szCs w:val="23"/>
                <w:lang w:eastAsia="zh-CN"/>
              </w:rPr>
              <w:t>0.000</w:t>
            </w:r>
          </w:p>
        </w:tc>
        <w:tc>
          <w:tcPr>
            <w:tcW w:w="648" w:type="pct"/>
            <w:tcBorders>
              <w:left w:val="nil"/>
              <w:right w:val="nil"/>
            </w:tcBorders>
            <w:vAlign w:val="center"/>
          </w:tcPr>
          <w:p w14:paraId="7A0A5FB6">
            <w:r>
              <w:rPr>
                <w:rFonts w:ascii="Segoe UI" w:hAnsi="Segoe UI" w:eastAsia="宋体" w:cs="Segoe UI"/>
                <w:color w:val="0F1115"/>
                <w:sz w:val="23"/>
                <w:szCs w:val="23"/>
                <w:lang w:eastAsia="zh-CN"/>
              </w:rPr>
              <w:t>0.036</w:t>
            </w:r>
          </w:p>
        </w:tc>
      </w:tr>
      <w:tr w14:paraId="1A0B6E2D">
        <w:tblPrEx>
          <w:tblCellMar>
            <w:top w:w="0" w:type="dxa"/>
            <w:left w:w="108" w:type="dxa"/>
            <w:bottom w:w="0" w:type="dxa"/>
            <w:right w:w="108" w:type="dxa"/>
          </w:tblCellMar>
        </w:tblPrEx>
        <w:tc>
          <w:tcPr>
            <w:tcW w:w="859" w:type="pct"/>
            <w:tcBorders>
              <w:left w:val="nil"/>
              <w:right w:val="nil"/>
            </w:tcBorders>
          </w:tcPr>
          <w:p w14:paraId="4CD97262">
            <w:r>
              <w:rPr>
                <w:rFonts w:hint="eastAsia" w:ascii="宋体" w:hAnsi="宋体" w:eastAsia="宋体" w:cs="宋体"/>
              </w:rPr>
              <w:t>篮球</w:t>
            </w:r>
          </w:p>
        </w:tc>
        <w:tc>
          <w:tcPr>
            <w:tcW w:w="650" w:type="pct"/>
            <w:tcBorders>
              <w:left w:val="nil"/>
              <w:right w:val="nil"/>
            </w:tcBorders>
            <w:vAlign w:val="center"/>
          </w:tcPr>
          <w:p w14:paraId="4D05F34A">
            <w:r>
              <w:rPr>
                <w:rFonts w:ascii="Segoe UI" w:hAnsi="Segoe UI" w:eastAsia="宋体" w:cs="Segoe UI"/>
                <w:color w:val="0F1115"/>
                <w:sz w:val="23"/>
                <w:szCs w:val="23"/>
                <w:lang w:eastAsia="zh-CN"/>
              </w:rPr>
              <w:t>0.081</w:t>
            </w:r>
          </w:p>
        </w:tc>
        <w:tc>
          <w:tcPr>
            <w:tcW w:w="772" w:type="pct"/>
            <w:tcBorders>
              <w:left w:val="nil"/>
              <w:right w:val="nil"/>
            </w:tcBorders>
            <w:vAlign w:val="center"/>
          </w:tcPr>
          <w:p w14:paraId="785347FA">
            <w:r>
              <w:rPr>
                <w:rFonts w:ascii="Segoe UI" w:hAnsi="Segoe UI" w:eastAsia="宋体" w:cs="Segoe UI"/>
                <w:color w:val="0F1115"/>
                <w:sz w:val="23"/>
                <w:szCs w:val="23"/>
                <w:lang w:eastAsia="zh-CN"/>
              </w:rPr>
              <w:t>0.112</w:t>
            </w:r>
          </w:p>
        </w:tc>
        <w:tc>
          <w:tcPr>
            <w:tcW w:w="772" w:type="pct"/>
            <w:tcBorders>
              <w:left w:val="nil"/>
              <w:right w:val="nil"/>
            </w:tcBorders>
            <w:vAlign w:val="center"/>
          </w:tcPr>
          <w:p w14:paraId="2DFD49D1">
            <w:r>
              <w:rPr>
                <w:rFonts w:ascii="Segoe UI" w:hAnsi="Segoe UI" w:eastAsia="宋体" w:cs="Segoe UI"/>
                <w:color w:val="0F1115"/>
                <w:sz w:val="23"/>
                <w:szCs w:val="23"/>
                <w:lang w:eastAsia="zh-CN"/>
              </w:rPr>
              <w:t>0.070</w:t>
            </w:r>
          </w:p>
        </w:tc>
        <w:tc>
          <w:tcPr>
            <w:tcW w:w="650" w:type="pct"/>
            <w:tcBorders>
              <w:left w:val="nil"/>
              <w:right w:val="nil"/>
            </w:tcBorders>
            <w:vAlign w:val="center"/>
          </w:tcPr>
          <w:p w14:paraId="6905A479">
            <w:r>
              <w:rPr>
                <w:rFonts w:ascii="Segoe UI" w:hAnsi="Segoe UI" w:eastAsia="宋体" w:cs="Segoe UI"/>
                <w:color w:val="0F1115"/>
                <w:sz w:val="23"/>
                <w:szCs w:val="23"/>
                <w:lang w:eastAsia="zh-CN"/>
              </w:rPr>
              <w:t>0.047</w:t>
            </w:r>
          </w:p>
        </w:tc>
        <w:tc>
          <w:tcPr>
            <w:tcW w:w="650" w:type="pct"/>
            <w:tcBorders>
              <w:left w:val="nil"/>
              <w:right w:val="nil"/>
            </w:tcBorders>
            <w:vAlign w:val="center"/>
          </w:tcPr>
          <w:p w14:paraId="1883B616">
            <w:r>
              <w:rPr>
                <w:rFonts w:ascii="Segoe UI" w:hAnsi="Segoe UI" w:eastAsia="宋体" w:cs="Segoe UI"/>
                <w:color w:val="0F1115"/>
                <w:sz w:val="23"/>
                <w:szCs w:val="23"/>
                <w:lang w:eastAsia="zh-CN"/>
              </w:rPr>
              <w:t>0.128</w:t>
            </w:r>
          </w:p>
        </w:tc>
        <w:tc>
          <w:tcPr>
            <w:tcW w:w="648" w:type="pct"/>
            <w:tcBorders>
              <w:left w:val="nil"/>
              <w:right w:val="nil"/>
            </w:tcBorders>
            <w:vAlign w:val="center"/>
          </w:tcPr>
          <w:p w14:paraId="0FED34B3">
            <w:r>
              <w:rPr>
                <w:rFonts w:ascii="Segoe UI" w:hAnsi="Segoe UI" w:eastAsia="宋体" w:cs="Segoe UI"/>
                <w:color w:val="0F1115"/>
                <w:sz w:val="23"/>
                <w:szCs w:val="23"/>
                <w:lang w:eastAsia="zh-CN"/>
              </w:rPr>
              <w:t>0.048</w:t>
            </w:r>
          </w:p>
        </w:tc>
      </w:tr>
      <w:tr w14:paraId="40B693A6">
        <w:tblPrEx>
          <w:tblCellMar>
            <w:top w:w="0" w:type="dxa"/>
            <w:left w:w="108" w:type="dxa"/>
            <w:bottom w:w="0" w:type="dxa"/>
            <w:right w:w="108" w:type="dxa"/>
          </w:tblCellMar>
        </w:tblPrEx>
        <w:tc>
          <w:tcPr>
            <w:tcW w:w="859" w:type="pct"/>
            <w:tcBorders>
              <w:left w:val="nil"/>
              <w:right w:val="nil"/>
            </w:tcBorders>
          </w:tcPr>
          <w:p w14:paraId="438E8233">
            <w:r>
              <w:rPr>
                <w:rFonts w:hint="eastAsia" w:ascii="宋体" w:hAnsi="宋体" w:eastAsia="宋体" w:cs="宋体"/>
              </w:rPr>
              <w:t>攀岩</w:t>
            </w:r>
          </w:p>
        </w:tc>
        <w:tc>
          <w:tcPr>
            <w:tcW w:w="650" w:type="pct"/>
            <w:tcBorders>
              <w:left w:val="nil"/>
              <w:right w:val="nil"/>
            </w:tcBorders>
            <w:vAlign w:val="center"/>
          </w:tcPr>
          <w:p w14:paraId="4D25ADCD">
            <w:r>
              <w:rPr>
                <w:rFonts w:ascii="Segoe UI" w:hAnsi="Segoe UI" w:eastAsia="宋体" w:cs="Segoe UI"/>
                <w:color w:val="0F1115"/>
                <w:sz w:val="23"/>
                <w:szCs w:val="23"/>
                <w:lang w:eastAsia="zh-CN"/>
              </w:rPr>
              <w:t>0.039</w:t>
            </w:r>
          </w:p>
        </w:tc>
        <w:tc>
          <w:tcPr>
            <w:tcW w:w="772" w:type="pct"/>
            <w:tcBorders>
              <w:left w:val="nil"/>
              <w:right w:val="nil"/>
            </w:tcBorders>
            <w:vAlign w:val="center"/>
          </w:tcPr>
          <w:p w14:paraId="3989720E">
            <w:r>
              <w:rPr>
                <w:rFonts w:ascii="Segoe UI" w:hAnsi="Segoe UI" w:eastAsia="宋体" w:cs="Segoe UI"/>
                <w:color w:val="0F1115"/>
                <w:sz w:val="23"/>
                <w:szCs w:val="23"/>
                <w:lang w:eastAsia="zh-CN"/>
              </w:rPr>
              <w:t>0.103</w:t>
            </w:r>
          </w:p>
        </w:tc>
        <w:tc>
          <w:tcPr>
            <w:tcW w:w="772" w:type="pct"/>
            <w:tcBorders>
              <w:left w:val="nil"/>
              <w:right w:val="nil"/>
            </w:tcBorders>
            <w:vAlign w:val="center"/>
          </w:tcPr>
          <w:p w14:paraId="68E96218">
            <w:r>
              <w:rPr>
                <w:rFonts w:ascii="Segoe UI" w:hAnsi="Segoe UI" w:eastAsia="宋体" w:cs="Segoe UI"/>
                <w:color w:val="0F1115"/>
                <w:sz w:val="23"/>
                <w:szCs w:val="23"/>
                <w:lang w:eastAsia="zh-CN"/>
              </w:rPr>
              <w:t>0.038</w:t>
            </w:r>
          </w:p>
        </w:tc>
        <w:tc>
          <w:tcPr>
            <w:tcW w:w="650" w:type="pct"/>
            <w:tcBorders>
              <w:left w:val="nil"/>
              <w:right w:val="nil"/>
            </w:tcBorders>
            <w:vAlign w:val="center"/>
          </w:tcPr>
          <w:p w14:paraId="5C6518D8">
            <w:r>
              <w:rPr>
                <w:rFonts w:ascii="Segoe UI" w:hAnsi="Segoe UI" w:eastAsia="宋体" w:cs="Segoe UI"/>
                <w:color w:val="0F1115"/>
                <w:sz w:val="23"/>
                <w:szCs w:val="23"/>
                <w:lang w:eastAsia="zh-CN"/>
              </w:rPr>
              <w:t>0.054</w:t>
            </w:r>
          </w:p>
        </w:tc>
        <w:tc>
          <w:tcPr>
            <w:tcW w:w="650" w:type="pct"/>
            <w:tcBorders>
              <w:left w:val="nil"/>
              <w:right w:val="nil"/>
            </w:tcBorders>
            <w:vAlign w:val="center"/>
          </w:tcPr>
          <w:p w14:paraId="2D77066A">
            <w:r>
              <w:rPr>
                <w:rFonts w:ascii="Segoe UI" w:hAnsi="Segoe UI" w:eastAsia="宋体" w:cs="Segoe UI"/>
                <w:color w:val="0F1115"/>
                <w:sz w:val="23"/>
                <w:szCs w:val="23"/>
                <w:lang w:eastAsia="zh-CN"/>
              </w:rPr>
              <w:t>0.128</w:t>
            </w:r>
          </w:p>
        </w:tc>
        <w:tc>
          <w:tcPr>
            <w:tcW w:w="648" w:type="pct"/>
            <w:tcBorders>
              <w:left w:val="nil"/>
              <w:right w:val="nil"/>
            </w:tcBorders>
            <w:vAlign w:val="center"/>
          </w:tcPr>
          <w:p w14:paraId="4A3DD238">
            <w:r>
              <w:rPr>
                <w:rFonts w:ascii="Segoe UI" w:hAnsi="Segoe UI" w:eastAsia="宋体" w:cs="Segoe UI"/>
                <w:color w:val="0F1115"/>
                <w:sz w:val="23"/>
                <w:szCs w:val="23"/>
                <w:lang w:eastAsia="zh-CN"/>
              </w:rPr>
              <w:t>0.120</w:t>
            </w:r>
          </w:p>
        </w:tc>
      </w:tr>
      <w:tr w14:paraId="3C9A690D">
        <w:tblPrEx>
          <w:tblCellMar>
            <w:top w:w="0" w:type="dxa"/>
            <w:left w:w="108" w:type="dxa"/>
            <w:bottom w:w="0" w:type="dxa"/>
            <w:right w:w="108" w:type="dxa"/>
          </w:tblCellMar>
        </w:tblPrEx>
        <w:tc>
          <w:tcPr>
            <w:tcW w:w="859" w:type="pct"/>
            <w:tcBorders>
              <w:left w:val="nil"/>
              <w:right w:val="nil"/>
            </w:tcBorders>
          </w:tcPr>
          <w:p w14:paraId="374B10F6">
            <w:r>
              <w:rPr>
                <w:rFonts w:hint="eastAsia" w:ascii="宋体" w:hAnsi="宋体" w:eastAsia="宋体" w:cs="宋体"/>
              </w:rPr>
              <w:t>滑板</w:t>
            </w:r>
          </w:p>
        </w:tc>
        <w:tc>
          <w:tcPr>
            <w:tcW w:w="650" w:type="pct"/>
            <w:tcBorders>
              <w:left w:val="nil"/>
              <w:right w:val="nil"/>
            </w:tcBorders>
            <w:vAlign w:val="center"/>
          </w:tcPr>
          <w:p w14:paraId="55D6760C">
            <w:r>
              <w:rPr>
                <w:rFonts w:ascii="Segoe UI" w:hAnsi="Segoe UI" w:eastAsia="宋体" w:cs="Segoe UI"/>
                <w:color w:val="0F1115"/>
                <w:sz w:val="23"/>
                <w:szCs w:val="23"/>
                <w:lang w:eastAsia="zh-CN"/>
              </w:rPr>
              <w:t>0.052</w:t>
            </w:r>
          </w:p>
        </w:tc>
        <w:tc>
          <w:tcPr>
            <w:tcW w:w="772" w:type="pct"/>
            <w:tcBorders>
              <w:left w:val="nil"/>
              <w:right w:val="nil"/>
            </w:tcBorders>
            <w:vAlign w:val="center"/>
          </w:tcPr>
          <w:p w14:paraId="1F7B8B8B">
            <w:r>
              <w:rPr>
                <w:rFonts w:ascii="Segoe UI" w:hAnsi="Segoe UI" w:eastAsia="宋体" w:cs="Segoe UI"/>
                <w:color w:val="0F1115"/>
                <w:sz w:val="23"/>
                <w:szCs w:val="23"/>
                <w:lang w:eastAsia="zh-CN"/>
              </w:rPr>
              <w:t>0.103</w:t>
            </w:r>
          </w:p>
        </w:tc>
        <w:tc>
          <w:tcPr>
            <w:tcW w:w="772" w:type="pct"/>
            <w:tcBorders>
              <w:left w:val="nil"/>
              <w:right w:val="nil"/>
            </w:tcBorders>
            <w:vAlign w:val="center"/>
          </w:tcPr>
          <w:p w14:paraId="61A51D86">
            <w:r>
              <w:rPr>
                <w:rFonts w:ascii="Segoe UI" w:hAnsi="Segoe UI" w:eastAsia="宋体" w:cs="Segoe UI"/>
                <w:color w:val="0F1115"/>
                <w:sz w:val="23"/>
                <w:szCs w:val="23"/>
                <w:lang w:eastAsia="zh-CN"/>
              </w:rPr>
              <w:t>0.070</w:t>
            </w:r>
          </w:p>
        </w:tc>
        <w:tc>
          <w:tcPr>
            <w:tcW w:w="650" w:type="pct"/>
            <w:tcBorders>
              <w:left w:val="nil"/>
              <w:right w:val="nil"/>
            </w:tcBorders>
            <w:vAlign w:val="center"/>
          </w:tcPr>
          <w:p w14:paraId="166A8934">
            <w:r>
              <w:rPr>
                <w:rFonts w:ascii="Segoe UI" w:hAnsi="Segoe UI" w:eastAsia="宋体" w:cs="Segoe UI"/>
                <w:color w:val="0F1115"/>
                <w:sz w:val="23"/>
                <w:szCs w:val="23"/>
                <w:lang w:eastAsia="zh-CN"/>
              </w:rPr>
              <w:t>0.054</w:t>
            </w:r>
          </w:p>
        </w:tc>
        <w:tc>
          <w:tcPr>
            <w:tcW w:w="650" w:type="pct"/>
            <w:tcBorders>
              <w:left w:val="nil"/>
              <w:right w:val="nil"/>
            </w:tcBorders>
            <w:vAlign w:val="center"/>
          </w:tcPr>
          <w:p w14:paraId="101E5C78">
            <w:r>
              <w:rPr>
                <w:rFonts w:ascii="Segoe UI" w:hAnsi="Segoe UI" w:eastAsia="宋体" w:cs="Segoe UI"/>
                <w:color w:val="0F1115"/>
                <w:sz w:val="23"/>
                <w:szCs w:val="23"/>
                <w:lang w:eastAsia="zh-CN"/>
              </w:rPr>
              <w:t>0.128</w:t>
            </w:r>
          </w:p>
        </w:tc>
        <w:tc>
          <w:tcPr>
            <w:tcW w:w="648" w:type="pct"/>
            <w:tcBorders>
              <w:left w:val="nil"/>
              <w:right w:val="nil"/>
            </w:tcBorders>
            <w:vAlign w:val="center"/>
          </w:tcPr>
          <w:p w14:paraId="77CE337E">
            <w:r>
              <w:rPr>
                <w:rFonts w:ascii="Segoe UI" w:hAnsi="Segoe UI" w:eastAsia="宋体" w:cs="Segoe UI"/>
                <w:color w:val="0F1115"/>
                <w:sz w:val="23"/>
                <w:szCs w:val="23"/>
                <w:lang w:eastAsia="zh-CN"/>
              </w:rPr>
              <w:t>0.000</w:t>
            </w:r>
          </w:p>
        </w:tc>
      </w:tr>
      <w:tr w14:paraId="31065F31">
        <w:tblPrEx>
          <w:tblCellMar>
            <w:top w:w="0" w:type="dxa"/>
            <w:left w:w="108" w:type="dxa"/>
            <w:bottom w:w="0" w:type="dxa"/>
            <w:right w:w="108" w:type="dxa"/>
          </w:tblCellMar>
        </w:tblPrEx>
        <w:tc>
          <w:tcPr>
            <w:tcW w:w="859" w:type="pct"/>
            <w:tcBorders>
              <w:left w:val="nil"/>
              <w:right w:val="nil"/>
            </w:tcBorders>
          </w:tcPr>
          <w:p w14:paraId="0ABCF05E">
            <w:r>
              <w:rPr>
                <w:rFonts w:hint="eastAsia" w:ascii="宋体" w:hAnsi="宋体" w:eastAsia="宋体" w:cs="宋体"/>
              </w:rPr>
              <w:t>冲浪</w:t>
            </w:r>
          </w:p>
        </w:tc>
        <w:tc>
          <w:tcPr>
            <w:tcW w:w="650" w:type="pct"/>
            <w:tcBorders>
              <w:left w:val="nil"/>
              <w:right w:val="nil"/>
            </w:tcBorders>
            <w:vAlign w:val="center"/>
          </w:tcPr>
          <w:p w14:paraId="0D5DF50F">
            <w:r>
              <w:rPr>
                <w:rFonts w:ascii="Segoe UI" w:hAnsi="Segoe UI" w:eastAsia="宋体" w:cs="Segoe UI"/>
                <w:color w:val="0F1115"/>
                <w:sz w:val="23"/>
                <w:szCs w:val="23"/>
                <w:lang w:eastAsia="zh-CN"/>
              </w:rPr>
              <w:t>0.045</w:t>
            </w:r>
          </w:p>
        </w:tc>
        <w:tc>
          <w:tcPr>
            <w:tcW w:w="772" w:type="pct"/>
            <w:tcBorders>
              <w:left w:val="nil"/>
              <w:right w:val="nil"/>
            </w:tcBorders>
            <w:vAlign w:val="center"/>
          </w:tcPr>
          <w:p w14:paraId="688EE8AF">
            <w:r>
              <w:rPr>
                <w:rFonts w:ascii="Segoe UI" w:hAnsi="Segoe UI" w:eastAsia="宋体" w:cs="Segoe UI"/>
                <w:color w:val="0F1115"/>
                <w:sz w:val="23"/>
                <w:szCs w:val="23"/>
                <w:lang w:eastAsia="zh-CN"/>
              </w:rPr>
              <w:t>0.103</w:t>
            </w:r>
          </w:p>
        </w:tc>
        <w:tc>
          <w:tcPr>
            <w:tcW w:w="772" w:type="pct"/>
            <w:tcBorders>
              <w:left w:val="nil"/>
              <w:right w:val="nil"/>
            </w:tcBorders>
            <w:vAlign w:val="center"/>
          </w:tcPr>
          <w:p w14:paraId="4D81702B">
            <w:r>
              <w:rPr>
                <w:rFonts w:ascii="Segoe UI" w:hAnsi="Segoe UI" w:eastAsia="宋体" w:cs="Segoe UI"/>
                <w:color w:val="0F1115"/>
                <w:sz w:val="23"/>
                <w:szCs w:val="23"/>
                <w:lang w:eastAsia="zh-CN"/>
              </w:rPr>
              <w:t>0.070</w:t>
            </w:r>
          </w:p>
        </w:tc>
        <w:tc>
          <w:tcPr>
            <w:tcW w:w="650" w:type="pct"/>
            <w:tcBorders>
              <w:left w:val="nil"/>
              <w:right w:val="nil"/>
            </w:tcBorders>
            <w:vAlign w:val="center"/>
          </w:tcPr>
          <w:p w14:paraId="79B8FF5A">
            <w:r>
              <w:rPr>
                <w:rFonts w:ascii="Segoe UI" w:hAnsi="Segoe UI" w:eastAsia="宋体" w:cs="Segoe UI"/>
                <w:color w:val="0F1115"/>
                <w:sz w:val="23"/>
                <w:szCs w:val="23"/>
                <w:lang w:eastAsia="zh-CN"/>
              </w:rPr>
              <w:t>0.047</w:t>
            </w:r>
          </w:p>
        </w:tc>
        <w:tc>
          <w:tcPr>
            <w:tcW w:w="650" w:type="pct"/>
            <w:tcBorders>
              <w:left w:val="nil"/>
              <w:right w:val="nil"/>
            </w:tcBorders>
            <w:vAlign w:val="center"/>
          </w:tcPr>
          <w:p w14:paraId="492928D0">
            <w:r>
              <w:rPr>
                <w:rFonts w:ascii="Segoe UI" w:hAnsi="Segoe UI" w:eastAsia="宋体" w:cs="Segoe UI"/>
                <w:color w:val="0F1115"/>
                <w:sz w:val="23"/>
                <w:szCs w:val="23"/>
                <w:lang w:eastAsia="zh-CN"/>
              </w:rPr>
              <w:t>0.128</w:t>
            </w:r>
          </w:p>
        </w:tc>
        <w:tc>
          <w:tcPr>
            <w:tcW w:w="648" w:type="pct"/>
            <w:tcBorders>
              <w:left w:val="nil"/>
              <w:right w:val="nil"/>
            </w:tcBorders>
            <w:vAlign w:val="center"/>
          </w:tcPr>
          <w:p w14:paraId="4B0F9CFC">
            <w:r>
              <w:rPr>
                <w:rFonts w:ascii="Segoe UI" w:hAnsi="Segoe UI" w:eastAsia="宋体" w:cs="Segoe UI"/>
                <w:color w:val="0F1115"/>
                <w:sz w:val="23"/>
                <w:szCs w:val="23"/>
                <w:lang w:eastAsia="zh-CN"/>
              </w:rPr>
              <w:t>0.108</w:t>
            </w:r>
          </w:p>
        </w:tc>
      </w:tr>
      <w:tr w14:paraId="3772D91B">
        <w:tblPrEx>
          <w:tblCellMar>
            <w:top w:w="0" w:type="dxa"/>
            <w:left w:w="108" w:type="dxa"/>
            <w:bottom w:w="0" w:type="dxa"/>
            <w:right w:w="108" w:type="dxa"/>
          </w:tblCellMar>
        </w:tblPrEx>
        <w:tc>
          <w:tcPr>
            <w:tcW w:w="859" w:type="pct"/>
            <w:tcBorders>
              <w:left w:val="nil"/>
              <w:right w:val="nil"/>
            </w:tcBorders>
          </w:tcPr>
          <w:p w14:paraId="5C7EA700">
            <w:r>
              <w:rPr>
                <w:rFonts w:hint="eastAsia" w:ascii="宋体" w:hAnsi="宋体" w:eastAsia="宋体" w:cs="宋体"/>
              </w:rPr>
              <w:t>霹雳舞</w:t>
            </w:r>
          </w:p>
        </w:tc>
        <w:tc>
          <w:tcPr>
            <w:tcW w:w="650" w:type="pct"/>
            <w:tcBorders>
              <w:left w:val="nil"/>
              <w:right w:val="nil"/>
            </w:tcBorders>
            <w:vAlign w:val="center"/>
          </w:tcPr>
          <w:p w14:paraId="01D9A0CB">
            <w:r>
              <w:rPr>
                <w:rFonts w:ascii="Segoe UI" w:hAnsi="Segoe UI" w:eastAsia="宋体" w:cs="Segoe UI"/>
                <w:color w:val="0F1115"/>
                <w:sz w:val="23"/>
                <w:szCs w:val="23"/>
                <w:lang w:eastAsia="zh-CN"/>
              </w:rPr>
              <w:t>0.033</w:t>
            </w:r>
          </w:p>
        </w:tc>
        <w:tc>
          <w:tcPr>
            <w:tcW w:w="772" w:type="pct"/>
            <w:tcBorders>
              <w:left w:val="nil"/>
              <w:right w:val="nil"/>
            </w:tcBorders>
            <w:vAlign w:val="center"/>
          </w:tcPr>
          <w:p w14:paraId="14FA2D8B">
            <w:r>
              <w:rPr>
                <w:rFonts w:ascii="Segoe UI" w:hAnsi="Segoe UI" w:eastAsia="宋体" w:cs="Segoe UI"/>
                <w:color w:val="0F1115"/>
                <w:sz w:val="23"/>
                <w:szCs w:val="23"/>
                <w:lang w:eastAsia="zh-CN"/>
              </w:rPr>
              <w:t>0.112</w:t>
            </w:r>
          </w:p>
        </w:tc>
        <w:tc>
          <w:tcPr>
            <w:tcW w:w="772" w:type="pct"/>
            <w:tcBorders>
              <w:left w:val="nil"/>
              <w:right w:val="nil"/>
            </w:tcBorders>
            <w:vAlign w:val="center"/>
          </w:tcPr>
          <w:p w14:paraId="5CB1DDE7">
            <w:r>
              <w:rPr>
                <w:rFonts w:ascii="Segoe UI" w:hAnsi="Segoe UI" w:eastAsia="宋体" w:cs="Segoe UI"/>
                <w:color w:val="0F1115"/>
                <w:sz w:val="23"/>
                <w:szCs w:val="23"/>
                <w:lang w:eastAsia="zh-CN"/>
              </w:rPr>
              <w:t>0.000</w:t>
            </w:r>
          </w:p>
        </w:tc>
        <w:tc>
          <w:tcPr>
            <w:tcW w:w="650" w:type="pct"/>
            <w:tcBorders>
              <w:left w:val="nil"/>
              <w:right w:val="nil"/>
            </w:tcBorders>
            <w:vAlign w:val="center"/>
          </w:tcPr>
          <w:p w14:paraId="2E9ABE70">
            <w:r>
              <w:rPr>
                <w:rFonts w:ascii="Segoe UI" w:hAnsi="Segoe UI" w:eastAsia="宋体" w:cs="Segoe UI"/>
                <w:color w:val="0F1115"/>
                <w:sz w:val="23"/>
                <w:szCs w:val="23"/>
                <w:lang w:eastAsia="zh-CN"/>
              </w:rPr>
              <w:t>0.000</w:t>
            </w:r>
          </w:p>
        </w:tc>
        <w:tc>
          <w:tcPr>
            <w:tcW w:w="650" w:type="pct"/>
            <w:tcBorders>
              <w:left w:val="nil"/>
              <w:right w:val="nil"/>
            </w:tcBorders>
            <w:vAlign w:val="center"/>
          </w:tcPr>
          <w:p w14:paraId="01888829">
            <w:r>
              <w:rPr>
                <w:rFonts w:ascii="Segoe UI" w:hAnsi="Segoe UI" w:eastAsia="宋体" w:cs="Segoe UI"/>
                <w:color w:val="0F1115"/>
                <w:sz w:val="23"/>
                <w:szCs w:val="23"/>
                <w:lang w:eastAsia="zh-CN"/>
              </w:rPr>
              <w:t>0.130</w:t>
            </w:r>
          </w:p>
        </w:tc>
        <w:tc>
          <w:tcPr>
            <w:tcW w:w="648" w:type="pct"/>
            <w:tcBorders>
              <w:left w:val="nil"/>
              <w:right w:val="nil"/>
            </w:tcBorders>
            <w:vAlign w:val="center"/>
          </w:tcPr>
          <w:p w14:paraId="6DDC4C95">
            <w:r>
              <w:rPr>
                <w:rFonts w:ascii="Segoe UI" w:hAnsi="Segoe UI" w:eastAsia="宋体" w:cs="Segoe UI"/>
                <w:color w:val="0F1115"/>
                <w:sz w:val="23"/>
                <w:szCs w:val="23"/>
                <w:lang w:eastAsia="zh-CN"/>
              </w:rPr>
              <w:t>0.084</w:t>
            </w:r>
          </w:p>
        </w:tc>
      </w:tr>
      <w:tr w14:paraId="12A80FA3">
        <w:tblPrEx>
          <w:tblCellMar>
            <w:top w:w="0" w:type="dxa"/>
            <w:left w:w="108" w:type="dxa"/>
            <w:bottom w:w="0" w:type="dxa"/>
            <w:right w:w="108" w:type="dxa"/>
          </w:tblCellMar>
        </w:tblPrEx>
        <w:tc>
          <w:tcPr>
            <w:tcW w:w="859" w:type="pct"/>
            <w:tcBorders>
              <w:left w:val="nil"/>
              <w:right w:val="nil"/>
            </w:tcBorders>
          </w:tcPr>
          <w:p w14:paraId="4BFFB241">
            <w:r>
              <w:rPr>
                <w:rFonts w:hint="eastAsia" w:ascii="宋体" w:hAnsi="宋体" w:eastAsia="宋体" w:cs="宋体"/>
              </w:rPr>
              <w:t>电子竞技</w:t>
            </w:r>
          </w:p>
        </w:tc>
        <w:tc>
          <w:tcPr>
            <w:tcW w:w="650" w:type="pct"/>
            <w:tcBorders>
              <w:left w:val="nil"/>
              <w:right w:val="nil"/>
            </w:tcBorders>
            <w:vAlign w:val="center"/>
          </w:tcPr>
          <w:p w14:paraId="2B665276">
            <w:r>
              <w:rPr>
                <w:rFonts w:ascii="Segoe UI" w:hAnsi="Segoe UI" w:eastAsia="宋体" w:cs="Segoe UI"/>
                <w:color w:val="0F1115"/>
                <w:sz w:val="23"/>
                <w:szCs w:val="23"/>
                <w:lang w:eastAsia="zh-CN"/>
              </w:rPr>
              <w:t>0.203</w:t>
            </w:r>
          </w:p>
        </w:tc>
        <w:tc>
          <w:tcPr>
            <w:tcW w:w="772" w:type="pct"/>
            <w:tcBorders>
              <w:left w:val="nil"/>
              <w:right w:val="nil"/>
            </w:tcBorders>
            <w:vAlign w:val="center"/>
          </w:tcPr>
          <w:p w14:paraId="0F765375">
            <w:r>
              <w:rPr>
                <w:rFonts w:ascii="Segoe UI" w:hAnsi="Segoe UI" w:eastAsia="宋体" w:cs="Segoe UI"/>
                <w:color w:val="0F1115"/>
                <w:sz w:val="23"/>
                <w:szCs w:val="23"/>
                <w:lang w:eastAsia="zh-CN"/>
              </w:rPr>
              <w:t>0.000</w:t>
            </w:r>
          </w:p>
        </w:tc>
        <w:tc>
          <w:tcPr>
            <w:tcW w:w="772" w:type="pct"/>
            <w:tcBorders>
              <w:left w:val="nil"/>
              <w:right w:val="nil"/>
            </w:tcBorders>
            <w:vAlign w:val="center"/>
          </w:tcPr>
          <w:p w14:paraId="496C7A22">
            <w:r>
              <w:rPr>
                <w:rFonts w:ascii="Segoe UI" w:hAnsi="Segoe UI" w:eastAsia="宋体" w:cs="Segoe UI"/>
                <w:color w:val="0F1115"/>
                <w:sz w:val="23"/>
                <w:szCs w:val="23"/>
                <w:lang w:eastAsia="zh-CN"/>
              </w:rPr>
              <w:t>0.195</w:t>
            </w:r>
          </w:p>
        </w:tc>
        <w:tc>
          <w:tcPr>
            <w:tcW w:w="650" w:type="pct"/>
            <w:tcBorders>
              <w:left w:val="nil"/>
              <w:right w:val="nil"/>
            </w:tcBorders>
            <w:vAlign w:val="center"/>
          </w:tcPr>
          <w:p w14:paraId="619640E4">
            <w:r>
              <w:rPr>
                <w:rFonts w:ascii="Segoe UI" w:hAnsi="Segoe UI" w:eastAsia="宋体" w:cs="Segoe UI"/>
                <w:color w:val="0F1115"/>
                <w:sz w:val="23"/>
                <w:szCs w:val="23"/>
                <w:lang w:eastAsia="zh-CN"/>
              </w:rPr>
              <w:t>0.130</w:t>
            </w:r>
          </w:p>
        </w:tc>
        <w:tc>
          <w:tcPr>
            <w:tcW w:w="650" w:type="pct"/>
            <w:tcBorders>
              <w:left w:val="nil"/>
              <w:right w:val="nil"/>
            </w:tcBorders>
            <w:vAlign w:val="center"/>
          </w:tcPr>
          <w:p w14:paraId="5C446329">
            <w:r>
              <w:rPr>
                <w:rFonts w:ascii="Segoe UI" w:hAnsi="Segoe UI" w:eastAsia="宋体" w:cs="Segoe UI"/>
                <w:color w:val="0F1115"/>
                <w:sz w:val="23"/>
                <w:szCs w:val="23"/>
                <w:lang w:eastAsia="zh-CN"/>
              </w:rPr>
              <w:t>0.130</w:t>
            </w:r>
          </w:p>
        </w:tc>
        <w:tc>
          <w:tcPr>
            <w:tcW w:w="648" w:type="pct"/>
            <w:tcBorders>
              <w:left w:val="nil"/>
              <w:right w:val="nil"/>
            </w:tcBorders>
            <w:vAlign w:val="center"/>
          </w:tcPr>
          <w:p w14:paraId="469D1128">
            <w:r>
              <w:rPr>
                <w:rFonts w:ascii="Segoe UI" w:hAnsi="Segoe UI" w:eastAsia="宋体" w:cs="Segoe UI"/>
                <w:color w:val="0F1115"/>
                <w:sz w:val="23"/>
                <w:szCs w:val="23"/>
                <w:lang w:eastAsia="zh-CN"/>
              </w:rPr>
              <w:t>0.144</w:t>
            </w:r>
          </w:p>
        </w:tc>
      </w:tr>
      <w:tr w14:paraId="56FC4779">
        <w:tblPrEx>
          <w:tblCellMar>
            <w:top w:w="0" w:type="dxa"/>
            <w:left w:w="108" w:type="dxa"/>
            <w:bottom w:w="0" w:type="dxa"/>
            <w:right w:w="108" w:type="dxa"/>
          </w:tblCellMar>
        </w:tblPrEx>
        <w:tc>
          <w:tcPr>
            <w:tcW w:w="859" w:type="pct"/>
            <w:tcBorders>
              <w:left w:val="nil"/>
              <w:right w:val="nil"/>
            </w:tcBorders>
          </w:tcPr>
          <w:p w14:paraId="546CAD77">
            <w:r>
              <w:rPr>
                <w:rFonts w:hint="eastAsia" w:ascii="宋体" w:hAnsi="宋体" w:eastAsia="宋体" w:cs="宋体"/>
              </w:rPr>
              <w:t>板球</w:t>
            </w:r>
          </w:p>
        </w:tc>
        <w:tc>
          <w:tcPr>
            <w:tcW w:w="650" w:type="pct"/>
            <w:tcBorders>
              <w:left w:val="nil"/>
              <w:right w:val="nil"/>
            </w:tcBorders>
            <w:vAlign w:val="center"/>
          </w:tcPr>
          <w:p w14:paraId="6847927B">
            <w:r>
              <w:rPr>
                <w:rFonts w:ascii="Segoe UI" w:hAnsi="Segoe UI" w:eastAsia="宋体" w:cs="Segoe UI"/>
                <w:color w:val="0F1115"/>
                <w:sz w:val="23"/>
                <w:szCs w:val="23"/>
                <w:lang w:eastAsia="zh-CN"/>
              </w:rPr>
              <w:t>0.000</w:t>
            </w:r>
          </w:p>
        </w:tc>
        <w:tc>
          <w:tcPr>
            <w:tcW w:w="772" w:type="pct"/>
            <w:tcBorders>
              <w:left w:val="nil"/>
              <w:right w:val="nil"/>
            </w:tcBorders>
            <w:vAlign w:val="center"/>
          </w:tcPr>
          <w:p w14:paraId="1CCB7A3D">
            <w:r>
              <w:rPr>
                <w:rFonts w:ascii="Segoe UI" w:hAnsi="Segoe UI" w:eastAsia="宋体" w:cs="Segoe UI"/>
                <w:color w:val="0F1115"/>
                <w:sz w:val="23"/>
                <w:szCs w:val="23"/>
                <w:lang w:eastAsia="zh-CN"/>
              </w:rPr>
              <w:t>0.021</w:t>
            </w:r>
          </w:p>
        </w:tc>
        <w:tc>
          <w:tcPr>
            <w:tcW w:w="772" w:type="pct"/>
            <w:tcBorders>
              <w:left w:val="nil"/>
              <w:right w:val="nil"/>
            </w:tcBorders>
            <w:vAlign w:val="center"/>
          </w:tcPr>
          <w:p w14:paraId="451D2BCF">
            <w:r>
              <w:rPr>
                <w:rFonts w:ascii="Segoe UI" w:hAnsi="Segoe UI" w:eastAsia="宋体" w:cs="Segoe UI"/>
                <w:color w:val="0F1115"/>
                <w:sz w:val="23"/>
                <w:szCs w:val="23"/>
                <w:lang w:eastAsia="zh-CN"/>
              </w:rPr>
              <w:t>0.000</w:t>
            </w:r>
          </w:p>
        </w:tc>
        <w:tc>
          <w:tcPr>
            <w:tcW w:w="650" w:type="pct"/>
            <w:tcBorders>
              <w:left w:val="nil"/>
              <w:right w:val="nil"/>
            </w:tcBorders>
            <w:vAlign w:val="center"/>
          </w:tcPr>
          <w:p w14:paraId="0B268024">
            <w:r>
              <w:rPr>
                <w:rFonts w:ascii="Segoe UI" w:hAnsi="Segoe UI" w:eastAsia="宋体" w:cs="Segoe UI"/>
                <w:color w:val="0F1115"/>
                <w:sz w:val="23"/>
                <w:szCs w:val="23"/>
                <w:lang w:eastAsia="zh-CN"/>
              </w:rPr>
              <w:t>0.041</w:t>
            </w:r>
          </w:p>
        </w:tc>
        <w:tc>
          <w:tcPr>
            <w:tcW w:w="650" w:type="pct"/>
            <w:tcBorders>
              <w:left w:val="nil"/>
              <w:right w:val="nil"/>
            </w:tcBorders>
            <w:vAlign w:val="center"/>
          </w:tcPr>
          <w:p w14:paraId="5F0E93AF">
            <w:r>
              <w:rPr>
                <w:rFonts w:ascii="Segoe UI" w:hAnsi="Segoe UI" w:eastAsia="宋体" w:cs="Segoe UI"/>
                <w:color w:val="0F1115"/>
                <w:sz w:val="23"/>
                <w:szCs w:val="23"/>
                <w:lang w:eastAsia="zh-CN"/>
              </w:rPr>
              <w:t>0.000</w:t>
            </w:r>
          </w:p>
        </w:tc>
        <w:tc>
          <w:tcPr>
            <w:tcW w:w="648" w:type="pct"/>
            <w:tcBorders>
              <w:left w:val="nil"/>
              <w:right w:val="nil"/>
            </w:tcBorders>
            <w:vAlign w:val="center"/>
          </w:tcPr>
          <w:p w14:paraId="4D4479AA">
            <w:r>
              <w:rPr>
                <w:rFonts w:ascii="Segoe UI" w:hAnsi="Segoe UI" w:eastAsia="宋体" w:cs="Segoe UI"/>
                <w:color w:val="0F1115"/>
                <w:sz w:val="23"/>
                <w:szCs w:val="23"/>
                <w:lang w:eastAsia="zh-CN"/>
              </w:rPr>
              <w:t>0.072</w:t>
            </w:r>
          </w:p>
        </w:tc>
      </w:tr>
      <w:tr w14:paraId="44FB7792">
        <w:tblPrEx>
          <w:tblCellMar>
            <w:top w:w="0" w:type="dxa"/>
            <w:left w:w="108" w:type="dxa"/>
            <w:bottom w:w="0" w:type="dxa"/>
            <w:right w:w="108" w:type="dxa"/>
          </w:tblCellMar>
        </w:tblPrEx>
        <w:tc>
          <w:tcPr>
            <w:tcW w:w="859" w:type="pct"/>
            <w:tcBorders>
              <w:left w:val="nil"/>
              <w:right w:val="nil"/>
            </w:tcBorders>
          </w:tcPr>
          <w:p w14:paraId="274EC932">
            <w:r>
              <w:rPr>
                <w:rFonts w:hint="eastAsia" w:ascii="宋体" w:hAnsi="宋体" w:eastAsia="宋体" w:cs="宋体"/>
              </w:rPr>
              <w:t>空手道</w:t>
            </w:r>
          </w:p>
        </w:tc>
        <w:tc>
          <w:tcPr>
            <w:tcW w:w="650" w:type="pct"/>
            <w:tcBorders>
              <w:left w:val="nil"/>
              <w:right w:val="nil"/>
            </w:tcBorders>
            <w:vAlign w:val="center"/>
          </w:tcPr>
          <w:p w14:paraId="14894DA5">
            <w:r>
              <w:rPr>
                <w:rFonts w:ascii="Segoe UI" w:hAnsi="Segoe UI" w:eastAsia="宋体" w:cs="Segoe UI"/>
                <w:color w:val="0F1115"/>
                <w:sz w:val="23"/>
                <w:szCs w:val="23"/>
                <w:lang w:eastAsia="zh-CN"/>
              </w:rPr>
              <w:t>0.080</w:t>
            </w:r>
          </w:p>
        </w:tc>
        <w:tc>
          <w:tcPr>
            <w:tcW w:w="772" w:type="pct"/>
            <w:tcBorders>
              <w:left w:val="nil"/>
              <w:right w:val="nil"/>
            </w:tcBorders>
            <w:vAlign w:val="center"/>
          </w:tcPr>
          <w:p w14:paraId="72747B8B">
            <w:r>
              <w:rPr>
                <w:rFonts w:ascii="Segoe UI" w:hAnsi="Segoe UI" w:eastAsia="宋体" w:cs="Segoe UI"/>
                <w:color w:val="0F1115"/>
                <w:sz w:val="23"/>
                <w:szCs w:val="23"/>
                <w:lang w:eastAsia="zh-CN"/>
              </w:rPr>
              <w:t>0.103</w:t>
            </w:r>
          </w:p>
        </w:tc>
        <w:tc>
          <w:tcPr>
            <w:tcW w:w="772" w:type="pct"/>
            <w:tcBorders>
              <w:left w:val="nil"/>
              <w:right w:val="nil"/>
            </w:tcBorders>
            <w:vAlign w:val="center"/>
          </w:tcPr>
          <w:p w14:paraId="79B48412">
            <w:r>
              <w:rPr>
                <w:rFonts w:ascii="Segoe UI" w:hAnsi="Segoe UI" w:eastAsia="宋体" w:cs="Segoe UI"/>
                <w:color w:val="0F1115"/>
                <w:sz w:val="23"/>
                <w:szCs w:val="23"/>
                <w:lang w:eastAsia="zh-CN"/>
              </w:rPr>
              <w:t>0.000</w:t>
            </w:r>
          </w:p>
        </w:tc>
        <w:tc>
          <w:tcPr>
            <w:tcW w:w="650" w:type="pct"/>
            <w:tcBorders>
              <w:left w:val="nil"/>
              <w:right w:val="nil"/>
            </w:tcBorders>
            <w:vAlign w:val="center"/>
          </w:tcPr>
          <w:p w14:paraId="1D3B9B0E">
            <w:r>
              <w:rPr>
                <w:rFonts w:ascii="Segoe UI" w:hAnsi="Segoe UI" w:eastAsia="宋体" w:cs="Segoe UI"/>
                <w:color w:val="0F1115"/>
                <w:sz w:val="23"/>
                <w:szCs w:val="23"/>
                <w:lang w:eastAsia="zh-CN"/>
              </w:rPr>
              <w:t>0.022</w:t>
            </w:r>
          </w:p>
        </w:tc>
        <w:tc>
          <w:tcPr>
            <w:tcW w:w="650" w:type="pct"/>
            <w:tcBorders>
              <w:left w:val="nil"/>
              <w:right w:val="nil"/>
            </w:tcBorders>
            <w:vAlign w:val="center"/>
          </w:tcPr>
          <w:p w14:paraId="12B82CF3">
            <w:r>
              <w:rPr>
                <w:rFonts w:ascii="Segoe UI" w:hAnsi="Segoe UI" w:eastAsia="宋体" w:cs="Segoe UI"/>
                <w:color w:val="0F1115"/>
                <w:sz w:val="23"/>
                <w:szCs w:val="23"/>
                <w:lang w:eastAsia="zh-CN"/>
              </w:rPr>
              <w:t>0.128</w:t>
            </w:r>
          </w:p>
        </w:tc>
        <w:tc>
          <w:tcPr>
            <w:tcW w:w="648" w:type="pct"/>
            <w:tcBorders>
              <w:left w:val="nil"/>
              <w:right w:val="nil"/>
            </w:tcBorders>
            <w:vAlign w:val="center"/>
          </w:tcPr>
          <w:p w14:paraId="3EA116FB">
            <w:r>
              <w:rPr>
                <w:rFonts w:ascii="Segoe UI" w:hAnsi="Segoe UI" w:eastAsia="宋体" w:cs="Segoe UI"/>
                <w:color w:val="0F1115"/>
                <w:sz w:val="23"/>
                <w:szCs w:val="23"/>
                <w:lang w:eastAsia="zh-CN"/>
              </w:rPr>
              <w:t>0.060</w:t>
            </w:r>
          </w:p>
        </w:tc>
      </w:tr>
      <w:tr w14:paraId="68BF42DD">
        <w:tblPrEx>
          <w:tblCellMar>
            <w:top w:w="0" w:type="dxa"/>
            <w:left w:w="108" w:type="dxa"/>
            <w:bottom w:w="0" w:type="dxa"/>
            <w:right w:w="108" w:type="dxa"/>
          </w:tblCellMar>
        </w:tblPrEx>
        <w:tc>
          <w:tcPr>
            <w:tcW w:w="859" w:type="pct"/>
            <w:tcBorders>
              <w:left w:val="nil"/>
              <w:bottom w:val="single" w:color="000000" w:sz="12" w:space="0"/>
              <w:right w:val="nil"/>
            </w:tcBorders>
          </w:tcPr>
          <w:p w14:paraId="7E26F473">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vAlign w:val="center"/>
          </w:tcPr>
          <w:p w14:paraId="377CECDE">
            <w:r>
              <w:rPr>
                <w:rFonts w:ascii="Segoe UI" w:hAnsi="Segoe UI" w:eastAsia="宋体" w:cs="Segoe UI"/>
                <w:color w:val="0F1115"/>
                <w:sz w:val="23"/>
                <w:szCs w:val="23"/>
                <w:lang w:eastAsia="zh-CN"/>
              </w:rPr>
              <w:t>0.065</w:t>
            </w:r>
          </w:p>
        </w:tc>
        <w:tc>
          <w:tcPr>
            <w:tcW w:w="772" w:type="pct"/>
            <w:tcBorders>
              <w:left w:val="nil"/>
              <w:bottom w:val="single" w:color="000000" w:sz="12" w:space="0"/>
              <w:right w:val="nil"/>
            </w:tcBorders>
            <w:vAlign w:val="center"/>
          </w:tcPr>
          <w:p w14:paraId="4E97DBB0">
            <w:r>
              <w:rPr>
                <w:rFonts w:ascii="Segoe UI" w:hAnsi="Segoe UI" w:eastAsia="宋体" w:cs="Segoe UI"/>
                <w:color w:val="0F1115"/>
                <w:sz w:val="23"/>
                <w:szCs w:val="23"/>
                <w:lang w:eastAsia="zh-CN"/>
              </w:rPr>
              <w:t>0.062</w:t>
            </w:r>
          </w:p>
        </w:tc>
        <w:tc>
          <w:tcPr>
            <w:tcW w:w="772" w:type="pct"/>
            <w:tcBorders>
              <w:left w:val="nil"/>
              <w:bottom w:val="single" w:color="000000" w:sz="12" w:space="0"/>
              <w:right w:val="nil"/>
            </w:tcBorders>
            <w:vAlign w:val="center"/>
          </w:tcPr>
          <w:p w14:paraId="32D3BD04">
            <w:r>
              <w:rPr>
                <w:rFonts w:ascii="Segoe UI" w:hAnsi="Segoe UI" w:eastAsia="宋体" w:cs="Segoe UI"/>
                <w:color w:val="0F1115"/>
                <w:sz w:val="23"/>
                <w:szCs w:val="23"/>
                <w:lang w:eastAsia="zh-CN"/>
              </w:rPr>
              <w:t>0.050</w:t>
            </w:r>
          </w:p>
        </w:tc>
        <w:tc>
          <w:tcPr>
            <w:tcW w:w="650" w:type="pct"/>
            <w:tcBorders>
              <w:left w:val="nil"/>
              <w:bottom w:val="single" w:color="000000" w:sz="12" w:space="0"/>
              <w:right w:val="nil"/>
            </w:tcBorders>
            <w:vAlign w:val="center"/>
          </w:tcPr>
          <w:p w14:paraId="00070046">
            <w:r>
              <w:rPr>
                <w:rFonts w:ascii="Segoe UI" w:hAnsi="Segoe UI" w:eastAsia="宋体" w:cs="Segoe UI"/>
                <w:color w:val="0F1115"/>
                <w:sz w:val="23"/>
                <w:szCs w:val="23"/>
                <w:lang w:eastAsia="zh-CN"/>
              </w:rPr>
              <w:t>0.055</w:t>
            </w:r>
          </w:p>
        </w:tc>
        <w:tc>
          <w:tcPr>
            <w:tcW w:w="650" w:type="pct"/>
            <w:tcBorders>
              <w:left w:val="nil"/>
              <w:bottom w:val="single" w:color="000000" w:sz="12" w:space="0"/>
              <w:right w:val="nil"/>
            </w:tcBorders>
            <w:vAlign w:val="center"/>
          </w:tcPr>
          <w:p w14:paraId="27A22B4A">
            <w:r>
              <w:rPr>
                <w:rFonts w:ascii="Segoe UI" w:hAnsi="Segoe UI" w:eastAsia="宋体" w:cs="Segoe UI"/>
                <w:color w:val="0F1115"/>
                <w:sz w:val="23"/>
                <w:szCs w:val="23"/>
                <w:lang w:eastAsia="zh-CN"/>
              </w:rPr>
              <w:t>0.047</w:t>
            </w:r>
          </w:p>
        </w:tc>
        <w:tc>
          <w:tcPr>
            <w:tcW w:w="648" w:type="pct"/>
            <w:tcBorders>
              <w:left w:val="nil"/>
              <w:bottom w:val="single" w:color="000000" w:sz="12" w:space="0"/>
              <w:right w:val="nil"/>
            </w:tcBorders>
            <w:vAlign w:val="center"/>
          </w:tcPr>
          <w:p w14:paraId="13636FA8">
            <w:r>
              <w:rPr>
                <w:rFonts w:ascii="Segoe UI" w:hAnsi="Segoe UI" w:eastAsia="宋体" w:cs="Segoe UI"/>
                <w:color w:val="0F1115"/>
                <w:sz w:val="23"/>
                <w:szCs w:val="23"/>
                <w:lang w:eastAsia="zh-CN"/>
              </w:rPr>
              <w:t>0.108</w:t>
            </w:r>
          </w:p>
        </w:tc>
      </w:tr>
    </w:tbl>
    <w:p w14:paraId="1462645C">
      <w:pPr>
        <w:pStyle w:val="35"/>
        <w:ind w:firstLine="480"/>
        <w:rPr>
          <w:lang w:eastAsia="zh-CN"/>
        </w:rPr>
      </w:pPr>
      <w:r>
        <w:rPr>
          <w:lang w:eastAsia="zh-CN"/>
        </w:rPr>
        <w:t>下面以流行度维度为例展示从标准化到熵权的完整计算过程。 该列标准化后的12个值为（见表 </w:t>
      </w:r>
      <w:r>
        <w:fldChar w:fldCharType="begin"/>
      </w:r>
      <w:r>
        <w:instrText xml:space="preserve"> HYPERLINK \l "tab:normalized_matrix" \h </w:instrText>
      </w:r>
      <w:r>
        <w:fldChar w:fldCharType="separate"/>
      </w:r>
      <w:r>
        <w:rPr>
          <w:rStyle w:val="32"/>
          <w:rFonts w:eastAsia="宋体"/>
          <w:color w:val="auto"/>
          <w:lang w:eastAsia="zh-CN"/>
        </w:rPr>
        <w:t>6</w:t>
      </w:r>
      <w:r>
        <w:rPr>
          <w:rStyle w:val="32"/>
          <w:rFonts w:eastAsia="宋体"/>
          <w:color w:val="auto"/>
          <w:lang w:eastAsia="zh-CN"/>
        </w:rPr>
        <w:fldChar w:fldCharType="end"/>
      </w:r>
      <w:r>
        <w:rPr>
          <w:lang w:eastAsia="zh-CN"/>
        </w:rPr>
        <w:t xml:space="preserve">流行度列）：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0.817,0.503,0.654,0.400,0.193,0.254,0.220,0.164,1.000,0.000,0.396,0.322</m:t>
            </m:r>
            <m:ctrlPr>
              <w:rPr>
                <w:rFonts w:ascii="Cambria Math" w:hAnsi="Cambria Math"/>
              </w:rPr>
            </m:ctrlPr>
          </m:e>
        </m:d>
      </m:oMath>
      <w:r>
        <w:rPr>
          <w:lang w:eastAsia="zh-CN"/>
        </w:rPr>
        <w:t>。 首先计算列和</w:t>
      </w:r>
      <m:oMath>
        <m:nary>
          <m:naryPr>
            <m:chr m:val="∑"/>
            <m:limLoc m:val="undOvr"/>
            <m:supHide m:val="1"/>
            <m:ctrlPr>
              <w:rPr>
                <w:rFonts w:ascii="Cambria Math" w:hAnsi="Cambria Math"/>
              </w:rPr>
            </m:ctrlPr>
          </m:naryPr>
          <m:sub>
            <m:r>
              <m:rPr/>
              <w:rPr>
                <w:rFonts w:ascii="Cambria Math" w:hAnsi="Cambria Math"/>
                <w:lang w:eastAsia="zh-CN"/>
              </w:rPr>
              <m:t>i</m:t>
            </m:r>
            <m:ctrlPr>
              <w:rPr>
                <w:rFonts w:ascii="Cambria Math" w:hAnsi="Cambria Math"/>
              </w:rPr>
            </m:ctrlPr>
          </m:sub>
          <m:sup>
            <m:r>
              <m:rPr>
                <m:sty m:val="p"/>
              </m:rPr>
              <w:rPr>
                <w:rFonts w:ascii="Cambria Math" w:hAnsi="Cambria Math"/>
                <w:lang w:eastAsia="zh-CN"/>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ctrlPr>
              <w:rPr>
                <w:rFonts w:ascii="Cambria Math" w:hAnsi="Cambria Math"/>
              </w:rPr>
            </m:ctrlPr>
          </m:e>
        </m:nary>
        <m:r>
          <m:rPr>
            <m:sty m:val="p"/>
          </m:rPr>
          <w:rPr>
            <w:rFonts w:ascii="Cambria Math" w:hAnsi="Cambria Math"/>
            <w:lang w:eastAsia="zh-CN"/>
          </w:rPr>
          <m:t>=4.924</m:t>
        </m:r>
      </m:oMath>
      <w:r>
        <w:rPr>
          <w:lang w:eastAsia="zh-CN"/>
        </w:rPr>
        <w:t>， 然后按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m:t>
            </m:r>
            <m:r>
              <m:rPr>
                <m:sty m:val="p"/>
              </m:rPr>
              <w:rPr>
                <w:rFonts w:ascii="Cambria Math" w:hAnsi="Cambria Math"/>
                <w:lang w:eastAsia="zh-CN"/>
              </w:rPr>
              <m:t>1</m:t>
            </m:r>
            <m:ctrlPr>
              <w:rPr>
                <w:rFonts w:ascii="Cambria Math" w:hAnsi="Cambria Math"/>
              </w:rPr>
            </m:ctrlPr>
          </m:sub>
        </m:sSub>
        <m:r>
          <m:rPr>
            <m:lit/>
            <m:sty m:val="p"/>
          </m:rPr>
          <w:rPr>
            <w:rFonts w:ascii="Cambria Math" w:hAnsi="Cambria Math"/>
            <w:lang w:eastAsia="zh-CN"/>
          </w:rPr>
          <m:t>/</m:t>
        </m:r>
        <m:r>
          <m:rPr>
            <m:sty m:val="p"/>
          </m:rPr>
          <w:rPr>
            <w:rFonts w:ascii="Cambria Math" w:hAnsi="Cambria Math"/>
            <w:lang w:eastAsia="zh-CN"/>
          </w:rPr>
          <m:t>4.924</m:t>
        </m:r>
      </m:oMath>
      <w:r>
        <w:rPr>
          <w:lang w:eastAsia="zh-CN"/>
        </w:rPr>
        <w:t>得到各项目比重： 田径</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1,1</m:t>
            </m:r>
            <m:ctrlPr>
              <w:rPr>
                <w:rFonts w:ascii="Cambria Math" w:hAnsi="Cambria Math"/>
              </w:rPr>
            </m:ctrlPr>
          </m:sub>
        </m:sSub>
        <m:r>
          <m:rPr>
            <m:sty m:val="p"/>
          </m:rPr>
          <w:rPr>
            <w:rFonts w:ascii="Cambria Math" w:hAnsi="Cambria Math"/>
            <w:lang w:eastAsia="zh-CN"/>
          </w:rPr>
          <m:t>=0.817</m:t>
        </m:r>
        <m:r>
          <m:rPr>
            <m:lit/>
            <m:sty m:val="p"/>
          </m:rPr>
          <w:rPr>
            <w:rFonts w:ascii="Cambria Math" w:hAnsi="Cambria Math"/>
            <w:lang w:eastAsia="zh-CN"/>
          </w:rPr>
          <m:t>/</m:t>
        </m:r>
        <m:r>
          <m:rPr>
            <m:sty m:val="p"/>
          </m:rPr>
          <w:rPr>
            <w:rFonts w:ascii="Cambria Math" w:hAnsi="Cambria Math"/>
            <w:lang w:eastAsia="zh-CN"/>
          </w:rPr>
          <m:t>4.924=0.166</m:t>
        </m:r>
      </m:oMath>
      <w:r>
        <w:rPr>
          <w:lang w:eastAsia="zh-CN"/>
        </w:rPr>
        <w:t>， 板球</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10,1</m:t>
            </m:r>
            <m:ctrlPr>
              <w:rPr>
                <w:rFonts w:ascii="Cambria Math" w:hAnsi="Cambria Math"/>
              </w:rPr>
            </m:ctrlPr>
          </m:sub>
        </m:sSub>
        <m:r>
          <m:rPr>
            <m:sty m:val="p"/>
          </m:rPr>
          <w:rPr>
            <w:rFonts w:ascii="Cambria Math" w:hAnsi="Cambria Math"/>
            <w:lang w:eastAsia="zh-CN"/>
          </w:rPr>
          <m:t>=0</m:t>
        </m:r>
        <m:r>
          <m:rPr>
            <m:lit/>
            <m:sty m:val="p"/>
          </m:rPr>
          <w:rPr>
            <w:rFonts w:ascii="Cambria Math" w:hAnsi="Cambria Math"/>
            <w:lang w:eastAsia="zh-CN"/>
          </w:rPr>
          <m:t>/</m:t>
        </m:r>
        <m:r>
          <m:rPr>
            <m:sty m:val="p"/>
          </m:rPr>
          <w:rPr>
            <w:rFonts w:ascii="Cambria Math" w:hAnsi="Cambria Math"/>
            <w:lang w:eastAsia="zh-CN"/>
          </w:rPr>
          <m:t>4.924=0</m:t>
        </m:r>
      </m:oMath>
      <w:r>
        <w:rPr>
          <w:lang w:eastAsia="zh-CN"/>
        </w:rPr>
        <w:t>， 电子竞技</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9,1</m:t>
            </m:r>
            <m:ctrlPr>
              <w:rPr>
                <w:rFonts w:ascii="Cambria Math" w:hAnsi="Cambria Math"/>
              </w:rPr>
            </m:ctrlPr>
          </m:sub>
        </m:sSub>
        <m:r>
          <m:rPr>
            <m:sty m:val="p"/>
          </m:rPr>
          <w:rPr>
            <w:rFonts w:ascii="Cambria Math" w:hAnsi="Cambria Math"/>
            <w:lang w:eastAsia="zh-CN"/>
          </w:rPr>
          <m:t>=1.000</m:t>
        </m:r>
        <m:r>
          <m:rPr>
            <m:lit/>
            <m:sty m:val="p"/>
          </m:rPr>
          <w:rPr>
            <w:rFonts w:ascii="Cambria Math" w:hAnsi="Cambria Math"/>
            <w:lang w:eastAsia="zh-CN"/>
          </w:rPr>
          <m:t>/</m:t>
        </m:r>
        <m:r>
          <m:rPr>
            <m:sty m:val="p"/>
          </m:rPr>
          <w:rPr>
            <w:rFonts w:ascii="Cambria Math" w:hAnsi="Cambria Math"/>
            <w:lang w:eastAsia="zh-CN"/>
          </w:rPr>
          <m:t>4.924=0.203</m:t>
        </m:r>
      </m:oMath>
      <w:r>
        <w:rPr>
          <w:lang w:eastAsia="zh-CN"/>
        </w:rPr>
        <w:t>（其余值见表 </w:t>
      </w:r>
      <w:r>
        <w:fldChar w:fldCharType="begin"/>
      </w:r>
      <w:r>
        <w:instrText xml:space="preserve"> HYPERLINK \l "tab:proportion_matrix" \h </w:instrText>
      </w:r>
      <w:r>
        <w:fldChar w:fldCharType="separate"/>
      </w:r>
      <w:r>
        <w:rPr>
          <w:rStyle w:val="32"/>
          <w:rFonts w:eastAsia="宋体"/>
          <w:color w:val="auto"/>
          <w:lang w:eastAsia="zh-CN"/>
        </w:rPr>
        <w:t>7</w:t>
      </w:r>
      <w:r>
        <w:rPr>
          <w:rStyle w:val="32"/>
          <w:rFonts w:eastAsia="宋体"/>
          <w:color w:val="auto"/>
          <w:lang w:eastAsia="zh-CN"/>
        </w:rPr>
        <w:fldChar w:fldCharType="end"/>
      </w:r>
      <w:r>
        <w:rPr>
          <w:lang w:eastAsia="zh-CN"/>
        </w:rPr>
        <w:t>）。</w:t>
      </w:r>
    </w:p>
    <w:p w14:paraId="1DB0D6E5">
      <w:pPr>
        <w:pStyle w:val="35"/>
        <w:ind w:firstLine="480"/>
        <w:rPr>
          <w:lang w:eastAsia="zh-CN"/>
        </w:rPr>
      </w:pPr>
      <w:r>
        <w:rPr>
          <w:lang w:eastAsia="zh-CN"/>
        </w:rPr>
        <w:t>将比重代入信息熵公式</w:t>
      </w:r>
      <w:r>
        <w:fldChar w:fldCharType="begin"/>
      </w:r>
      <w:r>
        <w:instrText xml:space="preserve"> HYPERLINK \l "eq:ewm_H" \h </w:instrText>
      </w:r>
      <w:r>
        <w:fldChar w:fldCharType="separate"/>
      </w:r>
      <w:r>
        <w:rPr>
          <w:rStyle w:val="32"/>
          <w:rFonts w:eastAsia="宋体"/>
          <w:color w:val="auto"/>
          <w:lang w:eastAsia="zh-CN"/>
        </w:rPr>
        <w:t>(3.25)</w:t>
      </w:r>
      <w:r>
        <w:rPr>
          <w:rStyle w:val="32"/>
          <w:rFonts w:eastAsia="宋体"/>
          <w:color w:val="auto"/>
          <w:lang w:eastAsia="zh-CN"/>
        </w:rPr>
        <w:fldChar w:fldCharType="end"/>
      </w:r>
      <w:r>
        <w:rPr>
          <w:lang w:eastAsia="zh-CN"/>
        </w:rPr>
        <w:t>：</w:t>
      </w:r>
    </w:p>
    <w:p w14:paraId="02FE65AC">
      <w:pPr>
        <w:pStyle w:val="95"/>
        <w:ind w:firstLine="840" w:firstLineChars="400"/>
        <w:rPr>
          <w:rFonts w:eastAsia="仿宋"/>
        </w:rPr>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func>
              <m:funcPr>
                <m:ctrlPr>
                  <w:rPr>
                    <w:rFonts w:ascii="Cambria Math" w:hAnsi="Cambria Math"/>
                  </w:rPr>
                </m:ctrlPr>
              </m:funcPr>
              <m:fName>
                <m:r>
                  <m:rPr>
                    <m:sty m:val="p"/>
                  </m:rPr>
                  <w:rPr>
                    <w:rFonts w:ascii="Cambria Math" w:hAnsi="Cambria Math"/>
                  </w:rPr>
                  <m:t>ln</m:t>
                </m:r>
                <m:ctrlPr>
                  <w:rPr>
                    <w:rFonts w:ascii="Cambria Math" w:hAnsi="Cambria Math"/>
                  </w:rPr>
                </m:ctrlPr>
              </m:fName>
              <m:e>
                <m:r>
                  <m:rPr>
                    <m:sty m:val="p"/>
                  </m:rPr>
                  <w:rPr>
                    <w:rFonts w:ascii="Cambria Math" w:hAnsi="Cambria Math"/>
                  </w:rPr>
                  <m:t>1</m:t>
                </m:r>
                <m:ctrlPr>
                  <w:rPr>
                    <w:rFonts w:ascii="Cambria Math" w:hAnsi="Cambria Math"/>
                  </w:rPr>
                </m:ctrlPr>
              </m:e>
            </m:func>
            <m:r>
              <m:rPr>
                <m:sty m:val="p"/>
              </m:rPr>
              <w:rPr>
                <w:rFonts w:ascii="Cambria Math" w:hAnsi="Cambria Math"/>
              </w:rPr>
              <m:t>2</m:t>
            </m:r>
            <m:ctrlPr>
              <w:rPr>
                <w:rFonts w:ascii="Cambria Math" w:hAnsi="Cambria Math"/>
              </w:rPr>
            </m:ctrlPr>
          </m:den>
        </m:f>
        <m:nary>
          <m:naryPr>
            <m:chr m:val="∑"/>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12</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Sub>
            <m:ctrlPr>
              <w:rPr>
                <w:rFonts w:ascii="Cambria Math" w:hAnsi="Cambria Math"/>
              </w:rPr>
            </m:ctrlPr>
          </m:e>
        </m:func>
      </m:oMath>
      <w:r>
        <w:rPr>
          <w:rFonts w:hint="eastAsia" w:eastAsia="仿宋"/>
        </w:rPr>
        <w:t xml:space="preserve"> ,</w:t>
      </w:r>
      <w:r>
        <w:rPr>
          <w:rFonts w:eastAsia="仿宋"/>
        </w:rPr>
        <w:tab/>
      </w:r>
      <w:r>
        <w:rPr>
          <w:rFonts w:eastAsia="仿宋"/>
        </w:rPr>
        <w:tab/>
      </w:r>
      <w:r>
        <w:rPr>
          <w:rFonts w:hint="eastAsia" w:eastAsia="仿宋"/>
        </w:rPr>
        <w:t>(4.10)</w:t>
      </w:r>
    </w:p>
    <w:p w14:paraId="243C879B">
      <w:pPr>
        <w:pStyle w:val="95"/>
        <w:rPr>
          <w:rFonts w:ascii="Cambria Math" w:hAnsi="Cambria Math"/>
          <w:oMath/>
        </w:rPr>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2.485</m:t>
            </m:r>
            <m:ctrlPr>
              <w:rPr>
                <w:rFonts w:ascii="Cambria Math" w:hAnsi="Cambria Math"/>
              </w:rPr>
            </m:ctrlPr>
          </m:den>
        </m:f>
        <m:d>
          <m:dPr>
            <m:begChr m:val="["/>
            <m:endChr m:val="]"/>
            <m:ctrlPr>
              <w:rPr>
                <w:rFonts w:ascii="Cambria Math" w:hAnsi="Cambria Math"/>
              </w:rPr>
            </m:ctrlPr>
          </m:dPr>
          <m:e>
            <m:r>
              <m:rPr>
                <m:sty m:val="p"/>
              </m:rPr>
              <w:rPr>
                <w:rFonts w:ascii="Cambria Math" w:hAnsi="Cambria Math"/>
              </w:rPr>
              <m:t>0.166</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0.166</m:t>
                    </m:r>
                    <m:ctrlPr>
                      <w:rPr>
                        <w:rFonts w:ascii="Cambria Math" w:hAnsi="Cambria Math"/>
                      </w:rPr>
                    </m:ctrlPr>
                  </m:e>
                </m:d>
                <m:ctrlPr>
                  <w:rPr>
                    <w:rFonts w:ascii="Cambria Math" w:hAnsi="Cambria Math"/>
                  </w:rPr>
                </m:ctrlPr>
              </m:e>
            </m:func>
            <m:r>
              <m:rPr>
                <m:sty m:val="p"/>
              </m:rPr>
              <w:rPr>
                <w:rFonts w:ascii="Cambria Math" w:hAnsi="Cambria Math"/>
              </w:rPr>
              <m:t>+0.102</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0.102</m:t>
                    </m:r>
                    <m:ctrlPr>
                      <w:rPr>
                        <w:rFonts w:ascii="Cambria Math" w:hAnsi="Cambria Math"/>
                      </w:rPr>
                    </m:ctrlPr>
                  </m:e>
                </m:d>
                <m:ctrlPr>
                  <w:rPr>
                    <w:rFonts w:ascii="Cambria Math" w:hAnsi="Cambria Math"/>
                  </w:rPr>
                </m:ctrlPr>
              </m:e>
            </m:func>
            <m:r>
              <m:rPr>
                <m:sty m:val="p"/>
              </m:rPr>
              <w:rPr>
                <w:rFonts w:ascii="Cambria Math" w:hAnsi="Cambria Math"/>
              </w:rPr>
              <m:t>+⋯+0.065</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m:rPr>
                        <m:sty m:val="p"/>
                      </m:rPr>
                      <w:rPr>
                        <w:rFonts w:ascii="Cambria Math" w:hAnsi="Cambria Math"/>
                      </w:rPr>
                      <m:t>0.065</m:t>
                    </m:r>
                    <m:ctrlPr>
                      <w:rPr>
                        <w:rFonts w:ascii="Cambria Math" w:hAnsi="Cambria Math"/>
                      </w:rPr>
                    </m:ctrlPr>
                  </m:e>
                </m:d>
                <m:ctrlPr>
                  <w:rPr>
                    <w:rFonts w:ascii="Cambria Math" w:hAnsi="Cambria Math"/>
                  </w:rPr>
                </m:ctrlPr>
              </m:e>
            </m:func>
            <m:ctrlPr>
              <w:rPr>
                <w:rFonts w:ascii="Cambria Math" w:hAnsi="Cambria Math"/>
              </w:rPr>
            </m:ctrlPr>
          </m:e>
        </m:d>
      </m:oMath>
      <w:r>
        <w:rPr>
          <w:rFonts w:hint="eastAsia" w:eastAsia="仿宋"/>
        </w:rPr>
        <w:t xml:space="preserve"> ,</w:t>
      </w:r>
      <w:r>
        <w:rPr>
          <w:rFonts w:eastAsia="仿宋"/>
        </w:rPr>
        <w:tab/>
      </w:r>
      <w:r>
        <w:rPr>
          <w:rFonts w:eastAsia="仿宋"/>
        </w:rPr>
        <w:tab/>
      </w:r>
      <w:r>
        <w:rPr>
          <w:rFonts w:hint="eastAsia" w:eastAsia="仿宋"/>
        </w:rPr>
        <w:t>(4.11)</w:t>
      </w:r>
    </w:p>
    <w:p w14:paraId="412B0021">
      <w:pPr>
        <w:pStyle w:val="3"/>
        <w:spacing w:after="0"/>
        <w:ind w:firstLine="480"/>
        <w:jc w:val="both"/>
        <w:rPr>
          <w:rFonts w:ascii="Cambria Math" w:hAnsi="Cambria Math"/>
          <w:lang w:eastAsia="zh-CN"/>
          <w:oMath/>
        </w:rPr>
      </w:pPr>
    </w:p>
    <w:p w14:paraId="28C5A6B1">
      <w:pPr>
        <w:pStyle w:val="95"/>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2.485</m:t>
            </m:r>
            <m:ctrlPr>
              <w:rPr>
                <w:rFonts w:ascii="Cambria Math" w:hAnsi="Cambria Math"/>
              </w:rPr>
            </m:ctrlPr>
          </m:den>
        </m:f>
        <m:r>
          <m:rPr>
            <m:sty m:val="p"/>
          </m:rPr>
          <w:rPr>
            <w:rFonts w:hint="eastAsia" w:ascii="Cambria Math" w:hAnsi="Cambria Math"/>
          </w:rPr>
          <m:t>×</m:t>
        </m:r>
        <m:d>
          <m:dPr>
            <m:ctrlPr>
              <w:rPr>
                <w:rFonts w:ascii="Cambria Math" w:hAnsi="Cambria Math"/>
              </w:rPr>
            </m:ctrlPr>
          </m:dPr>
          <m:e>
            <m:r>
              <m:rPr>
                <m:sty m:val="p"/>
              </m:rPr>
              <w:rPr>
                <w:rFonts w:ascii="Cambria Math" w:hAnsi="Cambria Math"/>
              </w:rPr>
              <m:t>−2.241</m:t>
            </m:r>
            <m:ctrlPr>
              <w:rPr>
                <w:rFonts w:ascii="Cambria Math" w:hAnsi="Cambria Math"/>
              </w:rPr>
            </m:ctrlPr>
          </m:e>
        </m:d>
        <m:r>
          <m:rPr>
            <m:sty m:val="p"/>
          </m:rPr>
          <w:rPr>
            <w:rFonts w:ascii="Cambria Math" w:hAnsi="Cambria Math"/>
          </w:rPr>
          <m:t>=0.902</m:t>
        </m:r>
      </m:oMath>
      <w:r>
        <w:rPr>
          <w:rFonts w:hint="eastAsia" w:eastAsia="仿宋"/>
        </w:rPr>
        <w:t xml:space="preserve"> .</w:t>
      </w:r>
      <w:r>
        <w:rPr>
          <w:rFonts w:eastAsia="仿宋"/>
        </w:rPr>
        <w:tab/>
      </w:r>
      <w:r>
        <w:rPr>
          <w:rFonts w:eastAsia="仿宋"/>
        </w:rPr>
        <w:tab/>
      </w:r>
      <w:r>
        <w:rPr>
          <w:rFonts w:hint="eastAsia" w:eastAsia="仿宋"/>
        </w:rPr>
        <w:t>(4.12)</w:t>
      </w:r>
    </w:p>
    <w:p w14:paraId="7FDA8395">
      <w:pPr>
        <w:pStyle w:val="3"/>
        <w:spacing w:before="0" w:after="0"/>
        <w:ind w:firstLine="480"/>
        <w:jc w:val="both"/>
        <w:rPr>
          <w:lang w:eastAsia="zh-CN"/>
        </w:rPr>
      </w:pPr>
    </w:p>
    <w:p w14:paraId="2430CEE2">
      <w:pPr>
        <w:pStyle w:val="35"/>
        <w:ind w:firstLine="480"/>
        <w:rPr>
          <w:lang w:eastAsia="zh-CN"/>
        </w:rPr>
      </w:pPr>
      <w:r>
        <w:rPr>
          <w:lang w:eastAsia="zh-CN"/>
        </w:rPr>
        <w:t>（式中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的项规定</w:t>
      </w:r>
      <m:oMath>
        <m:r>
          <m:rPr>
            <m:sty m:val="p"/>
          </m:rPr>
          <w:rPr>
            <w:rFonts w:ascii="Cambria Math" w:hAnsi="Cambria Math"/>
            <w:lang w:eastAsia="zh-CN"/>
          </w:rPr>
          <m:t>0</m:t>
        </m:r>
        <m:r>
          <m:rPr/>
          <w:rPr>
            <w:rFonts w:ascii="Cambria Math" w:hAnsi="Cambria Math"/>
            <w:lang w:eastAsia="zh-CN"/>
          </w:rPr>
          <m:t>ln</m:t>
        </m:r>
        <m:r>
          <m:rPr>
            <m:sty m:val="p"/>
          </m:rPr>
          <w:rPr>
            <w:rFonts w:ascii="Cambria Math" w:hAnsi="Cambria Math"/>
            <w:lang w:eastAsia="zh-CN"/>
          </w:rPr>
          <m:t>0=0</m:t>
        </m:r>
      </m:oMath>
      <w:r>
        <w:rPr>
          <w:lang w:eastAsia="zh-CN"/>
        </w:rPr>
        <w:t>，以保证数学有效性</w:t>
      </w:r>
      <w:r>
        <w:rPr>
          <w:vertAlign w:val="superscript"/>
          <w:lang w:eastAsia="zh-CN"/>
        </w:rPr>
        <w:t>[18]</w:t>
      </w:r>
      <w:r>
        <w:rPr>
          <w:lang w:eastAsia="zh-CN"/>
        </w:rPr>
        <w:t>。）</w:t>
      </w:r>
    </w:p>
    <w:p w14:paraId="7F7D76B6">
      <w:pPr>
        <w:pStyle w:val="35"/>
        <w:ind w:firstLine="480"/>
        <w:rPr>
          <w:lang w:eastAsia="zh-CN"/>
        </w:rPr>
      </w:pPr>
      <w:r>
        <w:rPr>
          <w:lang w:eastAsia="zh-CN"/>
        </w:rPr>
        <w:t>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=1−0.902=0.098</m:t>
        </m:r>
      </m:oMath>
      <w:r>
        <w:rPr>
          <w:lang w:eastAsia="zh-CN"/>
        </w:rPr>
        <w:t xml:space="preserve">。 对六个维度重复上述过程，得到 </w:t>
      </w:r>
      <m:oMath>
        <m:r>
          <m:rPr/>
          <w:rPr>
            <w:rFonts w:ascii="Cambria Math" w:hAnsi="Cambria Math"/>
            <w:lang w:eastAsia="zh-CN"/>
          </w:rPr>
          <m:t>D</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0.098,0.060,0.186,0.141,0.135,0.063</m:t>
            </m:r>
            <m:ctrlPr>
              <w:rPr>
                <w:rFonts w:ascii="Cambria Math" w:hAnsi="Cambria Math"/>
              </w:rPr>
            </m:ctrlPr>
          </m:e>
        </m:d>
      </m:oMath>
      <w:r>
        <w:rPr>
          <w:lang w:eastAsia="zh-CN"/>
        </w:rPr>
        <w:t>， 总和</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=0.683</m:t>
        </m:r>
      </m:oMath>
      <w:r>
        <w:rPr>
          <w:lang w:eastAsia="zh-CN"/>
        </w:rPr>
        <w:t>。 因此流行度的EWM客观权重为</w:t>
      </w:r>
    </w:p>
    <w:p w14:paraId="11FACCA4">
      <w:pPr>
        <w:pStyle w:val="95"/>
      </w:pPr>
      <w:r>
        <w:rPr>
          <w:rFonts w:eastAsia="宋体" w:cstheme="minorBidi"/>
        </w:rPr>
        <w:tab/>
      </w:r>
      <m:oMath>
        <m:sSubSup>
          <m:sSubSupPr>
            <m:ctrlPr>
              <w:rPr>
                <w:rFonts w:ascii="Cambria Math" w:hAnsi="Cambria Math"/>
              </w:rPr>
            </m:ctrlPr>
          </m:sSubSupPr>
          <m:e>
            <m:r>
              <m:rPr/>
              <w:rPr>
                <w:rFonts w:ascii="Cambria Math" w:hAnsi="Cambria Math"/>
              </w:rPr>
              <m:t>w</m:t>
            </m:r>
            <m:ctrlPr>
              <w:rPr>
                <w:rFonts w:ascii="Cambria Math" w:hAnsi="Cambria Math"/>
              </w:rPr>
            </m:ctrlPr>
          </m:e>
          <m:sub>
            <m:r>
              <m:rPr>
                <m:sty m:val="p"/>
              </m:rPr>
              <w:rPr>
                <w:rFonts w:ascii="Cambria Math" w:hAnsi="Cambria Math"/>
              </w:rPr>
              <m:t>1</m:t>
            </m:r>
            <m:ctrlPr>
              <w:rPr>
                <w:rFonts w:ascii="Cambria Math" w:hAnsi="Cambria Math"/>
              </w:rPr>
            </m:ctrlPr>
          </m:sub>
          <m:sup>
            <m:r>
              <m:rPr/>
              <w:rPr>
                <w:rFonts w:ascii="Cambria Math" w:hAnsi="Cambria Math"/>
              </w:rPr>
              <m:t>EWM</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0.098</m:t>
            </m:r>
            <m:ctrlPr>
              <w:rPr>
                <w:rFonts w:ascii="Cambria Math" w:hAnsi="Cambria Math"/>
              </w:rPr>
            </m:ctrlPr>
          </m:num>
          <m:den>
            <m:r>
              <m:rPr>
                <m:sty m:val="p"/>
              </m:rPr>
              <w:rPr>
                <w:rFonts w:ascii="Cambria Math" w:hAnsi="Cambria Math"/>
              </w:rPr>
              <m:t>0.683</m:t>
            </m:r>
            <m:ctrlPr>
              <w:rPr>
                <w:rFonts w:ascii="Cambria Math" w:hAnsi="Cambria Math"/>
              </w:rPr>
            </m:ctrlPr>
          </m:den>
        </m:f>
        <m:r>
          <m:rPr>
            <m:sty m:val="p"/>
          </m:rPr>
          <w:rPr>
            <w:rFonts w:ascii="Cambria Math" w:hAnsi="Cambria Math"/>
          </w:rPr>
          <m:t>=0.144</m:t>
        </m:r>
      </m:oMath>
      <w:r>
        <w:rPr>
          <w:rFonts w:hint="eastAsia"/>
        </w:rPr>
        <w:t xml:space="preserve"> .</w:t>
      </w:r>
      <w:r>
        <w:rPr>
          <w:rFonts w:eastAsiaTheme="minorEastAsia"/>
        </w:rPr>
        <w:tab/>
      </w:r>
      <w:r>
        <w:rPr>
          <w:rFonts w:eastAsiaTheme="minorEastAsia"/>
        </w:rPr>
        <w:tab/>
      </w:r>
      <w:r>
        <w:rPr>
          <w:rFonts w:hint="eastAsia"/>
        </w:rPr>
        <w:t>(4.13)</w:t>
      </w:r>
    </w:p>
    <w:p w14:paraId="77A9A511">
      <w:pPr>
        <w:pStyle w:val="35"/>
        <w:ind w:firstLine="480"/>
        <w:rPr>
          <w:lang w:eastAsia="zh-CN"/>
        </w:rPr>
      </w:pPr>
      <w:r>
        <w:rPr>
          <w:rFonts w:hint="eastAsia"/>
          <w:lang w:eastAsia="zh-CN"/>
        </w:rPr>
        <w:t>其余五个维度的权重按同样方式计算，结果如表</w:t>
      </w:r>
      <w:r>
        <w:rPr>
          <w:lang w:eastAsia="zh-CN"/>
        </w:rPr>
        <w:t> </w:t>
      </w:r>
      <w:r>
        <w:rPr>
          <w:rFonts w:hint="eastAsia"/>
          <w:lang w:eastAsia="zh-CN"/>
        </w:rPr>
        <w:t>4.5所示。</w:t>
      </w:r>
    </w:p>
    <w:p w14:paraId="1809B161">
      <w:pPr>
        <w:pStyle w:val="102"/>
        <w:rPr>
          <w:rFonts w:hint="eastAsia" w:ascii="宋体" w:hAnsi="宋体"/>
        </w:rPr>
      </w:pPr>
      <w:r>
        <w:rPr>
          <w:rFonts w:hint="eastAsia" w:ascii="宋体" w:hAnsi="宋体"/>
        </w:rPr>
        <w:t>表</w:t>
      </w:r>
      <w:r>
        <w:rPr>
          <w:rFonts w:hint="eastAsia" w:cs="Times New Roman"/>
        </w:rPr>
        <w:t xml:space="preserve">4.5 </w:t>
      </w:r>
      <w:r>
        <w:rPr>
          <w:rFonts w:hint="eastAsia"/>
        </w:rPr>
        <w:t>EWM</w:t>
      </w:r>
      <w:r>
        <w:rPr>
          <w:rFonts w:hint="eastAsia" w:ascii="宋体" w:hAnsi="宋体"/>
        </w:rPr>
        <w:t>客观权重</w:t>
      </w:r>
    </w:p>
    <w:tbl>
      <w:tblPr>
        <w:tblStyle w:val="30"/>
        <w:tblW w:w="5000" w:type="pct"/>
        <w:tblInd w:w="0" w:type="dxa"/>
        <w:tblLayout w:type="autofit"/>
        <w:tblCellMar>
          <w:top w:w="0" w:type="dxa"/>
          <w:left w:w="108" w:type="dxa"/>
          <w:bottom w:w="0" w:type="dxa"/>
          <w:right w:w="108" w:type="dxa"/>
        </w:tblCellMar>
      </w:tblPr>
      <w:tblGrid>
        <w:gridCol w:w="2216"/>
        <w:gridCol w:w="2214"/>
        <w:gridCol w:w="2214"/>
        <w:gridCol w:w="2212"/>
      </w:tblGrid>
      <w:tr w14:paraId="5FBCA149">
        <w:tblPrEx>
          <w:tblCellMar>
            <w:top w:w="0" w:type="dxa"/>
            <w:left w:w="108" w:type="dxa"/>
            <w:bottom w:w="0" w:type="dxa"/>
            <w:right w:w="108" w:type="dxa"/>
          </w:tblCellMar>
        </w:tblPrEx>
        <w:tc>
          <w:tcPr>
            <w:tcW w:w="1251" w:type="pct"/>
            <w:tcBorders>
              <w:top w:val="single" w:color="000000" w:sz="12" w:space="0"/>
              <w:left w:val="nil"/>
              <w:bottom w:val="single" w:color="000000" w:sz="4" w:space="0"/>
              <w:right w:val="nil"/>
            </w:tcBorders>
            <w:vAlign w:val="center"/>
          </w:tcPr>
          <w:p w14:paraId="0A1053E2">
            <w:r>
              <w:rPr>
                <w:rFonts w:hint="eastAsia" w:ascii="宋体" w:hAnsi="宋体" w:eastAsia="宋体" w:cs="宋体"/>
                <w:lang w:eastAsia="zh-CN" w:bidi="ar"/>
              </w:rPr>
              <w:t>指标</w:t>
            </w:r>
          </w:p>
        </w:tc>
        <w:tc>
          <w:tcPr>
            <w:tcW w:w="1250" w:type="pct"/>
            <w:tcBorders>
              <w:top w:val="single" w:color="000000" w:sz="12" w:space="0"/>
              <w:left w:val="nil"/>
              <w:bottom w:val="single" w:color="000000" w:sz="4" w:space="0"/>
              <w:right w:val="nil"/>
            </w:tcBorders>
            <w:vAlign w:val="center"/>
          </w:tcPr>
          <w:p w14:paraId="2F6EC0AC">
            <w:r>
              <w:rPr>
                <w:rFonts w:hint="eastAsia" w:ascii="宋体" w:hAnsi="宋体" w:eastAsia="宋体" w:cs="宋体"/>
                <w:lang w:eastAsia="zh-CN" w:bidi="ar"/>
              </w:rPr>
              <w:t>信息熵</w:t>
            </w:r>
            <w:r>
              <w:rPr>
                <w:rFonts w:ascii="Segoe UI" w:hAnsi="Segoe UI" w:eastAsia="Segoe UI" w:cs="Segoe UI"/>
                <w:lang w:eastAsia="zh-CN" w:bidi="ar"/>
              </w:rPr>
              <w:t> </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p>
        </w:tc>
        <w:tc>
          <w:tcPr>
            <w:tcW w:w="1250" w:type="pct"/>
            <w:tcBorders>
              <w:top w:val="single" w:color="000000" w:sz="12" w:space="0"/>
              <w:left w:val="nil"/>
              <w:bottom w:val="single" w:color="000000" w:sz="4" w:space="0"/>
              <w:right w:val="nil"/>
            </w:tcBorders>
            <w:vAlign w:val="center"/>
          </w:tcPr>
          <w:p w14:paraId="46E24978">
            <w:r>
              <w:rPr>
                <w:rFonts w:hint="eastAsia" w:ascii="宋体" w:hAnsi="宋体" w:eastAsia="宋体" w:cs="宋体"/>
                <w:lang w:eastAsia="zh-CN" w:bidi="ar"/>
              </w:rPr>
              <w:t>效用值</w:t>
            </w:r>
            <w:r>
              <w:rPr>
                <w:rFonts w:ascii="Segoe UI" w:hAnsi="Segoe UI" w:eastAsia="Segoe UI" w:cs="Segoe UI"/>
                <w:lang w:eastAsia="zh-CN" w:bidi="ar"/>
              </w:rPr>
              <w:t>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p>
        </w:tc>
        <w:tc>
          <w:tcPr>
            <w:tcW w:w="1249" w:type="pct"/>
            <w:tcBorders>
              <w:top w:val="single" w:color="000000" w:sz="12" w:space="0"/>
              <w:left w:val="nil"/>
              <w:bottom w:val="single" w:color="000000" w:sz="4" w:space="0"/>
              <w:right w:val="nil"/>
            </w:tcBorders>
            <w:vAlign w:val="center"/>
          </w:tcPr>
          <w:p w14:paraId="72296944">
            <w:r>
              <w:rPr>
                <w:rFonts w:hint="eastAsia" w:ascii="宋体" w:hAnsi="宋体" w:eastAsia="宋体" w:cs="宋体"/>
                <w:lang w:eastAsia="zh-CN" w:bidi="ar"/>
              </w:rPr>
              <w:t>权重</w:t>
            </w:r>
            <w:r>
              <w:rPr>
                <w:rFonts w:ascii="Segoe UI" w:hAnsi="Segoe UI" w:eastAsia="Segoe UI" w:cs="Segoe UI"/>
                <w:lang w:eastAsia="zh-CN" w:bidi="ar"/>
              </w:rPr>
              <w:t>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p>
        </w:tc>
      </w:tr>
      <w:tr w14:paraId="54328E9E">
        <w:tblPrEx>
          <w:tblCellMar>
            <w:top w:w="0" w:type="dxa"/>
            <w:left w:w="108" w:type="dxa"/>
            <w:bottom w:w="0" w:type="dxa"/>
            <w:right w:w="108" w:type="dxa"/>
          </w:tblCellMar>
        </w:tblPrEx>
        <w:tc>
          <w:tcPr>
            <w:tcW w:w="1251" w:type="pct"/>
            <w:tcBorders>
              <w:left w:val="nil"/>
              <w:right w:val="nil"/>
            </w:tcBorders>
            <w:vAlign w:val="center"/>
          </w:tcPr>
          <w:p w14:paraId="6E576760">
            <w:r>
              <w:rPr>
                <w:rFonts w:hint="eastAsia" w:ascii="宋体" w:hAnsi="宋体" w:eastAsia="宋体" w:cs="宋体"/>
                <w:lang w:eastAsia="zh-CN" w:bidi="ar"/>
              </w:rPr>
              <w:t>流行度</w:t>
            </w:r>
          </w:p>
        </w:tc>
        <w:tc>
          <w:tcPr>
            <w:tcW w:w="1250" w:type="pct"/>
            <w:tcBorders>
              <w:left w:val="nil"/>
              <w:right w:val="nil"/>
            </w:tcBorders>
            <w:vAlign w:val="center"/>
          </w:tcPr>
          <w:p w14:paraId="2A25BFEB">
            <w:r>
              <w:rPr>
                <w:rFonts w:ascii="Segoe UI" w:hAnsi="Segoe UI" w:eastAsia="Segoe UI" w:cs="Segoe UI"/>
                <w:lang w:eastAsia="zh-CN" w:bidi="ar"/>
              </w:rPr>
              <w:t>0.902</w:t>
            </w:r>
          </w:p>
        </w:tc>
        <w:tc>
          <w:tcPr>
            <w:tcW w:w="1250" w:type="pct"/>
            <w:tcBorders>
              <w:left w:val="nil"/>
              <w:right w:val="nil"/>
            </w:tcBorders>
            <w:vAlign w:val="center"/>
          </w:tcPr>
          <w:p w14:paraId="05405F89">
            <w:r>
              <w:rPr>
                <w:rFonts w:ascii="Segoe UI" w:hAnsi="Segoe UI" w:eastAsia="Segoe UI" w:cs="Segoe UI"/>
                <w:lang w:eastAsia="zh-CN" w:bidi="ar"/>
              </w:rPr>
              <w:t>0.098</w:t>
            </w:r>
          </w:p>
        </w:tc>
        <w:tc>
          <w:tcPr>
            <w:tcW w:w="1249" w:type="pct"/>
            <w:tcBorders>
              <w:left w:val="nil"/>
              <w:right w:val="nil"/>
            </w:tcBorders>
            <w:vAlign w:val="center"/>
          </w:tcPr>
          <w:p w14:paraId="119DB0FC">
            <w:r>
              <w:rPr>
                <w:rFonts w:ascii="Segoe UI" w:hAnsi="Segoe UI" w:eastAsia="Segoe UI" w:cs="Segoe UI"/>
                <w:lang w:eastAsia="zh-CN" w:bidi="ar"/>
              </w:rPr>
              <w:t>0.144</w:t>
            </w:r>
          </w:p>
        </w:tc>
      </w:tr>
      <w:tr w14:paraId="0C2972B8">
        <w:tblPrEx>
          <w:tblCellMar>
            <w:top w:w="0" w:type="dxa"/>
            <w:left w:w="108" w:type="dxa"/>
            <w:bottom w:w="0" w:type="dxa"/>
            <w:right w:w="108" w:type="dxa"/>
          </w:tblCellMar>
        </w:tblPrEx>
        <w:tc>
          <w:tcPr>
            <w:tcW w:w="1251" w:type="pct"/>
            <w:tcBorders>
              <w:left w:val="nil"/>
              <w:right w:val="nil"/>
            </w:tcBorders>
            <w:vAlign w:val="center"/>
          </w:tcPr>
          <w:p w14:paraId="0D7538B2">
            <w:r>
              <w:rPr>
                <w:rFonts w:hint="eastAsia" w:ascii="宋体" w:hAnsi="宋体" w:eastAsia="宋体" w:cs="宋体"/>
                <w:lang w:eastAsia="zh-CN" w:bidi="ar"/>
              </w:rPr>
              <w:t>性别平等</w:t>
            </w:r>
          </w:p>
        </w:tc>
        <w:tc>
          <w:tcPr>
            <w:tcW w:w="1250" w:type="pct"/>
            <w:tcBorders>
              <w:left w:val="nil"/>
              <w:right w:val="nil"/>
            </w:tcBorders>
            <w:vAlign w:val="center"/>
          </w:tcPr>
          <w:p w14:paraId="650CB6F0">
            <w:r>
              <w:rPr>
                <w:rFonts w:ascii="Segoe UI" w:hAnsi="Segoe UI" w:eastAsia="Segoe UI" w:cs="Segoe UI"/>
                <w:lang w:eastAsia="zh-CN" w:bidi="ar"/>
              </w:rPr>
              <w:t>0.940</w:t>
            </w:r>
          </w:p>
        </w:tc>
        <w:tc>
          <w:tcPr>
            <w:tcW w:w="1250" w:type="pct"/>
            <w:tcBorders>
              <w:left w:val="nil"/>
              <w:right w:val="nil"/>
            </w:tcBorders>
            <w:vAlign w:val="center"/>
          </w:tcPr>
          <w:p w14:paraId="33D310D2">
            <w:r>
              <w:rPr>
                <w:rFonts w:ascii="Segoe UI" w:hAnsi="Segoe UI" w:eastAsia="Segoe UI" w:cs="Segoe UI"/>
                <w:lang w:eastAsia="zh-CN" w:bidi="ar"/>
              </w:rPr>
              <w:t>0.060</w:t>
            </w:r>
          </w:p>
        </w:tc>
        <w:tc>
          <w:tcPr>
            <w:tcW w:w="1249" w:type="pct"/>
            <w:tcBorders>
              <w:left w:val="nil"/>
              <w:right w:val="nil"/>
            </w:tcBorders>
            <w:vAlign w:val="center"/>
          </w:tcPr>
          <w:p w14:paraId="433916E4">
            <w:r>
              <w:rPr>
                <w:rFonts w:ascii="Segoe UI" w:hAnsi="Segoe UI" w:eastAsia="Segoe UI" w:cs="Segoe UI"/>
                <w:lang w:eastAsia="zh-CN" w:bidi="ar"/>
              </w:rPr>
              <w:t>0.088</w:t>
            </w:r>
          </w:p>
        </w:tc>
      </w:tr>
      <w:tr w14:paraId="7EFDA0E6">
        <w:tblPrEx>
          <w:tblCellMar>
            <w:top w:w="0" w:type="dxa"/>
            <w:left w:w="108" w:type="dxa"/>
            <w:bottom w:w="0" w:type="dxa"/>
            <w:right w:w="108" w:type="dxa"/>
          </w:tblCellMar>
        </w:tblPrEx>
        <w:tc>
          <w:tcPr>
            <w:tcW w:w="1251" w:type="pct"/>
            <w:tcBorders>
              <w:left w:val="nil"/>
              <w:right w:val="nil"/>
            </w:tcBorders>
            <w:vAlign w:val="center"/>
          </w:tcPr>
          <w:p w14:paraId="4A3FAA2F">
            <w:r>
              <w:rPr>
                <w:rFonts w:hint="eastAsia" w:ascii="宋体" w:hAnsi="宋体" w:eastAsia="宋体" w:cs="宋体"/>
                <w:lang w:eastAsia="zh-CN" w:bidi="ar"/>
              </w:rPr>
              <w:t>可持续性</w:t>
            </w:r>
          </w:p>
        </w:tc>
        <w:tc>
          <w:tcPr>
            <w:tcW w:w="1250" w:type="pct"/>
            <w:tcBorders>
              <w:left w:val="nil"/>
              <w:right w:val="nil"/>
            </w:tcBorders>
            <w:vAlign w:val="center"/>
          </w:tcPr>
          <w:p w14:paraId="0770AFD6">
            <w:r>
              <w:rPr>
                <w:rFonts w:ascii="Segoe UI" w:hAnsi="Segoe UI" w:eastAsia="Segoe UI" w:cs="Segoe UI"/>
                <w:lang w:eastAsia="zh-CN" w:bidi="ar"/>
              </w:rPr>
              <w:t>0.814</w:t>
            </w:r>
          </w:p>
        </w:tc>
        <w:tc>
          <w:tcPr>
            <w:tcW w:w="1250" w:type="pct"/>
            <w:tcBorders>
              <w:left w:val="nil"/>
              <w:right w:val="nil"/>
            </w:tcBorders>
            <w:vAlign w:val="center"/>
          </w:tcPr>
          <w:p w14:paraId="09164FAE">
            <w:r>
              <w:rPr>
                <w:rFonts w:ascii="Segoe UI" w:hAnsi="Segoe UI" w:eastAsia="Segoe UI" w:cs="Segoe UI"/>
                <w:lang w:eastAsia="zh-CN" w:bidi="ar"/>
              </w:rPr>
              <w:t>0.186</w:t>
            </w:r>
          </w:p>
        </w:tc>
        <w:tc>
          <w:tcPr>
            <w:tcW w:w="1249" w:type="pct"/>
            <w:tcBorders>
              <w:left w:val="nil"/>
              <w:right w:val="nil"/>
            </w:tcBorders>
            <w:vAlign w:val="center"/>
          </w:tcPr>
          <w:p w14:paraId="37FB7CC2">
            <w:r>
              <w:rPr>
                <w:rFonts w:ascii="Segoe UI" w:hAnsi="Segoe UI" w:eastAsia="Segoe UI" w:cs="Segoe UI"/>
                <w:lang w:eastAsia="zh-CN" w:bidi="ar"/>
              </w:rPr>
              <w:t>0.272</w:t>
            </w:r>
          </w:p>
        </w:tc>
      </w:tr>
      <w:tr w14:paraId="23E7A38B">
        <w:tblPrEx>
          <w:tblCellMar>
            <w:top w:w="0" w:type="dxa"/>
            <w:left w:w="108" w:type="dxa"/>
            <w:bottom w:w="0" w:type="dxa"/>
            <w:right w:w="108" w:type="dxa"/>
          </w:tblCellMar>
        </w:tblPrEx>
        <w:tc>
          <w:tcPr>
            <w:tcW w:w="1251" w:type="pct"/>
            <w:tcBorders>
              <w:left w:val="nil"/>
              <w:right w:val="nil"/>
            </w:tcBorders>
            <w:vAlign w:val="center"/>
          </w:tcPr>
          <w:p w14:paraId="56B4FD94">
            <w:r>
              <w:rPr>
                <w:rFonts w:hint="eastAsia" w:ascii="宋体" w:hAnsi="宋体" w:eastAsia="宋体" w:cs="宋体"/>
                <w:lang w:eastAsia="zh-CN" w:bidi="ar"/>
              </w:rPr>
              <w:t>包容性</w:t>
            </w:r>
          </w:p>
        </w:tc>
        <w:tc>
          <w:tcPr>
            <w:tcW w:w="1250" w:type="pct"/>
            <w:tcBorders>
              <w:left w:val="nil"/>
              <w:right w:val="nil"/>
            </w:tcBorders>
            <w:vAlign w:val="center"/>
          </w:tcPr>
          <w:p w14:paraId="7870F459">
            <w:r>
              <w:rPr>
                <w:rFonts w:ascii="Segoe UI" w:hAnsi="Segoe UI" w:eastAsia="Segoe UI" w:cs="Segoe UI"/>
                <w:lang w:eastAsia="zh-CN" w:bidi="ar"/>
              </w:rPr>
              <w:t>0.859</w:t>
            </w:r>
          </w:p>
        </w:tc>
        <w:tc>
          <w:tcPr>
            <w:tcW w:w="1250" w:type="pct"/>
            <w:tcBorders>
              <w:left w:val="nil"/>
              <w:right w:val="nil"/>
            </w:tcBorders>
            <w:vAlign w:val="center"/>
          </w:tcPr>
          <w:p w14:paraId="205AF584">
            <w:r>
              <w:rPr>
                <w:rFonts w:ascii="Segoe UI" w:hAnsi="Segoe UI" w:eastAsia="Segoe UI" w:cs="Segoe UI"/>
                <w:lang w:eastAsia="zh-CN" w:bidi="ar"/>
              </w:rPr>
              <w:t>0.141</w:t>
            </w:r>
          </w:p>
        </w:tc>
        <w:tc>
          <w:tcPr>
            <w:tcW w:w="1249" w:type="pct"/>
            <w:tcBorders>
              <w:left w:val="nil"/>
              <w:right w:val="nil"/>
            </w:tcBorders>
            <w:vAlign w:val="center"/>
          </w:tcPr>
          <w:p w14:paraId="5C89941B">
            <w:r>
              <w:rPr>
                <w:rFonts w:ascii="Segoe UI" w:hAnsi="Segoe UI" w:eastAsia="Segoe UI" w:cs="Segoe UI"/>
                <w:lang w:eastAsia="zh-CN" w:bidi="ar"/>
              </w:rPr>
              <w:t>0.206</w:t>
            </w:r>
          </w:p>
        </w:tc>
      </w:tr>
      <w:tr w14:paraId="57A5759C">
        <w:tblPrEx>
          <w:tblCellMar>
            <w:top w:w="0" w:type="dxa"/>
            <w:left w:w="108" w:type="dxa"/>
            <w:bottom w:w="0" w:type="dxa"/>
            <w:right w:w="108" w:type="dxa"/>
          </w:tblCellMar>
        </w:tblPrEx>
        <w:tc>
          <w:tcPr>
            <w:tcW w:w="1251" w:type="pct"/>
            <w:tcBorders>
              <w:left w:val="nil"/>
              <w:right w:val="nil"/>
            </w:tcBorders>
            <w:vAlign w:val="center"/>
          </w:tcPr>
          <w:p w14:paraId="19A12AB1">
            <w:r>
              <w:rPr>
                <w:rFonts w:hint="eastAsia" w:ascii="宋体" w:hAnsi="宋体" w:eastAsia="宋体" w:cs="宋体"/>
                <w:lang w:eastAsia="zh-CN" w:bidi="ar"/>
              </w:rPr>
              <w:t>创新性</w:t>
            </w:r>
          </w:p>
        </w:tc>
        <w:tc>
          <w:tcPr>
            <w:tcW w:w="1250" w:type="pct"/>
            <w:tcBorders>
              <w:left w:val="nil"/>
              <w:right w:val="nil"/>
            </w:tcBorders>
            <w:vAlign w:val="center"/>
          </w:tcPr>
          <w:p w14:paraId="56EF99D2">
            <w:r>
              <w:rPr>
                <w:rFonts w:ascii="Segoe UI" w:hAnsi="Segoe UI" w:eastAsia="Segoe UI" w:cs="Segoe UI"/>
                <w:lang w:eastAsia="zh-CN" w:bidi="ar"/>
              </w:rPr>
              <w:t>0.865</w:t>
            </w:r>
          </w:p>
        </w:tc>
        <w:tc>
          <w:tcPr>
            <w:tcW w:w="1250" w:type="pct"/>
            <w:tcBorders>
              <w:left w:val="nil"/>
              <w:right w:val="nil"/>
            </w:tcBorders>
            <w:vAlign w:val="center"/>
          </w:tcPr>
          <w:p w14:paraId="40ECFF1B">
            <w:r>
              <w:rPr>
                <w:rFonts w:ascii="Segoe UI" w:hAnsi="Segoe UI" w:eastAsia="Segoe UI" w:cs="Segoe UI"/>
                <w:lang w:eastAsia="zh-CN" w:bidi="ar"/>
              </w:rPr>
              <w:t>0.135</w:t>
            </w:r>
          </w:p>
        </w:tc>
        <w:tc>
          <w:tcPr>
            <w:tcW w:w="1249" w:type="pct"/>
            <w:tcBorders>
              <w:left w:val="nil"/>
              <w:right w:val="nil"/>
            </w:tcBorders>
            <w:vAlign w:val="center"/>
          </w:tcPr>
          <w:p w14:paraId="5F038546">
            <w:r>
              <w:rPr>
                <w:rFonts w:ascii="Segoe UI" w:hAnsi="Segoe UI" w:eastAsia="Segoe UI" w:cs="Segoe UI"/>
                <w:lang w:eastAsia="zh-CN" w:bidi="ar"/>
              </w:rPr>
              <w:t>0.198</w:t>
            </w:r>
          </w:p>
        </w:tc>
      </w:tr>
      <w:tr w14:paraId="22453B9C">
        <w:tblPrEx>
          <w:tblCellMar>
            <w:top w:w="0" w:type="dxa"/>
            <w:left w:w="108" w:type="dxa"/>
            <w:bottom w:w="0" w:type="dxa"/>
            <w:right w:w="108" w:type="dxa"/>
          </w:tblCellMar>
        </w:tblPrEx>
        <w:tc>
          <w:tcPr>
            <w:tcW w:w="1251" w:type="pct"/>
            <w:tcBorders>
              <w:left w:val="nil"/>
              <w:bottom w:val="single" w:color="000000" w:sz="12" w:space="0"/>
              <w:right w:val="nil"/>
            </w:tcBorders>
            <w:vAlign w:val="center"/>
          </w:tcPr>
          <w:p w14:paraId="5AF6C821">
            <w:r>
              <w:rPr>
                <w:rFonts w:hint="eastAsia" w:ascii="宋体" w:hAnsi="宋体" w:eastAsia="宋体" w:cs="宋体"/>
                <w:lang w:eastAsia="zh-CN" w:bidi="ar"/>
              </w:rPr>
              <w:t>安全性</w:t>
            </w:r>
          </w:p>
        </w:tc>
        <w:tc>
          <w:tcPr>
            <w:tcW w:w="1250" w:type="pct"/>
            <w:tcBorders>
              <w:left w:val="nil"/>
              <w:bottom w:val="single" w:color="000000" w:sz="12" w:space="0"/>
              <w:right w:val="nil"/>
            </w:tcBorders>
            <w:vAlign w:val="center"/>
          </w:tcPr>
          <w:p w14:paraId="48687DB8">
            <w:r>
              <w:rPr>
                <w:rFonts w:ascii="Segoe UI" w:hAnsi="Segoe UI" w:eastAsia="Segoe UI" w:cs="Segoe UI"/>
                <w:lang w:eastAsia="zh-CN" w:bidi="ar"/>
              </w:rPr>
              <w:t>0.937</w:t>
            </w:r>
          </w:p>
        </w:tc>
        <w:tc>
          <w:tcPr>
            <w:tcW w:w="1250" w:type="pct"/>
            <w:tcBorders>
              <w:left w:val="nil"/>
              <w:bottom w:val="single" w:color="000000" w:sz="12" w:space="0"/>
              <w:right w:val="nil"/>
            </w:tcBorders>
            <w:vAlign w:val="center"/>
          </w:tcPr>
          <w:p w14:paraId="6BABCC9D">
            <w:r>
              <w:rPr>
                <w:rFonts w:ascii="Segoe UI" w:hAnsi="Segoe UI" w:eastAsia="Segoe UI" w:cs="Segoe UI"/>
                <w:lang w:eastAsia="zh-CN" w:bidi="ar"/>
              </w:rPr>
              <w:t>0.063</w:t>
            </w:r>
          </w:p>
        </w:tc>
        <w:tc>
          <w:tcPr>
            <w:tcW w:w="1249" w:type="pct"/>
            <w:tcBorders>
              <w:left w:val="nil"/>
              <w:bottom w:val="single" w:color="000000" w:sz="12" w:space="0"/>
              <w:right w:val="nil"/>
            </w:tcBorders>
            <w:vAlign w:val="center"/>
          </w:tcPr>
          <w:p w14:paraId="38D59BE5">
            <w:r>
              <w:rPr>
                <w:rFonts w:ascii="Segoe UI" w:hAnsi="Segoe UI" w:eastAsia="Segoe UI" w:cs="Segoe UI"/>
                <w:lang w:eastAsia="zh-CN" w:bidi="ar"/>
              </w:rPr>
              <w:t>0.092</w:t>
            </w:r>
          </w:p>
        </w:tc>
      </w:tr>
    </w:tbl>
    <w:p w14:paraId="07A8F41D">
      <w:pPr>
        <w:pStyle w:val="3"/>
        <w:rPr>
          <w:lang w:eastAsia="zh-CN"/>
        </w:rPr>
      </w:pPr>
    </w:p>
    <w:p w14:paraId="30C63A28">
      <w:pPr>
        <w:pStyle w:val="35"/>
        <w:ind w:firstLine="480"/>
        <w:rPr>
          <w:lang w:eastAsia="zh-CN"/>
        </w:rPr>
      </w:pPr>
      <w:r>
        <w:rPr>
          <w:lang w:eastAsia="zh-CN"/>
        </w:rPr>
        <w:t>从EWM的结果可以看出几个值得关注的现象。 可持续性的信息熵最低（</w:t>
      </w:r>
      <m:oMath>
        <m:r>
          <m:rPr/>
          <w:rPr>
            <w:rFonts w:ascii="Cambria Math" w:hAnsi="Cambria Math"/>
            <w:lang w:eastAsia="zh-CN"/>
          </w:rPr>
          <m:t>H</m:t>
        </m:r>
        <m:r>
          <m:rPr>
            <m:sty m:val="p"/>
          </m:rPr>
          <w:rPr>
            <w:rFonts w:ascii="Cambria Math" w:hAnsi="Cambria Math"/>
            <w:lang w:eastAsia="zh-CN"/>
          </w:rPr>
          <m:t>=0.814</m:t>
        </m:r>
      </m:oMath>
      <w:r>
        <w:rPr>
          <w:lang w:eastAsia="zh-CN"/>
        </w:rPr>
        <w:t>），说明12个项目在可持续性上的差异最大，因此EWM给出最高权重0.272。 这一结果反映了四类项目在场馆基础设施需求上的结构性差异：核心项目（田径、游泳）和已移除项目（棒球/垒球、板球）对专用场馆的依赖程度显著不同。 性别平等的信息熵最高（</w:t>
      </w:r>
      <m:oMath>
        <m:r>
          <m:rPr/>
          <w:rPr>
            <w:rFonts w:ascii="Cambria Math" w:hAnsi="Cambria Math"/>
            <w:lang w:eastAsia="zh-CN"/>
          </w:rPr>
          <m:t>H</m:t>
        </m:r>
        <m:r>
          <m:rPr>
            <m:sty m:val="p"/>
          </m:rPr>
          <w:rPr>
            <w:rFonts w:ascii="Cambria Math" w:hAnsi="Cambria Math"/>
            <w:lang w:eastAsia="zh-CN"/>
          </w:rPr>
          <m:t>=0.940</m:t>
        </m:r>
      </m:oMath>
      <w:r>
        <w:rPr>
          <w:lang w:eastAsia="zh-CN"/>
        </w:rPr>
        <w:t>），说明各项目的性别比例趋于均衡，这与IOC推动性别平等的政策一致，12个项目中有10个得分在</w:t>
      </w:r>
      <m:oMath>
        <m:d>
          <m:dPr>
            <m:begChr m:val="["/>
            <m:endChr m:val="]"/>
            <m:ctrlPr>
              <w:rPr>
                <w:rFonts w:ascii="Cambria Math" w:hAnsi="Cambria Math"/>
              </w:rPr>
            </m:ctrlPr>
          </m:dPr>
          <m:e>
            <m:r>
              <m:rPr>
                <m:sty m:val="p"/>
              </m:rPr>
              <w:rPr>
                <w:rFonts w:ascii="Cambria Math" w:hAnsi="Cambria Math"/>
                <w:lang w:eastAsia="zh-CN"/>
              </w:rPr>
              <m:t>0.80,0.95</m:t>
            </m:r>
            <m:ctrlPr>
              <w:rPr>
                <w:rFonts w:ascii="Cambria Math" w:hAnsi="Cambria Math"/>
              </w:rPr>
            </m:ctrlPr>
          </m:e>
        </m:d>
      </m:oMath>
      <w:r>
        <w:rPr>
          <w:lang w:eastAsia="zh-CN"/>
        </w:rPr>
        <w:t>之间。 流行度的信息熵居中（</w:t>
      </w:r>
      <m:oMath>
        <m:r>
          <m:rPr/>
          <w:rPr>
            <w:rFonts w:ascii="Cambria Math" w:hAnsi="Cambria Math"/>
            <w:lang w:eastAsia="zh-CN"/>
          </w:rPr>
          <m:t>H</m:t>
        </m:r>
        <m:r>
          <m:rPr>
            <m:sty m:val="p"/>
          </m:rPr>
          <w:rPr>
            <w:rFonts w:ascii="Cambria Math" w:hAnsi="Cambria Math"/>
            <w:lang w:eastAsia="zh-CN"/>
          </w:rPr>
          <m:t>=0.902</m:t>
        </m:r>
      </m:oMath>
      <w:r>
        <w:rPr>
          <w:lang w:eastAsia="zh-CN"/>
        </w:rPr>
        <w:t>），EWM给出0.144的权重，低于AHP的0.362，反映出专家主观判断更看重项目的全球影响力，而数据层面各项目的流行度差异主要体现在参与规模而非序位排列上。</w:t>
      </w:r>
    </w:p>
    <w:bookmarkEnd w:id="109"/>
    <w:p w14:paraId="3FB1D05F">
      <w:pPr>
        <w:pStyle w:val="5"/>
        <w:rPr>
          <w:rFonts w:hint="eastAsia"/>
          <w:lang w:eastAsia="zh-CN"/>
        </w:rPr>
      </w:pPr>
      <w:bookmarkStart w:id="112" w:name="混合权重计算"/>
      <w:r>
        <w:rPr>
          <w:rStyle w:val="62"/>
          <w:rFonts w:ascii="黑体" w:hAnsi="黑体" w:eastAsia="黑体"/>
          <w:lang w:eastAsia="zh-CN"/>
        </w:rPr>
        <w:t>4.2.3</w:t>
      </w:r>
      <w:r>
        <w:rPr>
          <w:lang w:eastAsia="zh-CN"/>
        </w:rPr>
        <w:tab/>
      </w:r>
      <w:r>
        <w:rPr>
          <w:lang w:eastAsia="zh-CN"/>
        </w:rPr>
        <w:t>混合权重计算</w:t>
      </w:r>
    </w:p>
    <w:p w14:paraId="23939D10">
      <w:pPr>
        <w:pStyle w:val="35"/>
        <w:ind w:firstLine="480"/>
        <w:rPr>
          <w:lang w:eastAsia="zh-CN"/>
        </w:rPr>
      </w:pPr>
      <w:r>
        <w:rPr>
          <w:lang w:eastAsia="zh-CN"/>
        </w:rPr>
        <w:t>在获得AHP主观权重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和EWM客观权重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后，采用线性组合模型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进行合成，取</w:t>
      </w:r>
      <m:oMath>
        <m:r>
          <m:rPr/>
          <w:rPr>
            <w:rFonts w:ascii="Cambria Math" w:hAnsi="Cambria Math"/>
            <w:lang w:eastAsia="zh-CN"/>
          </w:rPr>
          <m:t>α</m:t>
        </m:r>
        <m:r>
          <m:rPr>
            <m:sty m:val="p"/>
          </m:rPr>
          <w:rPr>
            <w:rFonts w:ascii="Cambria Math" w:hAnsi="Cambria Math"/>
            <w:lang w:eastAsia="zh-CN"/>
          </w:rPr>
          <m:t>=0.5</m:t>
        </m:r>
      </m:oMath>
      <w:r>
        <w:rPr>
          <w:lang w:eastAsia="zh-CN"/>
        </w:rPr>
        <w:t>作为默认值实现主客观等权组合。以</w:t>
      </w:r>
      <m:oMath>
        <m:r>
          <m:rPr/>
          <w:rPr>
            <w:rFonts w:ascii="Cambria Math" w:hAnsi="Cambria Math"/>
            <w:lang w:eastAsia="zh-CN"/>
          </w:rPr>
          <m:t>α</m:t>
        </m:r>
        <m:r>
          <m:rPr>
            <m:sty m:val="p"/>
          </m:rPr>
          <w:rPr>
            <w:rFonts w:ascii="Cambria Math" w:hAnsi="Cambria Math"/>
            <w:lang w:eastAsia="zh-CN"/>
          </w:rPr>
          <m:t>=0.5</m:t>
        </m:r>
      </m:oMath>
      <w:r>
        <w:rPr>
          <w:lang w:eastAsia="zh-CN"/>
        </w:rPr>
        <w:t>为例，具体计算如下：</w:t>
      </w:r>
    </w:p>
    <w:p w14:paraId="0809723C">
      <w:pPr>
        <w:pStyle w:val="95"/>
      </w:pPr>
      <w:r>
        <w:rPr>
          <w:rFonts w:eastAsia="宋体" w:cstheme="minorBidi"/>
          <w:iCs/>
        </w:rPr>
        <w:tab/>
      </w:r>
      <m:oMath>
        <m:r>
          <m:rP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0.253,0.139,0.189,0.148,0.131,0.140</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w:r>
        <w:rPr>
          <w:rFonts w:hint="eastAsia"/>
        </w:rPr>
        <w:t xml:space="preserve"> .</w:t>
      </w:r>
      <w:r>
        <w:rPr>
          <w:rFonts w:eastAsiaTheme="minorEastAsia"/>
        </w:rPr>
        <w:tab/>
      </w:r>
      <w:r>
        <w:rPr>
          <w:rFonts w:eastAsiaTheme="minorEastAsia"/>
        </w:rPr>
        <w:tab/>
      </w:r>
      <w:r>
        <w:rPr>
          <w:rFonts w:hint="eastAsia"/>
        </w:rPr>
        <w:t>(4.14)</w:t>
      </w:r>
    </w:p>
    <w:p w14:paraId="18A4DEF1">
      <w:pPr>
        <w:pStyle w:val="3"/>
        <w:rPr>
          <w:lang w:eastAsia="zh-CN"/>
        </w:rPr>
      </w:pPr>
    </w:p>
    <w:p w14:paraId="70FD2C67">
      <w:pPr>
        <w:pStyle w:val="35"/>
        <w:ind w:firstLine="480"/>
      </w:pPr>
      <w:r>
        <w:rPr>
          <w:lang w:eastAsia="zh-CN"/>
        </w:rPr>
        <w:t>三种权重的对比结果如图</w:t>
      </w:r>
      <w:r>
        <w:rPr>
          <w:rFonts w:hint="eastAsia"/>
          <w:lang w:eastAsia="zh-CN"/>
        </w:rPr>
        <w:t>4.</w:t>
      </w:r>
      <w:r>
        <w:fldChar w:fldCharType="begin"/>
      </w:r>
      <w:r>
        <w:instrText xml:space="preserve"> HYPERLINK \l "fig:weight_comparison" \h </w:instrText>
      </w:r>
      <w:r>
        <w:fldChar w:fldCharType="separate"/>
      </w:r>
      <w:r>
        <w:rPr>
          <w:rStyle w:val="32"/>
          <w:rFonts w:eastAsia="宋体"/>
          <w:color w:val="auto"/>
        </w:rPr>
        <w:t>3</w:t>
      </w:r>
      <w:r>
        <w:rPr>
          <w:rStyle w:val="32"/>
          <w:rFonts w:eastAsia="宋体"/>
          <w:color w:val="auto"/>
        </w:rPr>
        <w:fldChar w:fldCharType="end"/>
      </w:r>
      <w:r>
        <w:t>所示。</w:t>
      </w:r>
    </w:p>
    <w:p w14:paraId="3B9D5119">
      <w:pPr>
        <w:pStyle w:val="59"/>
        <w:jc w:val="both"/>
      </w:pPr>
      <w:bookmarkStart w:id="113"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12"/>
                    <a:stretch>
                      <a:fillRect/>
                    </a:stretch>
                  </pic:blipFill>
                  <pic:spPr>
                    <a:xfrm>
                      <a:off x="0" y="0"/>
                      <a:ext cx="4800600" cy="2857730"/>
                    </a:xfrm>
                    <a:prstGeom prst="rect">
                      <a:avLst/>
                    </a:prstGeom>
                    <a:noFill/>
                    <a:ln w="9525">
                      <a:noFill/>
                    </a:ln>
                  </pic:spPr>
                </pic:pic>
              </a:graphicData>
            </a:graphic>
          </wp:inline>
        </w:drawing>
      </w:r>
    </w:p>
    <w:p w14:paraId="1D3CF24B">
      <w:pPr>
        <w:pStyle w:val="104"/>
        <w:jc w:val="center"/>
        <w:rPr>
          <w:i w:val="0"/>
          <w:iCs/>
        </w:rPr>
      </w:pPr>
      <w:bookmarkStart w:id="114" w:name="_fig_weight_comparison"/>
      <w:r>
        <w:rPr>
          <w:rFonts w:hint="eastAsia"/>
          <w:i w:val="0"/>
          <w:iCs/>
        </w:rPr>
        <w:t>图4.3：AHP、EWM与混合权重对比</w:t>
      </w:r>
      <w:bookmarkEnd w:id="114"/>
    </w:p>
    <w:bookmarkEnd w:id="113"/>
    <w:p w14:paraId="4627E24A">
      <w:pPr>
        <w:pStyle w:val="35"/>
        <w:ind w:firstLine="480"/>
        <w:rPr>
          <w:lang w:eastAsia="zh-CN"/>
        </w:rPr>
      </w:pPr>
      <w:r>
        <w:rPr>
          <w:rFonts w:hint="eastAsia"/>
          <w:lang w:eastAsia="zh-CN"/>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的合理性。</w:t>
      </w:r>
    </w:p>
    <w:bookmarkEnd w:id="100"/>
    <w:bookmarkEnd w:id="112"/>
    <w:p w14:paraId="03210FD2">
      <w:pPr>
        <w:pStyle w:val="4"/>
        <w:rPr>
          <w:rFonts w:hint="eastAsia"/>
          <w:lang w:eastAsia="zh-CN"/>
        </w:rPr>
      </w:pPr>
      <w:bookmarkStart w:id="115" w:name="_Toc229523249"/>
      <w:bookmarkStart w:id="116" w:name="历史奥运项目评估实验"/>
      <w:r>
        <w:rPr>
          <w:rStyle w:val="62"/>
          <w:rFonts w:ascii="黑体" w:hAnsi="黑体" w:eastAsia="黑体"/>
          <w:sz w:val="28"/>
          <w:szCs w:val="28"/>
          <w:lang w:eastAsia="zh-CN"/>
        </w:rPr>
        <w:t>4.3</w:t>
      </w:r>
      <w:r>
        <w:rPr>
          <w:lang w:eastAsia="zh-CN"/>
        </w:rPr>
        <w:tab/>
      </w:r>
      <w:r>
        <w:rPr>
          <w:lang w:eastAsia="zh-CN"/>
        </w:rPr>
        <w:t>历史奥运项目评估实验</w:t>
      </w:r>
      <w:bookmarkEnd w:id="115"/>
    </w:p>
    <w:p w14:paraId="2668A416">
      <w:pPr>
        <w:pStyle w:val="5"/>
        <w:rPr>
          <w:rFonts w:hint="eastAsia"/>
          <w:lang w:eastAsia="zh-CN"/>
        </w:rPr>
      </w:pPr>
      <w:bookmarkStart w:id="117" w:name="实验设计"/>
      <w:r>
        <w:rPr>
          <w:rStyle w:val="62"/>
          <w:rFonts w:ascii="黑体" w:hAnsi="黑体" w:eastAsia="黑体"/>
          <w:lang w:eastAsia="zh-CN"/>
        </w:rPr>
        <w:t>4.3.1</w:t>
      </w:r>
      <w:r>
        <w:rPr>
          <w:lang w:eastAsia="zh-CN"/>
        </w:rPr>
        <w:tab/>
      </w:r>
      <w:r>
        <w:rPr>
          <w:lang w:eastAsia="zh-CN"/>
        </w:rPr>
        <w:t>实验设计</w:t>
      </w:r>
    </w:p>
    <w:p w14:paraId="74C1C0EA">
      <w:pPr>
        <w:pStyle w:val="35"/>
        <w:ind w:firstLine="480"/>
        <w:rPr>
          <w:lang w:eastAsia="zh-CN"/>
        </w:rPr>
      </w:pPr>
      <w:r>
        <w:rPr>
          <w:lang w:eastAsia="zh-CN"/>
        </w:rPr>
        <w:t>采用</w:t>
      </w:r>
      <m:oMath>
        <m:r>
          <m:rPr/>
          <w:rPr>
            <w:rFonts w:ascii="Cambria Math" w:hAnsi="Cambria Math"/>
            <w:lang w:eastAsia="zh-CN"/>
          </w:rPr>
          <m:t>α</m:t>
        </m:r>
        <m:r>
          <m:rPr>
            <m:sty m:val="p"/>
          </m:rPr>
          <w:rPr>
            <w:rFonts w:ascii="Cambria Math" w:hAnsi="Cambria Math"/>
            <w:lang w:eastAsia="zh-CN"/>
          </w:rPr>
          <m:t>=0.5</m:t>
        </m:r>
      </m:oMath>
      <w:r>
        <w:rPr>
          <w:lang w:eastAsia="zh-CN"/>
        </w:rPr>
        <w:t>的混合模型对12个代表性项目进行评估。 实验流程为：先收集各项目的六维指标数据， 用EWM计算第二层子指标权重， 再计算各维度综合得分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然后用混合权重模型计算第一层权重， 最后计算综合评分并排序， 与实际奥运决策进行对比验证。</w:t>
      </w:r>
    </w:p>
    <w:bookmarkEnd w:id="117"/>
    <w:p w14:paraId="4812D03C">
      <w:pPr>
        <w:pStyle w:val="5"/>
        <w:rPr>
          <w:rFonts w:hint="eastAsia"/>
          <w:lang w:eastAsia="zh-CN"/>
        </w:rPr>
      </w:pPr>
      <w:bookmarkStart w:id="118" w:name="实验结果"/>
      <w:r>
        <w:rPr>
          <w:rStyle w:val="62"/>
          <w:rFonts w:ascii="黑体" w:hAnsi="黑体" w:eastAsia="黑体"/>
          <w:lang w:eastAsia="zh-CN"/>
        </w:rPr>
        <w:t>4.3.2</w:t>
      </w:r>
      <w:r>
        <w:rPr>
          <w:lang w:eastAsia="zh-CN"/>
        </w:rPr>
        <w:tab/>
      </w:r>
      <w:r>
        <w:rPr>
          <w:lang w:eastAsia="zh-CN"/>
        </w:rPr>
        <w:t>实验结果</w:t>
      </w:r>
    </w:p>
    <w:p w14:paraId="14CB7820">
      <w:pPr>
        <w:pStyle w:val="35"/>
        <w:ind w:firstLine="480"/>
        <w:rPr>
          <w:lang w:eastAsia="zh-CN"/>
        </w:rPr>
      </w:pPr>
      <w:r>
        <w:rPr>
          <w:lang w:eastAsia="zh-CN"/>
        </w:rPr>
        <w:t>评估结果如图</w:t>
      </w:r>
      <w:r>
        <w:fldChar w:fldCharType="begin"/>
      </w:r>
      <w:r>
        <w:instrText xml:space="preserve"> HYPERLINK \l "fig:ranking" \h </w:instrText>
      </w:r>
      <w:r>
        <w:fldChar w:fldCharType="separate"/>
      </w:r>
      <w:r>
        <w:rPr>
          <w:rStyle w:val="32"/>
          <w:rFonts w:eastAsia="宋体"/>
          <w:color w:val="auto"/>
          <w:lang w:eastAsia="zh-CN"/>
        </w:rPr>
        <w:t>4</w:t>
      </w:r>
      <w:r>
        <w:rPr>
          <w:rStyle w:val="32"/>
          <w:rFonts w:eastAsia="宋体"/>
          <w:color w:val="auto"/>
          <w:lang w:eastAsia="zh-CN"/>
        </w:rPr>
        <w:fldChar w:fldCharType="end"/>
      </w:r>
      <w:r>
        <w:rPr>
          <w:lang w:eastAsia="zh-CN"/>
        </w:rPr>
        <w:t>所示。</w:t>
      </w:r>
    </w:p>
    <w:p w14:paraId="5CCC0D6F">
      <w:pPr>
        <w:pStyle w:val="59"/>
        <w:jc w:val="both"/>
      </w:pPr>
      <w:bookmarkStart w:id="119" w:name="fig:ranking"/>
      <w:r>
        <w:drawing>
          <wp:inline distT="0" distB="0" distL="114300" distR="114300">
            <wp:extent cx="5511800" cy="298005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13"/>
                    <a:stretch>
                      <a:fillRect/>
                    </a:stretch>
                  </pic:blipFill>
                  <pic:spPr>
                    <a:xfrm>
                      <a:off x="0" y="0"/>
                      <a:ext cx="5523306" cy="2986301"/>
                    </a:xfrm>
                    <a:prstGeom prst="rect">
                      <a:avLst/>
                    </a:prstGeom>
                    <a:noFill/>
                    <a:ln w="9525">
                      <a:noFill/>
                    </a:ln>
                  </pic:spPr>
                </pic:pic>
              </a:graphicData>
            </a:graphic>
          </wp:inline>
        </w:drawing>
      </w:r>
    </w:p>
    <w:p w14:paraId="1B2C42CE">
      <w:pPr>
        <w:pStyle w:val="104"/>
        <w:jc w:val="center"/>
        <w:rPr>
          <w:i w:val="0"/>
          <w:iCs/>
        </w:rPr>
      </w:pPr>
      <w:bookmarkStart w:id="120" w:name="_fig_ranking"/>
      <w:r>
        <w:rPr>
          <w:rFonts w:hint="eastAsia"/>
          <w:i w:val="0"/>
          <w:iCs/>
        </w:rPr>
        <w:t>图4.4：奥运项目综合评分排名</w:t>
      </w:r>
      <w:bookmarkEnd w:id="120"/>
    </w:p>
    <w:bookmarkEnd w:id="119"/>
    <w:p w14:paraId="0C0B8665">
      <w:pPr>
        <w:pStyle w:val="35"/>
        <w:ind w:firstLine="480"/>
        <w:rPr>
          <w:lang w:eastAsia="zh-CN"/>
        </w:rPr>
      </w:pPr>
      <w:r>
        <w:rPr>
          <w:rFonts w:hint="eastAsia"/>
          <w:lang w:eastAsia="zh-CN"/>
        </w:rPr>
        <w:t>从图</w:t>
      </w:r>
      <w:r>
        <w:fldChar w:fldCharType="begin"/>
      </w:r>
      <w:r>
        <w:instrText xml:space="preserve"> HYPERLINK \l "fig:ranking" \h </w:instrText>
      </w:r>
      <w:r>
        <w:fldChar w:fldCharType="separate"/>
      </w:r>
      <w:r>
        <w:rPr>
          <w:rStyle w:val="32"/>
          <w:color w:val="auto"/>
          <w:lang w:eastAsia="zh-CN"/>
        </w:rPr>
        <w:t>4</w:t>
      </w:r>
      <w:r>
        <w:rPr>
          <w:rStyle w:val="32"/>
          <w:color w:val="auto"/>
          <w:lang w:eastAsia="zh-CN"/>
        </w:rPr>
        <w:fldChar w:fldCharType="end"/>
      </w:r>
      <w:r>
        <w:rPr>
          <w:rFonts w:hint="eastAsia"/>
          <w:lang w:eastAsia="zh-CN"/>
        </w:rPr>
        <w:t>的条形图可以直观看出各项目的综合评分差异，田径以微弱优势领先于电子竞技，传统核心项目整体排名靠前，而已移除项目则处于末尾。</w:t>
      </w:r>
    </w:p>
    <w:p w14:paraId="7BD441CE">
      <w:pPr>
        <w:pStyle w:val="35"/>
        <w:ind w:firstLine="480"/>
        <w:rPr>
          <w:lang w:eastAsia="zh-CN"/>
        </w:rPr>
      </w:pPr>
      <w:r>
        <w:rPr>
          <w:rFonts w:hint="eastAsia"/>
          <w:lang w:eastAsia="zh-CN"/>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32"/>
          <w:color w:val="auto"/>
          <w:lang w:eastAsia="zh-CN"/>
        </w:rPr>
        <w:t>5</w:t>
      </w:r>
      <w:r>
        <w:rPr>
          <w:rStyle w:val="32"/>
          <w:color w:val="auto"/>
          <w:lang w:eastAsia="zh-CN"/>
        </w:rPr>
        <w:fldChar w:fldCharType="end"/>
      </w:r>
      <w:r>
        <w:rPr>
          <w:rFonts w:hint="eastAsia"/>
          <w:lang w:eastAsia="zh-CN"/>
        </w:rPr>
        <w:t>将各维度的贡献比例进行了分解展示。</w:t>
      </w:r>
    </w:p>
    <w:p w14:paraId="18ED687C">
      <w:pPr>
        <w:pStyle w:val="59"/>
        <w:jc w:val="both"/>
      </w:pPr>
      <w:bookmarkStart w:id="121"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14"/>
                    <a:stretch>
                      <a:fillRect/>
                    </a:stretch>
                  </pic:blipFill>
                  <pic:spPr>
                    <a:xfrm>
                      <a:off x="0" y="0"/>
                      <a:ext cx="4907280" cy="2429918"/>
                    </a:xfrm>
                    <a:prstGeom prst="rect">
                      <a:avLst/>
                    </a:prstGeom>
                    <a:noFill/>
                    <a:ln w="9525">
                      <a:noFill/>
                    </a:ln>
                  </pic:spPr>
                </pic:pic>
              </a:graphicData>
            </a:graphic>
          </wp:inline>
        </w:drawing>
      </w:r>
    </w:p>
    <w:p w14:paraId="66CE1F35">
      <w:pPr>
        <w:pStyle w:val="104"/>
        <w:jc w:val="center"/>
        <w:rPr>
          <w:i w:val="0"/>
          <w:iCs/>
        </w:rPr>
      </w:pPr>
      <w:bookmarkStart w:id="122" w:name="_fig_score_decomposition"/>
      <w:r>
        <w:rPr>
          <w:rFonts w:hint="eastAsia"/>
          <w:i w:val="0"/>
          <w:iCs/>
        </w:rPr>
        <w:t>图4.5：各项目综合评分结构分解</w:t>
      </w:r>
      <w:bookmarkEnd w:id="122"/>
    </w:p>
    <w:bookmarkEnd w:id="121"/>
    <w:p w14:paraId="0C901D02">
      <w:pPr>
        <w:pStyle w:val="35"/>
        <w:ind w:firstLine="480"/>
        <w:rPr>
          <w:lang w:eastAsia="zh-CN"/>
        </w:rPr>
      </w:pPr>
      <w:r>
        <w:rPr>
          <w:rFonts w:hint="eastAsia"/>
          <w:lang w:eastAsia="zh-CN"/>
        </w:rPr>
        <w:t>综合图</w:t>
      </w:r>
      <w:r>
        <w:fldChar w:fldCharType="begin"/>
      </w:r>
      <w:r>
        <w:instrText xml:space="preserve"> HYPERLINK \l "fig:ranking" \h </w:instrText>
      </w:r>
      <w:r>
        <w:fldChar w:fldCharType="separate"/>
      </w:r>
      <w:r>
        <w:rPr>
          <w:rStyle w:val="32"/>
          <w:color w:val="auto"/>
          <w:lang w:eastAsia="zh-CN"/>
        </w:rPr>
        <w:t>4</w:t>
      </w:r>
      <w:r>
        <w:rPr>
          <w:rStyle w:val="32"/>
          <w:color w:val="auto"/>
          <w:lang w:eastAsia="zh-CN"/>
        </w:rPr>
        <w:fldChar w:fldCharType="end"/>
      </w:r>
      <w:r>
        <w:rPr>
          <w:rFonts w:hint="eastAsia"/>
          <w:lang w:eastAsia="zh-CN"/>
        </w:rPr>
        <w:t>的排名信息，可以归纳出以下几点结果。</w:t>
      </w:r>
      <w:r>
        <w:rPr>
          <w:lang w:eastAsia="zh-CN"/>
        </w:rPr>
        <w:t xml:space="preserve"> </w:t>
      </w:r>
      <w:r>
        <w:rPr>
          <w:rFonts w:hint="eastAsia"/>
          <w:lang w:eastAsia="zh-CN"/>
        </w:rPr>
        <w:t>第一，传统核心项目整体排名靠前，田径、游泳、足球、篮球分别排第1、第3、第4和第5名。</w:t>
      </w:r>
      <w:r>
        <w:rPr>
          <w:lang w:eastAsia="zh-CN"/>
        </w:rPr>
        <w:t xml:space="preserve"> </w:t>
      </w:r>
      <w:r>
        <w:rPr>
          <w:rFonts w:hint="eastAsia"/>
          <w:lang w:eastAsia="zh-CN"/>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32"/>
          <w:color w:val="auto"/>
          <w:lang w:eastAsia="zh-CN"/>
        </w:rPr>
        <w:t>(3.2)</w:t>
      </w:r>
      <w:r>
        <w:rPr>
          <w:rStyle w:val="32"/>
          <w:color w:val="auto"/>
          <w:lang w:eastAsia="zh-CN"/>
        </w:rPr>
        <w:fldChar w:fldCharType="end"/>
      </w:r>
      <w:r>
        <w:rPr>
          <w:rFonts w:hint="eastAsia"/>
          <w:lang w:eastAsia="zh-CN"/>
        </w:rPr>
        <w:t>计算：</w:t>
      </w:r>
    </w:p>
    <w:p w14:paraId="18C7BA10">
      <w:pPr>
        <w:pStyle w:val="95"/>
        <w:rPr>
          <w:rFonts w:eastAsia="宋体" w:cstheme="minorBidi"/>
        </w:rPr>
      </w:pPr>
      <w:r>
        <w:rPr>
          <w:rFonts w:eastAsia="宋体" w:cstheme="minorBidi"/>
        </w:rPr>
        <w:tab/>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rFonts w:hint="eastAsia" w:ascii="宋体" w:hAnsi="宋体" w:eastAsia="宋体" w:cs="宋体"/>
                <w:b w:val="0"/>
                <w:i w:val="0"/>
              </w:rPr>
              <m:t>田径</m:t>
            </m:r>
            <m:ctrlPr>
              <w:rPr>
                <w:rFonts w:ascii="Cambria Math" w:hAnsi="Cambria Math"/>
              </w:rPr>
            </m:ctrlPr>
          </m:sub>
        </m:sSub>
        <m:r>
          <m:rPr>
            <m:sty m:val="p"/>
          </m:rPr>
          <w:rPr>
            <w:rFonts w:ascii="Cambria Math" w:hAnsi="Cambria Math"/>
          </w:rPr>
          <m:t>=0.253×0.817+0.139×0.767</m:t>
        </m:r>
      </m:oMath>
    </w:p>
    <w:p w14:paraId="5971094A">
      <w:pPr>
        <w:pStyle w:val="95"/>
        <w:rPr>
          <w:rFonts w:eastAsia="宋体" w:cstheme="minorBidi"/>
        </w:rPr>
      </w:pPr>
      <m:oMathPara>
        <m:oMath>
          <m:r>
            <m:rPr>
              <m:sty m:val="p"/>
            </m:rPr>
            <w:rPr>
              <w:rFonts w:ascii="Cambria Math" w:hAnsi="Cambria Math"/>
            </w:rPr>
            <m:t>+0.189×1.000+0.148×1.000</m:t>
          </m:r>
        </m:oMath>
      </m:oMathPara>
    </w:p>
    <w:p w14:paraId="524C6384">
      <w:pPr>
        <w:pStyle w:val="95"/>
        <w:rPr>
          <w:rFonts w:eastAsia="宋体" w:cstheme="minorBidi"/>
        </w:rPr>
      </w:pPr>
      <m:oMathPara>
        <m:oMath>
          <m:r>
            <m:rPr>
              <m:sty m:val="p"/>
            </m:rPr>
            <w:rPr>
              <w:rFonts w:ascii="Cambria Math" w:hAnsi="Cambria Math"/>
            </w:rPr>
            <m:t>+0.131×0.00+0.140×0.667</m:t>
          </m:r>
        </m:oMath>
      </m:oMathPara>
    </w:p>
    <w:p w14:paraId="4B3E4CB7">
      <w:pPr>
        <w:pStyle w:val="95"/>
      </w:pPr>
      <w:r>
        <w:rPr>
          <w:rFonts w:eastAsia="宋体" w:cstheme="minorBidi"/>
        </w:rPr>
        <w:tab/>
      </w:r>
      <m:oMath>
        <m:r>
          <m:rPr>
            <m:sty m:val="p"/>
          </m:rPr>
          <w:rPr>
            <w:rFonts w:ascii="Cambria Math" w:hAnsi="Cambria Math"/>
          </w:rPr>
          <m:t>≈0.748</m:t>
        </m:r>
      </m:oMath>
      <w:r>
        <w:t xml:space="preserve"> ,</w:t>
      </w:r>
      <w:r>
        <w:rPr>
          <w:rFonts w:eastAsiaTheme="minorEastAsia"/>
        </w:rPr>
        <w:tab/>
      </w:r>
      <w:r>
        <w:t>(4.15)</w:t>
      </w:r>
    </w:p>
    <w:p w14:paraId="0FB586A8">
      <w:pPr>
        <w:pStyle w:val="35"/>
        <w:ind w:firstLine="480"/>
        <w:rPr>
          <w:lang w:eastAsia="zh-CN"/>
        </w:rPr>
      </w:pPr>
      <w:r>
        <w:rPr>
          <w:lang w:eastAsia="zh-CN"/>
        </w:rPr>
        <w:t>游泳排名第三，性别平等评分（0.95）居12个项目之首，反映了World Aquatics在推动男女比例均衡方面的成果。 足球和篮球分别排在第四和第五位，流行度维度均超过0.50。 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 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41FBA5F6">
      <w:pPr>
        <w:pStyle w:val="35"/>
        <w:ind w:firstLine="480"/>
        <w:rPr>
          <w:lang w:eastAsia="zh-CN"/>
        </w:rPr>
      </w:pPr>
      <w:r>
        <w:rPr>
          <w:rFonts w:hint="eastAsia"/>
          <w:lang w:eastAsia="zh-CN"/>
        </w:rPr>
        <w:t>第二，新增项目的创新性得分普遍较高。</w:t>
      </w:r>
      <w:r>
        <w:rPr>
          <w:lang w:eastAsia="zh-CN"/>
        </w:rPr>
        <w:t xml:space="preserve"> </w:t>
      </w:r>
      <w:r>
        <w:rPr>
          <w:rFonts w:hint="eastAsia"/>
          <w:lang w:eastAsia="zh-CN"/>
        </w:rPr>
        <w:t>滑板、攀岩、冲浪、霹雳舞分别排在第6、第7、第9和第10位。</w:t>
      </w:r>
      <w:r>
        <w:rPr>
          <w:lang w:eastAsia="zh-CN"/>
        </w:rPr>
        <w:t xml:space="preserve"> </w:t>
      </w:r>
      <w:r>
        <w:rPr>
          <w:rFonts w:hint="eastAsia"/>
          <w:lang w:eastAsia="zh-CN"/>
        </w:rPr>
        <w:t>这四个项目的创新性评分均显著高于传统项目（四个项目均为0.985），这与它们近期才被引入奥运会的实际情况相符。</w:t>
      </w:r>
      <w:r>
        <w:rPr>
          <w:lang w:eastAsia="zh-CN"/>
        </w:rPr>
        <w:t xml:space="preserve"> </w:t>
      </w:r>
      <w:r>
        <w:rPr>
          <w:rFonts w:hint="eastAsia"/>
          <w:lang w:eastAsia="zh-CN"/>
        </w:rPr>
        <w:t>其中滑板排名最高（第6名），主要得益于其在可持续性（临时滑板公园可在赛后迁至社区继续使用）和创新性两个维度的平衡表现。</w:t>
      </w:r>
      <w:r>
        <w:rPr>
          <w:lang w:eastAsia="zh-CN"/>
        </w:rPr>
        <w:t xml:space="preserve"> </w:t>
      </w:r>
      <w:r>
        <w:rPr>
          <w:rFonts w:hint="eastAsia"/>
          <w:lang w:eastAsia="zh-CN"/>
        </w:rPr>
        <w:t>霹雳舞的排名相对靠后（第10名），原因在于其包容性评分（0.110）显著偏低：霹雳舞尚无残奥会对应项目，且国际舞蹈运动联合会（WDSF）仅有93个会员国，其中78个获NOC认可，全球覆盖度在12个项目中最低。</w:t>
      </w:r>
    </w:p>
    <w:p w14:paraId="6E1A9A6B">
      <w:pPr>
        <w:pStyle w:val="35"/>
        <w:ind w:firstLine="480"/>
        <w:rPr>
          <w:lang w:eastAsia="zh-CN"/>
        </w:rPr>
      </w:pPr>
      <w:r>
        <w:rPr>
          <w:rFonts w:hint="eastAsia"/>
          <w:lang w:eastAsia="zh-CN"/>
        </w:rPr>
        <w:t>第三，电子竞技以0.743分位列第二，与田径的差距仅为0.005。</w:t>
      </w:r>
      <w:r>
        <w:rPr>
          <w:lang w:eastAsia="zh-CN"/>
        </w:rPr>
        <w:t xml:space="preserve"> </w:t>
      </w:r>
      <w:r>
        <w:rPr>
          <w:rFonts w:hint="eastAsia"/>
          <w:lang w:eastAsia="zh-CN"/>
        </w:rPr>
        <w:t>这一结果主要得益于其在流行度（全球观众超过5亿）和创新性（Agenda</w:t>
      </w:r>
      <w:r>
        <w:rPr>
          <w:lang w:eastAsia="zh-CN"/>
        </w:rPr>
        <w:t xml:space="preserve"> </w:t>
      </w:r>
      <w:r>
        <w:rPr>
          <w:rFonts w:hint="eastAsia"/>
          <w:lang w:eastAsia="zh-CN"/>
        </w:rPr>
        <w:t>2020+5正式纳入IOC政策视野）两个维度的突出表现。</w:t>
      </w:r>
      <w:r>
        <w:rPr>
          <w:lang w:eastAsia="zh-CN"/>
        </w:rPr>
        <w:t xml:space="preserve"> </w:t>
      </w:r>
      <w:r>
        <w:rPr>
          <w:rFonts w:hint="eastAsia"/>
          <w:lang w:eastAsia="zh-CN"/>
        </w:rPr>
        <w:t>电子竞技在非传统奥运项目中展现了最强的综合竞争力，其排名仅略低于田径，与Song等</w:t>
      </w:r>
      <w:r>
        <w:rPr>
          <w:vertAlign w:val="superscript"/>
          <w:lang w:eastAsia="zh-CN"/>
        </w:rPr>
        <w:t>[15]</w:t>
      </w:r>
      <w:r>
        <w:rPr>
          <w:rFonts w:hint="eastAsia"/>
          <w:lang w:eastAsia="zh-CN"/>
        </w:rPr>
        <w:t>的预测方向一致。</w:t>
      </w:r>
    </w:p>
    <w:p w14:paraId="0DA2E2BA">
      <w:pPr>
        <w:pStyle w:val="35"/>
        <w:ind w:firstLine="480"/>
        <w:rPr>
          <w:lang w:eastAsia="zh-CN"/>
        </w:rPr>
      </w:pPr>
      <w:r>
        <w:rPr>
          <w:rFonts w:hint="eastAsia"/>
          <w:lang w:eastAsia="zh-CN"/>
        </w:rPr>
        <w:t>第四，已移除项目排名靠后且内部差异明显。</w:t>
      </w:r>
      <w:r>
        <w:rPr>
          <w:lang w:eastAsia="zh-CN"/>
        </w:rPr>
        <w:t xml:space="preserve"> </w:t>
      </w:r>
      <w:r>
        <w:rPr>
          <w:rFonts w:hint="eastAsia"/>
          <w:lang w:eastAsia="zh-CN"/>
        </w:rPr>
        <w:t>空手道排名第8位（0.414），在全球覆盖度（WKF拥有201个会员协会，覆盖五大洲）和性别平等方面表现良好，被移除的主要原因是Host</w:t>
      </w:r>
      <w:r>
        <w:rPr>
          <w:lang w:eastAsia="zh-CN"/>
        </w:rPr>
        <w:t xml:space="preserve"> City </w:t>
      </w:r>
      <w:r>
        <w:rPr>
          <w:rFonts w:hint="eastAsia"/>
          <w:lang w:eastAsia="zh-CN"/>
        </w:rPr>
        <w:t>Proposal机制的时效性限制而非项目质量本身。</w:t>
      </w:r>
      <w:r>
        <w:rPr>
          <w:lang w:eastAsia="zh-CN"/>
        </w:rPr>
        <w:t xml:space="preserve"> </w:t>
      </w:r>
      <w:r>
        <w:rPr>
          <w:rFonts w:hint="eastAsia"/>
          <w:lang w:eastAsia="zh-CN"/>
        </w:rPr>
        <w:t>棒球垒球排名第11位（0.366），与空手道不同，其核心劣势在于可持续性（多轮进出奥运历史导致的参赛连续性和稳定性指标不佳）和包容性（主要流行于美洲和东亚地区，全球分布不均衡）。</w:t>
      </w:r>
      <w:r>
        <w:rPr>
          <w:lang w:eastAsia="zh-CN"/>
        </w:rPr>
        <w:t xml:space="preserve"> </w:t>
      </w:r>
      <w:r>
        <w:rPr>
          <w:rFonts w:hint="eastAsia"/>
          <w:lang w:eastAsia="zh-CN"/>
        </w:rPr>
        <w:t>板球排名第12位（0.110），是所有项目中评分最低的，主要因为其在HiMCM数据中仅在1900年巴黎奥运会出现过一次（仅1个设项），流行度（0.205）和可持续性均极低。但需要注意的是，板球在2023年已获IOC</w:t>
      </w:r>
      <w:r>
        <w:rPr>
          <w:lang w:eastAsia="zh-CN"/>
        </w:rPr>
        <w:t xml:space="preserve"> Mumbai </w:t>
      </w:r>
      <w:r>
        <w:rPr>
          <w:rFonts w:hint="eastAsia"/>
          <w:lang w:eastAsia="zh-CN"/>
        </w:rPr>
        <w:t>Session批准进入LA28奥运会（T20赛制），这一实际决策反映了政策因素和区域市场考量对奥运项目选择的重大影响，是当前模型尚无法量化的维度。</w:t>
      </w:r>
    </w:p>
    <w:p w14:paraId="3CE0A3C1">
      <w:pPr>
        <w:pStyle w:val="35"/>
        <w:ind w:firstLine="480"/>
        <w:rPr>
          <w:lang w:eastAsia="zh-CN"/>
        </w:rPr>
      </w:pPr>
      <w:r>
        <w:rPr>
          <w:rFonts w:hint="eastAsia"/>
          <w:lang w:eastAsia="zh-CN"/>
        </w:rPr>
        <w:t>从类别对比的角度进一步分析，图4.</w:t>
      </w:r>
      <w:r>
        <w:fldChar w:fldCharType="begin"/>
      </w:r>
      <w:r>
        <w:instrText xml:space="preserve"> HYPERLINK \l "fig:category_comparison" \h </w:instrText>
      </w:r>
      <w:r>
        <w:fldChar w:fldCharType="separate"/>
      </w:r>
      <w:r>
        <w:rPr>
          <w:rStyle w:val="32"/>
          <w:color w:val="auto"/>
          <w:lang w:eastAsia="zh-CN"/>
        </w:rPr>
        <w:t>6</w:t>
      </w:r>
      <w:r>
        <w:rPr>
          <w:rStyle w:val="32"/>
          <w:color w:val="auto"/>
          <w:lang w:eastAsia="zh-CN"/>
        </w:rPr>
        <w:fldChar w:fldCharType="end"/>
      </w:r>
      <w:r>
        <w:rPr>
          <w:rFonts w:hint="eastAsia"/>
          <w:lang w:eastAsia="zh-CN"/>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10F70712">
      <w:pPr>
        <w:pStyle w:val="59"/>
        <w:jc w:val="both"/>
      </w:pPr>
      <w:bookmarkStart w:id="123" w:name="fig:category_comparison"/>
      <w:r>
        <w:drawing>
          <wp:inline distT="0" distB="0" distL="114300" distR="114300">
            <wp:extent cx="5434330" cy="268605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5"/>
                    <a:stretch>
                      <a:fillRect/>
                    </a:stretch>
                  </pic:blipFill>
                  <pic:spPr>
                    <a:xfrm>
                      <a:off x="0" y="0"/>
                      <a:ext cx="5444662" cy="2691125"/>
                    </a:xfrm>
                    <a:prstGeom prst="rect">
                      <a:avLst/>
                    </a:prstGeom>
                    <a:noFill/>
                    <a:ln w="9525">
                      <a:noFill/>
                    </a:ln>
                  </pic:spPr>
                </pic:pic>
              </a:graphicData>
            </a:graphic>
          </wp:inline>
        </w:drawing>
      </w:r>
    </w:p>
    <w:p w14:paraId="6FD6FCDA">
      <w:pPr>
        <w:pStyle w:val="104"/>
        <w:jc w:val="center"/>
        <w:rPr>
          <w:i w:val="0"/>
          <w:iCs/>
        </w:rPr>
      </w:pPr>
      <w:bookmarkStart w:id="124" w:name="_fig_category_comparison"/>
      <w:r>
        <w:rPr>
          <w:rFonts w:hint="eastAsia"/>
          <w:i w:val="0"/>
          <w:iCs/>
        </w:rPr>
        <w:t>图4.6：四类项目六维平均评分对比</w:t>
      </w:r>
      <w:bookmarkEnd w:id="124"/>
    </w:p>
    <w:bookmarkEnd w:id="123"/>
    <w:p w14:paraId="25AF23B2">
      <w:pPr>
        <w:pStyle w:val="35"/>
        <w:ind w:firstLine="480"/>
        <w:rPr>
          <w:lang w:eastAsia="zh-CN"/>
        </w:rPr>
      </w:pPr>
      <w:r>
        <w:rPr>
          <w:rFonts w:hint="eastAsia"/>
          <w:lang w:eastAsia="zh-CN"/>
        </w:rPr>
        <w:t>流行度与创新性的关系进一步揭示了各类项目的特点。图4.</w:t>
      </w:r>
      <w:r>
        <w:fldChar w:fldCharType="begin"/>
      </w:r>
      <w:r>
        <w:instrText xml:space="preserve"> HYPERLINK \l "fig:pop_innovation_scatter" \h </w:instrText>
      </w:r>
      <w:r>
        <w:fldChar w:fldCharType="separate"/>
      </w:r>
      <w:r>
        <w:rPr>
          <w:rStyle w:val="32"/>
          <w:color w:val="auto"/>
          <w:lang w:eastAsia="zh-CN"/>
        </w:rPr>
        <w:t>7</w:t>
      </w:r>
      <w:r>
        <w:rPr>
          <w:rStyle w:val="32"/>
          <w:color w:val="auto"/>
          <w:lang w:eastAsia="zh-CN"/>
        </w:rPr>
        <w:fldChar w:fldCharType="end"/>
      </w:r>
      <w:r>
        <w:rPr>
          <w:rFonts w:hint="eastAsia"/>
          <w:lang w:eastAsia="zh-CN"/>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bookmarkStart w:id="196" w:name="_GoBack"/>
      <w:bookmarkEnd w:id="196"/>
    </w:p>
    <w:p w14:paraId="4AF917BD">
      <w:pPr>
        <w:pStyle w:val="59"/>
        <w:jc w:val="both"/>
      </w:pPr>
      <w:bookmarkStart w:id="125" w:name="fig:pop_innovation_scatter"/>
      <w:r>
        <w:drawing>
          <wp:inline distT="0" distB="0" distL="114300" distR="114300">
            <wp:extent cx="5111750" cy="355282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6"/>
                    <a:stretch>
                      <a:fillRect/>
                    </a:stretch>
                  </pic:blipFill>
                  <pic:spPr>
                    <a:xfrm>
                      <a:off x="0" y="0"/>
                      <a:ext cx="5126210" cy="3563466"/>
                    </a:xfrm>
                    <a:prstGeom prst="rect">
                      <a:avLst/>
                    </a:prstGeom>
                    <a:noFill/>
                    <a:ln w="9525">
                      <a:noFill/>
                    </a:ln>
                  </pic:spPr>
                </pic:pic>
              </a:graphicData>
            </a:graphic>
          </wp:inline>
        </w:drawing>
      </w:r>
    </w:p>
    <w:p w14:paraId="511090B7">
      <w:pPr>
        <w:pStyle w:val="104"/>
        <w:jc w:val="center"/>
        <w:rPr>
          <w:i w:val="0"/>
          <w:iCs/>
        </w:rPr>
      </w:pPr>
      <w:bookmarkStart w:id="126" w:name="_fig_pop_innovation_scatter"/>
      <w:r>
        <w:rPr>
          <w:rFonts w:hint="eastAsia"/>
          <w:i w:val="0"/>
          <w:iCs/>
        </w:rPr>
        <w:t>图4.7  流行度与创新性散点图</w:t>
      </w:r>
      <w:bookmarkEnd w:id="126"/>
    </w:p>
    <w:bookmarkEnd w:id="125"/>
    <w:p w14:paraId="038C9B45">
      <w:pPr>
        <w:pStyle w:val="35"/>
        <w:ind w:firstLine="480"/>
        <w:rPr>
          <w:lang w:eastAsia="zh-CN"/>
        </w:rPr>
      </w:pPr>
      <w:r>
        <w:rPr>
          <w:rFonts w:hint="eastAsia"/>
          <w:lang w:eastAsia="zh-CN"/>
        </w:rPr>
        <w:t>总体而言，</w:t>
      </w:r>
      <w:r>
        <w:rPr>
          <w:lang w:eastAsia="zh-CN"/>
        </w:rPr>
        <w:t xml:space="preserve"> </w:t>
      </w:r>
      <w:r>
        <w:rPr>
          <w:rFonts w:hint="eastAsia"/>
          <w:lang w:eastAsia="zh-CN"/>
        </w:rPr>
        <w:t>模型的排名结果与奥运历史的实际演进趋势基本吻合，</w:t>
      </w:r>
      <w:r>
        <w:rPr>
          <w:lang w:eastAsia="zh-CN"/>
        </w:rPr>
        <w:t xml:space="preserve"> </w:t>
      </w:r>
      <w:r>
        <w:rPr>
          <w:rFonts w:hint="eastAsia"/>
          <w:lang w:eastAsia="zh-CN"/>
        </w:rPr>
        <w:t>传统核心项目的稳固地位、</w:t>
      </w:r>
      <w:r>
        <w:rPr>
          <w:lang w:eastAsia="zh-CN"/>
        </w:rPr>
        <w:t xml:space="preserve"> </w:t>
      </w:r>
      <w:r>
        <w:rPr>
          <w:rFonts w:hint="eastAsia"/>
          <w:lang w:eastAsia="zh-CN"/>
        </w:rPr>
        <w:t>新兴项目的崛起趋势以及边缘项目的退出风险均在评分排名中得到体现。</w:t>
      </w:r>
      <w:r>
        <w:rPr>
          <w:lang w:eastAsia="zh-CN"/>
        </w:rPr>
        <w:t xml:space="preserve"> </w:t>
      </w:r>
      <w:r>
        <w:rPr>
          <w:rFonts w:hint="eastAsia"/>
          <w:lang w:eastAsia="zh-CN"/>
        </w:rPr>
        <w:t>这一结果与Song等</w:t>
      </w:r>
      <w:r>
        <w:rPr>
          <w:vertAlign w:val="superscript"/>
          <w:lang w:eastAsia="zh-CN"/>
        </w:rPr>
        <w:t>[15]</w:t>
      </w:r>
      <w:r>
        <w:rPr>
          <w:rFonts w:hint="eastAsia"/>
          <w:lang w:eastAsia="zh-CN"/>
        </w:rPr>
        <w:t>的研究在定性层面一致，</w:t>
      </w:r>
      <w:r>
        <w:rPr>
          <w:lang w:eastAsia="zh-CN"/>
        </w:rPr>
        <w:t xml:space="preserve"> </w:t>
      </w:r>
      <w:r>
        <w:rPr>
          <w:rFonts w:hint="eastAsia"/>
          <w:lang w:eastAsia="zh-CN"/>
        </w:rPr>
        <w:t>但在具体排名顺序和评分分布上存在差异，</w:t>
      </w:r>
      <w:r>
        <w:rPr>
          <w:lang w:eastAsia="zh-CN"/>
        </w:rPr>
        <w:t xml:space="preserve"> </w:t>
      </w:r>
      <w:r>
        <w:rPr>
          <w:rFonts w:hint="eastAsia"/>
          <w:lang w:eastAsia="zh-CN"/>
        </w:rPr>
        <w:t>主要原因在于本研究引入了EWM客观权重，</w:t>
      </w:r>
      <w:r>
        <w:rPr>
          <w:lang w:eastAsia="zh-CN"/>
        </w:rPr>
        <w:t xml:space="preserve"> </w:t>
      </w:r>
      <w:r>
        <w:rPr>
          <w:rFonts w:hint="eastAsia"/>
          <w:lang w:eastAsia="zh-CN"/>
        </w:rPr>
        <w:t>在一定程度上对纯AHP方法中流行度权重偏高的问题进行了修正。</w:t>
      </w:r>
    </w:p>
    <w:p w14:paraId="03567801">
      <w:pPr>
        <w:pStyle w:val="35"/>
        <w:ind w:firstLine="480"/>
        <w:rPr>
          <w:lang w:eastAsia="zh-CN"/>
        </w:rPr>
      </w:pPr>
      <w:r>
        <w:rPr>
          <w:rFonts w:hint="eastAsia"/>
          <w:lang w:eastAsia="zh-CN"/>
        </w:rPr>
        <w:t>从平行坐标图4.</w:t>
      </w:r>
      <w:r>
        <w:fldChar w:fldCharType="begin"/>
      </w:r>
      <w:r>
        <w:instrText xml:space="preserve"> HYPERLINK \l "fig:parallel_coordinates" \h </w:instrText>
      </w:r>
      <w:r>
        <w:fldChar w:fldCharType="separate"/>
      </w:r>
      <w:r>
        <w:rPr>
          <w:rStyle w:val="32"/>
          <w:color w:val="auto"/>
          <w:lang w:eastAsia="zh-CN"/>
        </w:rPr>
        <w:t>8</w:t>
      </w:r>
      <w:r>
        <w:rPr>
          <w:rStyle w:val="32"/>
          <w:color w:val="auto"/>
          <w:lang w:eastAsia="zh-CN"/>
        </w:rPr>
        <w:fldChar w:fldCharType="end"/>
      </w:r>
      <w:r>
        <w:rPr>
          <w:rFonts w:hint="eastAsia"/>
          <w:lang w:eastAsia="zh-CN"/>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232F928F">
      <w:pPr>
        <w:pStyle w:val="59"/>
        <w:jc w:val="both"/>
      </w:pPr>
      <w:bookmarkStart w:id="127" w:name="fig:parallel_coordinates"/>
      <w:r>
        <w:drawing>
          <wp:inline distT="0" distB="0" distL="114300" distR="114300">
            <wp:extent cx="5323205" cy="2857500"/>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7"/>
                    <a:stretch>
                      <a:fillRect/>
                    </a:stretch>
                  </pic:blipFill>
                  <pic:spPr>
                    <a:xfrm>
                      <a:off x="0" y="0"/>
                      <a:ext cx="5329095" cy="2860387"/>
                    </a:xfrm>
                    <a:prstGeom prst="rect">
                      <a:avLst/>
                    </a:prstGeom>
                    <a:noFill/>
                    <a:ln w="9525">
                      <a:noFill/>
                    </a:ln>
                  </pic:spPr>
                </pic:pic>
              </a:graphicData>
            </a:graphic>
          </wp:inline>
        </w:drawing>
      </w:r>
    </w:p>
    <w:p w14:paraId="73163DB4">
      <w:pPr>
        <w:pStyle w:val="104"/>
        <w:jc w:val="center"/>
        <w:rPr>
          <w:i w:val="0"/>
          <w:iCs/>
        </w:rPr>
      </w:pPr>
      <w:bookmarkStart w:id="128" w:name="_fig_parallel_coordinates"/>
      <w:r>
        <w:rPr>
          <w:rFonts w:hint="eastAsia"/>
          <w:i w:val="0"/>
          <w:iCs/>
        </w:rPr>
        <w:t>图4.8：12个奥运项目六维评分平行坐标图</w:t>
      </w:r>
      <w:bookmarkEnd w:id="128"/>
    </w:p>
    <w:bookmarkEnd w:id="116"/>
    <w:bookmarkEnd w:id="118"/>
    <w:bookmarkEnd w:id="127"/>
    <w:p w14:paraId="374A26B7">
      <w:pPr>
        <w:pStyle w:val="4"/>
        <w:rPr>
          <w:rFonts w:hint="eastAsia"/>
          <w:lang w:eastAsia="zh-CN"/>
        </w:rPr>
      </w:pPr>
      <w:bookmarkStart w:id="129" w:name="_Toc229523250"/>
      <w:bookmarkStart w:id="130" w:name="六维指标相关性分析"/>
      <w:r>
        <w:rPr>
          <w:rStyle w:val="62"/>
          <w:rFonts w:ascii="黑体" w:hAnsi="黑体" w:eastAsia="黑体"/>
          <w:sz w:val="28"/>
          <w:szCs w:val="28"/>
          <w:lang w:eastAsia="zh-CN"/>
        </w:rPr>
        <w:t>4.4</w:t>
      </w:r>
      <w:r>
        <w:rPr>
          <w:lang w:eastAsia="zh-CN"/>
        </w:rPr>
        <w:tab/>
      </w:r>
      <w:r>
        <w:rPr>
          <w:lang w:eastAsia="zh-CN"/>
        </w:rPr>
        <w:t>六维指标相关性分析</w:t>
      </w:r>
      <w:bookmarkEnd w:id="129"/>
    </w:p>
    <w:p w14:paraId="32BC0BEE">
      <w:pPr>
        <w:pStyle w:val="5"/>
        <w:rPr>
          <w:rFonts w:hint="eastAsia"/>
          <w:lang w:eastAsia="zh-CN"/>
        </w:rPr>
      </w:pPr>
      <w:bookmarkStart w:id="131" w:name="分析方法选择"/>
      <w:r>
        <w:rPr>
          <w:rStyle w:val="62"/>
          <w:rFonts w:ascii="黑体" w:hAnsi="黑体" w:eastAsia="黑体"/>
          <w:lang w:eastAsia="zh-CN"/>
        </w:rPr>
        <w:t>4.4.1</w:t>
      </w:r>
      <w:r>
        <w:rPr>
          <w:lang w:eastAsia="zh-CN"/>
        </w:rPr>
        <w:tab/>
      </w:r>
      <w:r>
        <w:rPr>
          <w:lang w:eastAsia="zh-CN"/>
        </w:rPr>
        <w:t>分析方法选择</w:t>
      </w:r>
    </w:p>
    <w:p w14:paraId="73226DF1">
      <w:pPr>
        <w:pStyle w:val="35"/>
        <w:ind w:firstLine="480"/>
        <w:rPr>
          <w:lang w:eastAsia="zh-CN"/>
        </w:rPr>
      </w:pPr>
      <w:r>
        <w:rPr>
          <w:rFonts w:hint="eastAsia"/>
          <w:lang w:eastAsia="zh-CN"/>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0AE0B782">
      <w:pPr>
        <w:pStyle w:val="35"/>
        <w:ind w:firstLine="480"/>
        <w:rPr>
          <w:lang w:eastAsia="zh-CN"/>
        </w:rPr>
      </w:pPr>
      <w:r>
        <w:rPr>
          <w:rFonts w:hint="eastAsia"/>
          <w:lang w:eastAsia="zh-CN"/>
        </w:rPr>
        <w:t>相关性分析常用的方法包括Pearson线性相关系数</w:t>
      </w:r>
      <w:r>
        <w:rPr>
          <w:vertAlign w:val="superscript"/>
          <w:lang w:eastAsia="zh-CN"/>
        </w:rPr>
        <w:t>[27]</w:t>
      </w:r>
      <w:r>
        <w:rPr>
          <w:rFonts w:hint="eastAsia"/>
          <w:lang w:eastAsia="zh-CN"/>
        </w:rPr>
        <w:t>和Spearman秩相关系数。Pearson相关系数量化两个连续变量之间的线性关联强度，要求数据满足连续性和近似正态分布的前提</w:t>
      </w:r>
      <w:r>
        <w:rPr>
          <w:vertAlign w:val="superscript"/>
          <w:lang w:eastAsia="zh-CN"/>
        </w:rPr>
        <w:t>[28]</w:t>
      </w:r>
      <w:r>
        <w:rPr>
          <w:rFonts w:hint="eastAsia"/>
          <w:lang w:eastAsia="zh-CN"/>
        </w:rPr>
        <w:t>；Spearman秩相关系数基于排序值计算，不依赖正态假设，但对小样本（</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12</m:t>
        </m:r>
      </m:oMath>
      <w:r>
        <w:rPr>
          <w:rFonts w:hint="eastAsia"/>
          <w:lang w:eastAsia="zh-CN"/>
        </w:rPr>
        <w:t>）的统计效力相对较低。本研究六维评分均为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标准化连续变量，且后续混合权重模型采用线性加权聚合，Pearson系数测度的线性关联与模型数学结构一致，故选择Pearson相关系数作为主要分析工具。</w:t>
      </w:r>
    </w:p>
    <w:p w14:paraId="69EC9A91">
      <w:pPr>
        <w:pStyle w:val="35"/>
        <w:ind w:firstLine="480"/>
        <w:rPr>
          <w:lang w:eastAsia="zh-CN"/>
        </w:rPr>
      </w:pPr>
      <w:r>
        <w:rPr>
          <w:rFonts w:hint="eastAsia"/>
          <w:lang w:eastAsia="zh-CN"/>
        </w:rPr>
        <w:t>为进一步验证Pearson相关系数的适用条件，采用Shapiro-Wilk正态性检验</w:t>
      </w:r>
      <w:r>
        <w:rPr>
          <w:vertAlign w:val="superscript"/>
          <w:lang w:eastAsia="zh-CN"/>
        </w:rPr>
        <w:t>[29]</w:t>
      </w:r>
      <w:r>
        <w:rPr>
          <w:rFonts w:hint="eastAsia"/>
          <w:lang w:eastAsia="zh-CN"/>
        </w:rPr>
        <w:t>对六个维度的12个项目评分进行正态性检验，结果如表4.6所示。</w:t>
      </w:r>
    </w:p>
    <w:p w14:paraId="5D5DA009">
      <w:pPr>
        <w:pStyle w:val="102"/>
      </w:pPr>
      <w:bookmarkStart w:id="132" w:name="_tab_shapiro"/>
      <w:r>
        <w:t>表4.6：Shapiro-Wilk 正态性检验</w:t>
      </w:r>
      <w:bookmarkEnd w:id="132"/>
    </w:p>
    <w:tbl>
      <w:tblPr>
        <w:tblStyle w:val="30"/>
        <w:tblW w:w="5000" w:type="pct"/>
        <w:tblInd w:w="0" w:type="dxa"/>
        <w:tblLayout w:type="autofit"/>
        <w:tblCellMar>
          <w:top w:w="0" w:type="dxa"/>
          <w:left w:w="108" w:type="dxa"/>
          <w:bottom w:w="0" w:type="dxa"/>
          <w:right w:w="108" w:type="dxa"/>
        </w:tblCellMar>
      </w:tblPr>
      <w:tblGrid>
        <w:gridCol w:w="2375"/>
        <w:gridCol w:w="2563"/>
        <w:gridCol w:w="2000"/>
        <w:gridCol w:w="1918"/>
      </w:tblGrid>
      <w:tr w14:paraId="742CDDF5">
        <w:tblPrEx>
          <w:tblCellMar>
            <w:top w:w="0" w:type="dxa"/>
            <w:left w:w="108" w:type="dxa"/>
            <w:bottom w:w="0" w:type="dxa"/>
            <w:right w:w="108" w:type="dxa"/>
          </w:tblCellMar>
        </w:tblPrEx>
        <w:tc>
          <w:tcPr>
            <w:tcW w:w="1341" w:type="pct"/>
            <w:tcBorders>
              <w:top w:val="single" w:color="000000" w:sz="12" w:space="0"/>
              <w:left w:val="nil"/>
              <w:bottom w:val="single" w:color="000000" w:sz="4" w:space="0"/>
              <w:right w:val="nil"/>
            </w:tcBorders>
          </w:tcPr>
          <w:p w14:paraId="37CE692C">
            <w:r>
              <w:rPr>
                <w:rFonts w:hint="eastAsia" w:ascii="宋体" w:hAnsi="宋体" w:eastAsia="宋体" w:cs="宋体"/>
              </w:rPr>
              <w:t>维度</w:t>
            </w:r>
          </w:p>
        </w:tc>
        <w:tc>
          <w:tcPr>
            <w:tcW w:w="1447" w:type="pct"/>
            <w:tcBorders>
              <w:top w:val="single" w:color="000000" w:sz="12" w:space="0"/>
              <w:left w:val="nil"/>
              <w:bottom w:val="single" w:color="000000" w:sz="4" w:space="0"/>
              <w:right w:val="nil"/>
            </w:tcBorders>
          </w:tcPr>
          <w:p w14:paraId="04A58239">
            <w:r>
              <w:t xml:space="preserve">W </w:t>
            </w:r>
            <w:r>
              <w:rPr>
                <w:rFonts w:hint="eastAsia" w:ascii="宋体" w:hAnsi="宋体" w:eastAsia="宋体" w:cs="宋体"/>
              </w:rPr>
              <w:t>统计量</w:t>
            </w:r>
          </w:p>
        </w:tc>
        <w:tc>
          <w:tcPr>
            <w:tcW w:w="1129" w:type="pct"/>
            <w:tcBorders>
              <w:top w:val="single" w:color="000000" w:sz="12" w:space="0"/>
              <w:left w:val="nil"/>
              <w:bottom w:val="single" w:color="000000" w:sz="4" w:space="0"/>
              <w:right w:val="nil"/>
            </w:tcBorders>
          </w:tcPr>
          <w:p w14:paraId="5C8171E3">
            <w:r>
              <w:t xml:space="preserve">p </w:t>
            </w:r>
            <w:r>
              <w:rPr>
                <w:rFonts w:hint="eastAsia" w:ascii="宋体" w:hAnsi="宋体" w:eastAsia="宋体" w:cs="宋体"/>
              </w:rPr>
              <w:t>值</w:t>
            </w:r>
          </w:p>
        </w:tc>
        <w:tc>
          <w:tcPr>
            <w:tcW w:w="1083" w:type="pct"/>
            <w:tcBorders>
              <w:top w:val="single" w:color="000000" w:sz="12" w:space="0"/>
              <w:left w:val="nil"/>
              <w:bottom w:val="single" w:color="000000" w:sz="4" w:space="0"/>
              <w:right w:val="nil"/>
            </w:tcBorders>
          </w:tcPr>
          <w:p w14:paraId="6CFAFF9B">
            <w:r>
              <w:rPr>
                <w:rFonts w:hint="eastAsia" w:ascii="宋体" w:hAnsi="宋体" w:eastAsia="宋体" w:cs="宋体"/>
              </w:rPr>
              <w:t>正态性</w:t>
            </w:r>
          </w:p>
        </w:tc>
      </w:tr>
      <w:tr w14:paraId="5A345E2F">
        <w:tblPrEx>
          <w:tblCellMar>
            <w:top w:w="0" w:type="dxa"/>
            <w:left w:w="108" w:type="dxa"/>
            <w:bottom w:w="0" w:type="dxa"/>
            <w:right w:w="108" w:type="dxa"/>
          </w:tblCellMar>
        </w:tblPrEx>
        <w:tc>
          <w:tcPr>
            <w:tcW w:w="1341" w:type="pct"/>
            <w:tcBorders>
              <w:left w:val="nil"/>
              <w:right w:val="nil"/>
            </w:tcBorders>
          </w:tcPr>
          <w:p w14:paraId="784BFB8F">
            <w:r>
              <w:rPr>
                <w:rFonts w:hint="eastAsia" w:ascii="宋体" w:hAnsi="宋体" w:eastAsia="宋体" w:cs="宋体"/>
              </w:rPr>
              <w:t>流行度</w:t>
            </w:r>
          </w:p>
        </w:tc>
        <w:tc>
          <w:tcPr>
            <w:tcW w:w="1447" w:type="pct"/>
            <w:tcBorders>
              <w:left w:val="nil"/>
              <w:right w:val="nil"/>
            </w:tcBorders>
          </w:tcPr>
          <w:p w14:paraId="15FE8B06">
            <w:r>
              <w:rPr>
                <w:rFonts w:eastAsia="Song"/>
              </w:rPr>
              <w:t>0.941</w:t>
            </w:r>
          </w:p>
        </w:tc>
        <w:tc>
          <w:tcPr>
            <w:tcW w:w="1129" w:type="pct"/>
            <w:tcBorders>
              <w:left w:val="nil"/>
              <w:right w:val="nil"/>
            </w:tcBorders>
          </w:tcPr>
          <w:p w14:paraId="61281236">
            <w:r>
              <w:rPr>
                <w:rFonts w:eastAsia="Song"/>
              </w:rPr>
              <w:t>0.509</w:t>
            </w:r>
          </w:p>
        </w:tc>
        <w:tc>
          <w:tcPr>
            <w:tcW w:w="1083" w:type="pct"/>
            <w:tcBorders>
              <w:left w:val="nil"/>
              <w:right w:val="nil"/>
            </w:tcBorders>
          </w:tcPr>
          <w:p w14:paraId="594F81D3">
            <w:r>
              <w:rPr>
                <w:rFonts w:hint="eastAsia" w:ascii="宋体" w:hAnsi="宋体" w:eastAsia="宋体" w:cs="宋体"/>
              </w:rPr>
              <w:t>通过</w:t>
            </w:r>
          </w:p>
        </w:tc>
      </w:tr>
      <w:tr w14:paraId="36920ACE">
        <w:tblPrEx>
          <w:tblCellMar>
            <w:top w:w="0" w:type="dxa"/>
            <w:left w:w="108" w:type="dxa"/>
            <w:bottom w:w="0" w:type="dxa"/>
            <w:right w:w="108" w:type="dxa"/>
          </w:tblCellMar>
        </w:tblPrEx>
        <w:tc>
          <w:tcPr>
            <w:tcW w:w="1341" w:type="pct"/>
            <w:tcBorders>
              <w:left w:val="nil"/>
              <w:right w:val="nil"/>
            </w:tcBorders>
          </w:tcPr>
          <w:p w14:paraId="260E0572">
            <w:r>
              <w:rPr>
                <w:rFonts w:hint="eastAsia" w:ascii="宋体" w:hAnsi="宋体" w:eastAsia="宋体" w:cs="宋体"/>
              </w:rPr>
              <w:t>性别平等</w:t>
            </w:r>
          </w:p>
        </w:tc>
        <w:tc>
          <w:tcPr>
            <w:tcW w:w="1447" w:type="pct"/>
            <w:tcBorders>
              <w:left w:val="nil"/>
              <w:right w:val="nil"/>
            </w:tcBorders>
          </w:tcPr>
          <w:p w14:paraId="02F3AE20">
            <w:r>
              <w:rPr>
                <w:rFonts w:eastAsia="Song"/>
              </w:rPr>
              <w:t>0.817</w:t>
            </w:r>
          </w:p>
        </w:tc>
        <w:tc>
          <w:tcPr>
            <w:tcW w:w="1129" w:type="pct"/>
            <w:tcBorders>
              <w:left w:val="nil"/>
              <w:right w:val="nil"/>
            </w:tcBorders>
          </w:tcPr>
          <w:p w14:paraId="596BAE95">
            <w:r>
              <w:rPr>
                <w:rFonts w:eastAsia="Song"/>
              </w:rPr>
              <w:t>0.015</w:t>
            </w:r>
          </w:p>
        </w:tc>
        <w:tc>
          <w:tcPr>
            <w:tcW w:w="1083" w:type="pct"/>
            <w:tcBorders>
              <w:left w:val="nil"/>
              <w:right w:val="nil"/>
            </w:tcBorders>
          </w:tcPr>
          <w:p w14:paraId="13156360">
            <w:r>
              <w:rPr>
                <w:rFonts w:hint="eastAsia" w:ascii="宋体" w:hAnsi="宋体" w:eastAsia="宋体" w:cs="宋体"/>
              </w:rPr>
              <w:t>未通过</w:t>
            </w:r>
          </w:p>
        </w:tc>
      </w:tr>
      <w:tr w14:paraId="73F78681">
        <w:tblPrEx>
          <w:tblCellMar>
            <w:top w:w="0" w:type="dxa"/>
            <w:left w:w="108" w:type="dxa"/>
            <w:bottom w:w="0" w:type="dxa"/>
            <w:right w:w="108" w:type="dxa"/>
          </w:tblCellMar>
        </w:tblPrEx>
        <w:tc>
          <w:tcPr>
            <w:tcW w:w="1341" w:type="pct"/>
            <w:tcBorders>
              <w:left w:val="nil"/>
              <w:right w:val="nil"/>
            </w:tcBorders>
          </w:tcPr>
          <w:p w14:paraId="1BB54BC4">
            <w:r>
              <w:rPr>
                <w:rFonts w:hint="eastAsia" w:ascii="宋体" w:hAnsi="宋体" w:eastAsia="宋体" w:cs="宋体"/>
              </w:rPr>
              <w:t>可持续性</w:t>
            </w:r>
          </w:p>
        </w:tc>
        <w:tc>
          <w:tcPr>
            <w:tcW w:w="1447" w:type="pct"/>
            <w:tcBorders>
              <w:left w:val="nil"/>
              <w:right w:val="nil"/>
            </w:tcBorders>
          </w:tcPr>
          <w:p w14:paraId="15286A42">
            <w:r>
              <w:rPr>
                <w:rFonts w:eastAsia="Song"/>
              </w:rPr>
              <w:t>0.893</w:t>
            </w:r>
          </w:p>
        </w:tc>
        <w:tc>
          <w:tcPr>
            <w:tcW w:w="1129" w:type="pct"/>
            <w:tcBorders>
              <w:left w:val="nil"/>
              <w:right w:val="nil"/>
            </w:tcBorders>
          </w:tcPr>
          <w:p w14:paraId="4A812777">
            <w:r>
              <w:rPr>
                <w:rFonts w:eastAsia="Song"/>
              </w:rPr>
              <w:t>0.128</w:t>
            </w:r>
          </w:p>
        </w:tc>
        <w:tc>
          <w:tcPr>
            <w:tcW w:w="1083" w:type="pct"/>
            <w:tcBorders>
              <w:left w:val="nil"/>
              <w:right w:val="nil"/>
            </w:tcBorders>
          </w:tcPr>
          <w:p w14:paraId="57D3D0A1">
            <w:r>
              <w:rPr>
                <w:rFonts w:hint="eastAsia" w:ascii="宋体" w:hAnsi="宋体" w:eastAsia="宋体" w:cs="宋体"/>
              </w:rPr>
              <w:t>通过</w:t>
            </w:r>
          </w:p>
        </w:tc>
      </w:tr>
      <w:tr w14:paraId="61681AA2">
        <w:tblPrEx>
          <w:tblCellMar>
            <w:top w:w="0" w:type="dxa"/>
            <w:left w:w="108" w:type="dxa"/>
            <w:bottom w:w="0" w:type="dxa"/>
            <w:right w:w="108" w:type="dxa"/>
          </w:tblCellMar>
        </w:tblPrEx>
        <w:tc>
          <w:tcPr>
            <w:tcW w:w="1341" w:type="pct"/>
            <w:tcBorders>
              <w:left w:val="nil"/>
              <w:right w:val="nil"/>
            </w:tcBorders>
          </w:tcPr>
          <w:p w14:paraId="79EFF0C8">
            <w:r>
              <w:rPr>
                <w:rFonts w:hint="eastAsia" w:ascii="宋体" w:hAnsi="宋体" w:eastAsia="宋体" w:cs="宋体"/>
              </w:rPr>
              <w:t>包容性</w:t>
            </w:r>
          </w:p>
        </w:tc>
        <w:tc>
          <w:tcPr>
            <w:tcW w:w="1447" w:type="pct"/>
            <w:tcBorders>
              <w:left w:val="nil"/>
              <w:right w:val="nil"/>
            </w:tcBorders>
          </w:tcPr>
          <w:p w14:paraId="04F5147B">
            <w:r>
              <w:rPr>
                <w:rFonts w:eastAsia="Song"/>
              </w:rPr>
              <w:t>0.825</w:t>
            </w:r>
          </w:p>
        </w:tc>
        <w:tc>
          <w:tcPr>
            <w:tcW w:w="1129" w:type="pct"/>
            <w:tcBorders>
              <w:left w:val="nil"/>
              <w:right w:val="nil"/>
            </w:tcBorders>
          </w:tcPr>
          <w:p w14:paraId="491F74D8">
            <w:r>
              <w:rPr>
                <w:rFonts w:eastAsia="Song"/>
              </w:rPr>
              <w:t>0.019</w:t>
            </w:r>
          </w:p>
        </w:tc>
        <w:tc>
          <w:tcPr>
            <w:tcW w:w="1083" w:type="pct"/>
            <w:tcBorders>
              <w:left w:val="nil"/>
              <w:right w:val="nil"/>
            </w:tcBorders>
          </w:tcPr>
          <w:p w14:paraId="56D26B38">
            <w:r>
              <w:rPr>
                <w:rFonts w:hint="eastAsia" w:ascii="宋体" w:hAnsi="宋体" w:eastAsia="宋体" w:cs="宋体"/>
              </w:rPr>
              <w:t>未通过</w:t>
            </w:r>
          </w:p>
        </w:tc>
      </w:tr>
      <w:tr w14:paraId="15D10497">
        <w:tblPrEx>
          <w:tblCellMar>
            <w:top w:w="0" w:type="dxa"/>
            <w:left w:w="108" w:type="dxa"/>
            <w:bottom w:w="0" w:type="dxa"/>
            <w:right w:w="108" w:type="dxa"/>
          </w:tblCellMar>
        </w:tblPrEx>
        <w:tc>
          <w:tcPr>
            <w:tcW w:w="1341" w:type="pct"/>
            <w:tcBorders>
              <w:left w:val="nil"/>
              <w:right w:val="nil"/>
            </w:tcBorders>
          </w:tcPr>
          <w:p w14:paraId="71D2AA24">
            <w:r>
              <w:rPr>
                <w:rFonts w:hint="eastAsia" w:ascii="宋体" w:hAnsi="宋体" w:eastAsia="宋体" w:cs="宋体"/>
              </w:rPr>
              <w:t>创新性</w:t>
            </w:r>
          </w:p>
        </w:tc>
        <w:tc>
          <w:tcPr>
            <w:tcW w:w="1447" w:type="pct"/>
            <w:tcBorders>
              <w:left w:val="nil"/>
              <w:right w:val="nil"/>
            </w:tcBorders>
          </w:tcPr>
          <w:p w14:paraId="39D6197F">
            <w:r>
              <w:rPr>
                <w:rFonts w:eastAsia="Song"/>
              </w:rPr>
              <w:t>0.722</w:t>
            </w:r>
          </w:p>
        </w:tc>
        <w:tc>
          <w:tcPr>
            <w:tcW w:w="1129" w:type="pct"/>
            <w:tcBorders>
              <w:left w:val="nil"/>
              <w:right w:val="nil"/>
            </w:tcBorders>
          </w:tcPr>
          <w:p w14:paraId="659CDEB2">
            <w:r>
              <w:rPr>
                <w:rFonts w:eastAsia="Song"/>
              </w:rPr>
              <w:t>0.001</w:t>
            </w:r>
          </w:p>
        </w:tc>
        <w:tc>
          <w:tcPr>
            <w:tcW w:w="1083" w:type="pct"/>
            <w:tcBorders>
              <w:left w:val="nil"/>
              <w:right w:val="nil"/>
            </w:tcBorders>
          </w:tcPr>
          <w:p w14:paraId="4E185065">
            <w:r>
              <w:rPr>
                <w:rFonts w:hint="eastAsia" w:ascii="宋体" w:hAnsi="宋体" w:eastAsia="宋体" w:cs="宋体"/>
              </w:rPr>
              <w:t>未通过</w:t>
            </w:r>
          </w:p>
        </w:tc>
      </w:tr>
      <w:tr w14:paraId="2730BAE8">
        <w:tblPrEx>
          <w:tblCellMar>
            <w:top w:w="0" w:type="dxa"/>
            <w:left w:w="108" w:type="dxa"/>
            <w:bottom w:w="0" w:type="dxa"/>
            <w:right w:w="108" w:type="dxa"/>
          </w:tblCellMar>
        </w:tblPrEx>
        <w:tc>
          <w:tcPr>
            <w:tcW w:w="1341" w:type="pct"/>
            <w:tcBorders>
              <w:left w:val="nil"/>
              <w:bottom w:val="single" w:color="000000" w:sz="12" w:space="0"/>
              <w:right w:val="nil"/>
            </w:tcBorders>
          </w:tcPr>
          <w:p w14:paraId="0EA9DCCA">
            <w:r>
              <w:rPr>
                <w:rFonts w:hint="eastAsia" w:ascii="宋体" w:hAnsi="宋体" w:eastAsia="宋体" w:cs="宋体"/>
              </w:rPr>
              <w:t>安全性</w:t>
            </w:r>
          </w:p>
        </w:tc>
        <w:tc>
          <w:tcPr>
            <w:tcW w:w="1447" w:type="pct"/>
            <w:tcBorders>
              <w:left w:val="nil"/>
              <w:bottom w:val="single" w:color="000000" w:sz="12" w:space="0"/>
              <w:right w:val="nil"/>
            </w:tcBorders>
          </w:tcPr>
          <w:p w14:paraId="2587F33F">
            <w:r>
              <w:rPr>
                <w:rFonts w:eastAsia="Song"/>
              </w:rPr>
              <w:t>0.971</w:t>
            </w:r>
          </w:p>
        </w:tc>
        <w:tc>
          <w:tcPr>
            <w:tcW w:w="1129" w:type="pct"/>
            <w:tcBorders>
              <w:left w:val="nil"/>
              <w:bottom w:val="single" w:color="000000" w:sz="12" w:space="0"/>
              <w:right w:val="nil"/>
            </w:tcBorders>
          </w:tcPr>
          <w:p w14:paraId="6B8B84C3">
            <w:r>
              <w:rPr>
                <w:rFonts w:eastAsia="Song"/>
              </w:rPr>
              <w:t>0.921</w:t>
            </w:r>
          </w:p>
        </w:tc>
        <w:tc>
          <w:tcPr>
            <w:tcW w:w="1083" w:type="pct"/>
            <w:tcBorders>
              <w:left w:val="nil"/>
              <w:bottom w:val="single" w:color="000000" w:sz="12" w:space="0"/>
              <w:right w:val="nil"/>
            </w:tcBorders>
          </w:tcPr>
          <w:p w14:paraId="6271149D">
            <w:r>
              <w:rPr>
                <w:rFonts w:hint="eastAsia" w:ascii="宋体" w:hAnsi="宋体" w:eastAsia="宋体" w:cs="宋体"/>
              </w:rPr>
              <w:t>通过</w:t>
            </w:r>
          </w:p>
        </w:tc>
      </w:tr>
    </w:tbl>
    <w:p w14:paraId="57AC2149">
      <w:pPr>
        <w:pStyle w:val="35"/>
        <w:ind w:firstLine="480"/>
        <w:rPr>
          <w:lang w:eastAsia="zh-CN"/>
        </w:rPr>
      </w:pPr>
      <w:r>
        <w:rPr>
          <w:rFonts w:hint="eastAsia"/>
          <w:lang w:eastAsia="zh-CN"/>
        </w:rPr>
        <w:t>由表4.6可知，六维指标中流行度、可持续性和安全性三个维度通过正态性检验（</w:t>
      </w:r>
      <m:oMath>
        <m:r>
          <m:rPr/>
          <w:rPr>
            <w:rFonts w:ascii="Cambria Math" w:hAnsi="Cambria Math"/>
            <w:lang w:eastAsia="zh-CN"/>
          </w:rPr>
          <m:t>p</m:t>
        </m:r>
        <m:r>
          <m:rPr>
            <m:sty m:val="p"/>
          </m:rPr>
          <w:rPr>
            <w:rFonts w:ascii="Cambria Math" w:hAnsi="Cambria Math"/>
            <w:lang w:eastAsia="zh-CN"/>
          </w:rPr>
          <m:t>&gt;</m:t>
        </m:r>
        <m:r>
          <m:rPr/>
          <w:rPr>
            <w:rFonts w:ascii="Cambria Math" w:hAnsi="Cambria Math"/>
            <w:lang w:eastAsia="zh-CN"/>
          </w:rPr>
          <m:t>0.05</m:t>
        </m:r>
      </m:oMath>
      <w:r>
        <w:rPr>
          <w:rFonts w:hint="eastAsia"/>
          <w:lang w:eastAsia="zh-CN"/>
        </w:rPr>
        <w:t>），性别平等、包容性和创新性三个维度未通过。图</w:t>
      </w:r>
      <w:r>
        <w:fldChar w:fldCharType="begin"/>
      </w:r>
      <w:r>
        <w:instrText xml:space="preserve"> HYPERLINK \l "fig:qq_normality" \h </w:instrText>
      </w:r>
      <w:r>
        <w:fldChar w:fldCharType="separate"/>
      </w:r>
      <w:r>
        <w:rPr>
          <w:rStyle w:val="32"/>
          <w:color w:val="auto"/>
          <w:lang w:eastAsia="zh-CN"/>
        </w:rPr>
        <w:t>9</w:t>
      </w:r>
      <w:r>
        <w:rPr>
          <w:rStyle w:val="32"/>
          <w:color w:val="auto"/>
          <w:lang w:eastAsia="zh-CN"/>
        </w:rPr>
        <w:fldChar w:fldCharType="end"/>
      </w:r>
      <w:r>
        <w:rPr>
          <w:rFonts w:hint="eastAsia"/>
          <w:lang w:eastAsia="zh-CN"/>
        </w:rPr>
        <w:t>展示了六维评分的Q-Q正态概率图。未通过正态性检验的三个维度呈现出较为明显的偏离模式：创新性维度因电子竞技和霹雳舞等新兴项目的评分极值（均为1.000）导致分布右偏；性别平等维度评分集中在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lang w:eastAsia="zh-CN"/>
        </w:rPr>
        <w:t>区间，分布较为均匀；包容性维度因田径满分（1.000）与其他项目的梯度差异形成双峰趋势。</w:t>
      </w:r>
    </w:p>
    <w:p w14:paraId="0185E329">
      <w:pPr>
        <w:pStyle w:val="59"/>
        <w:jc w:val="both"/>
      </w:pPr>
      <w:bookmarkStart w:id="133" w:name="fig:qq_normality"/>
      <w:r>
        <w:drawing>
          <wp:inline distT="0" distB="0" distL="114300" distR="114300">
            <wp:extent cx="5372100" cy="3716655"/>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8"/>
                    <a:stretch>
                      <a:fillRect/>
                    </a:stretch>
                  </pic:blipFill>
                  <pic:spPr>
                    <a:xfrm>
                      <a:off x="0" y="0"/>
                      <a:ext cx="5386554" cy="3727289"/>
                    </a:xfrm>
                    <a:prstGeom prst="rect">
                      <a:avLst/>
                    </a:prstGeom>
                    <a:noFill/>
                    <a:ln w="9525">
                      <a:noFill/>
                    </a:ln>
                  </pic:spPr>
                </pic:pic>
              </a:graphicData>
            </a:graphic>
          </wp:inline>
        </w:drawing>
      </w:r>
    </w:p>
    <w:p w14:paraId="0868561E">
      <w:pPr>
        <w:pStyle w:val="104"/>
        <w:jc w:val="center"/>
        <w:rPr>
          <w:i w:val="0"/>
          <w:iCs/>
        </w:rPr>
      </w:pPr>
      <w:bookmarkStart w:id="134" w:name="_fig_qq_normality"/>
      <w:r>
        <w:rPr>
          <w:rFonts w:hint="eastAsia"/>
          <w:i w:val="0"/>
          <w:iCs/>
        </w:rPr>
        <w:t>图4.9：六维指标 Shapiro-Wilk 正态性 Q-Q 图</w:t>
      </w:r>
      <w:bookmarkEnd w:id="134"/>
    </w:p>
    <w:bookmarkEnd w:id="133"/>
    <w:p w14:paraId="25BC758C">
      <w:pPr>
        <w:pStyle w:val="35"/>
        <w:ind w:firstLine="480"/>
        <w:rPr>
          <w:lang w:eastAsia="zh-CN"/>
        </w:rPr>
      </w:pPr>
      <w:r>
        <w:rPr>
          <w:rFonts w:hint="eastAsia"/>
          <w:lang w:eastAsia="zh-CN"/>
        </w:rPr>
        <w:t>尽管部分维度未通过正态性检验，但考虑到：（1）本研究样本量为12，Shapiro-Wilk检验在小样本下的检验效力有限</w:t>
      </w:r>
      <w:r>
        <w:rPr>
          <w:vertAlign w:val="superscript"/>
          <w:lang w:eastAsia="zh-CN"/>
        </w:rPr>
        <w:t>[28]</w:t>
      </w:r>
      <w:r>
        <w:rPr>
          <w:rFonts w:hint="eastAsia"/>
          <w:lang w:eastAsia="zh-CN"/>
        </w:rPr>
        <w:t>；（2）六维评分均为标准化处理后得到的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vertAlign w:val="superscript"/>
          <w:lang w:eastAsia="zh-CN"/>
        </w:rPr>
        <w:t>[30]</w:t>
      </w:r>
      <w:r>
        <w:rPr>
          <w:lang w:eastAsia="zh-CN"/>
        </w:rPr>
        <w:t>。</w:t>
      </w:r>
    </w:p>
    <w:bookmarkEnd w:id="131"/>
    <w:p w14:paraId="49F64720">
      <w:pPr>
        <w:pStyle w:val="5"/>
        <w:rPr>
          <w:rFonts w:hint="eastAsia"/>
          <w:lang w:eastAsia="zh-CN"/>
        </w:rPr>
      </w:pPr>
      <w:bookmarkStart w:id="135" w:name="相关性结果分析"/>
      <w:r>
        <w:rPr>
          <w:rStyle w:val="62"/>
          <w:rFonts w:ascii="黑体" w:hAnsi="黑体" w:eastAsia="黑体"/>
          <w:lang w:eastAsia="zh-CN"/>
        </w:rPr>
        <w:t>4.4.2</w:t>
      </w:r>
      <w:r>
        <w:rPr>
          <w:lang w:eastAsia="zh-CN"/>
        </w:rPr>
        <w:tab/>
      </w:r>
      <w:r>
        <w:rPr>
          <w:lang w:eastAsia="zh-CN"/>
        </w:rPr>
        <w:t>相关性结果分析</w:t>
      </w:r>
    </w:p>
    <w:p w14:paraId="6C9089A5">
      <w:pPr>
        <w:pStyle w:val="35"/>
        <w:ind w:firstLine="480"/>
        <w:rPr>
          <w:lang w:eastAsia="zh-CN"/>
        </w:rPr>
      </w:pPr>
      <w:r>
        <w:drawing>
          <wp:anchor distT="0" distB="0" distL="114300" distR="114300" simplePos="0" relativeHeight="251659264" behindDoc="0" locked="0" layoutInCell="1" allowOverlap="1">
            <wp:simplePos x="0" y="0"/>
            <wp:positionH relativeFrom="column">
              <wp:posOffset>1085215</wp:posOffset>
            </wp:positionH>
            <wp:positionV relativeFrom="paragraph">
              <wp:posOffset>1345565</wp:posOffset>
            </wp:positionV>
            <wp:extent cx="3523615" cy="3054350"/>
            <wp:effectExtent l="0" t="0" r="0" b="0"/>
            <wp:wrapTopAndBottom/>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523615" cy="3054350"/>
                    </a:xfrm>
                    <a:prstGeom prst="rect">
                      <a:avLst/>
                    </a:prstGeom>
                    <a:noFill/>
                    <a:ln w="9525">
                      <a:noFill/>
                    </a:ln>
                  </pic:spPr>
                </pic:pic>
              </a:graphicData>
            </a:graphic>
          </wp:anchor>
        </w:drawing>
      </w:r>
      <w:r>
        <w:rPr>
          <w:lang w:eastAsia="zh-CN"/>
        </w:rPr>
        <w:t>六维指标之间的Pearson相关性分析如图</w:t>
      </w:r>
      <w:r>
        <w:rPr>
          <w:rFonts w:hint="eastAsia"/>
          <w:lang w:eastAsia="zh-CN"/>
        </w:rPr>
        <w:t>4.</w:t>
      </w:r>
      <w:r>
        <w:fldChar w:fldCharType="begin"/>
      </w:r>
      <w:r>
        <w:instrText xml:space="preserve"> HYPERLINK \l "fig:dimension_correlation" \h </w:instrText>
      </w:r>
      <w:r>
        <w:fldChar w:fldCharType="separate"/>
      </w:r>
      <w:r>
        <w:rPr>
          <w:rStyle w:val="32"/>
          <w:rFonts w:eastAsia="宋体"/>
          <w:color w:val="auto"/>
          <w:lang w:eastAsia="zh-CN"/>
        </w:rPr>
        <w:t>10</w:t>
      </w:r>
      <w:r>
        <w:rPr>
          <w:rStyle w:val="32"/>
          <w:rFonts w:eastAsia="宋体"/>
          <w:color w:val="auto"/>
          <w:lang w:eastAsia="zh-CN"/>
        </w:rPr>
        <w:fldChar w:fldCharType="end"/>
      </w:r>
      <w:r>
        <w:rPr>
          <w:lang w:eastAsia="zh-CN"/>
        </w:rPr>
        <w:t>所示。相关系数矩阵显示，流行度与包容性呈中等正相关（</w:t>
      </w:r>
      <m:oMath>
        <m:r>
          <m:rPr/>
          <w:rPr>
            <w:rFonts w:ascii="Cambria Math" w:hAnsi="Cambria Math"/>
            <w:lang w:eastAsia="zh-CN"/>
          </w:rPr>
          <m:t>r</m:t>
        </m:r>
        <m:r>
          <m:rPr>
            <m:sty m:val="p"/>
          </m:rPr>
          <w:rPr>
            <w:rFonts w:ascii="Cambria Math" w:hAnsi="Cambria Math"/>
            <w:lang w:eastAsia="zh-CN"/>
          </w:rPr>
          <m:t>=0.54</m:t>
        </m:r>
      </m:oMath>
      <w:r>
        <w:rPr>
          <w:lang w:eastAsia="zh-CN"/>
        </w:rPr>
        <w:t>），说明普及度高、历史悠久的项目往往具有较好的全球覆盖度和残奥对应体系。创新性与包容性（</w:t>
      </w:r>
      <m:oMath>
        <m:r>
          <m:rPr/>
          <w:rPr>
            <w:rFonts w:ascii="Cambria Math" w:hAnsi="Cambria Math"/>
            <w:lang w:eastAsia="zh-CN"/>
          </w:rPr>
          <m:t>r</m:t>
        </m:r>
        <m:r>
          <m:rPr>
            <m:sty m:val="p"/>
          </m:rPr>
          <w:rPr>
            <w:rFonts w:ascii="Cambria Math" w:hAnsi="Cambria Math"/>
            <w:lang w:eastAsia="zh-CN"/>
          </w:rPr>
          <m:t>=−0.38</m:t>
        </m:r>
      </m:oMath>
      <w:r>
        <w:rPr>
          <w:lang w:eastAsia="zh-CN"/>
        </w:rPr>
        <w:t>）、创新性与可持续性（</w:t>
      </w:r>
      <m:oMath>
        <m:r>
          <m:rPr/>
          <w:rPr>
            <w:rFonts w:ascii="Cambria Math" w:hAnsi="Cambria Math"/>
            <w:lang w:eastAsia="zh-CN"/>
          </w:rPr>
          <m:t>r</m:t>
        </m:r>
        <m:r>
          <m:rPr>
            <m:sty m:val="p"/>
          </m:rPr>
          <w:rPr>
            <w:rFonts w:ascii="Cambria Math" w:hAnsi="Cambria Math"/>
            <w:lang w:eastAsia="zh-CN"/>
          </w:rPr>
          <m:t>=−0.27</m:t>
        </m:r>
      </m:oMath>
      <w:r>
        <w:rPr>
          <w:lang w:eastAsia="zh-CN"/>
        </w:rPr>
        <w:t>）呈弱负相关，反映了新兴项目在突破传统的同时往往在包容性和长期稳定性方面存在积累不足。</w:t>
      </w:r>
      <w:bookmarkStart w:id="136" w:name="fig:dimension_correlation"/>
    </w:p>
    <w:p w14:paraId="7FFD60B8">
      <w:pPr>
        <w:pStyle w:val="104"/>
        <w:jc w:val="center"/>
        <w:rPr>
          <w:i w:val="0"/>
          <w:iCs/>
        </w:rPr>
      </w:pPr>
      <w:bookmarkStart w:id="137" w:name="_fig_dimension_correlation"/>
      <w:r>
        <w:rPr>
          <w:rFonts w:hint="eastAsia"/>
          <w:i w:val="0"/>
          <w:iCs/>
        </w:rPr>
        <w:t>图4.10：六维指标 Pearson 相关系数矩阵</w:t>
      </w:r>
      <w:bookmarkEnd w:id="137"/>
    </w:p>
    <w:bookmarkEnd w:id="136"/>
    <w:p w14:paraId="367474B2">
      <w:pPr>
        <w:pStyle w:val="35"/>
        <w:ind w:firstLine="480"/>
        <w:rPr>
          <w:lang w:eastAsia="zh-CN"/>
        </w:rPr>
      </w:pPr>
      <w:r>
        <w:rPr>
          <w:rFonts w:hint="eastAsia"/>
          <w:lang w:eastAsia="zh-CN"/>
        </w:rPr>
        <w:t>整体来看，六维指标之间的相关系数绝对值均未超过0.60，不存在极强相关关系（</w:t>
      </w:r>
      <m:oMath>
        <m:d>
          <m:dPr>
            <m:begChr m:val="|"/>
            <m:endChr m:val="|"/>
            <m:ctrlPr>
              <w:rPr>
                <w:rFonts w:ascii="Cambria Math" w:hAnsi="Cambria Math"/>
              </w:rPr>
            </m:ctrlPr>
          </m:dPr>
          <m:e>
            <m:r>
              <m:rPr/>
              <w:rPr>
                <w:rFonts w:ascii="Cambria Math" w:hAnsi="Cambria Math"/>
                <w:lang w:eastAsia="zh-CN"/>
              </w:rPr>
              <m:t>r</m:t>
            </m:r>
            <m:ctrlPr>
              <w:rPr>
                <w:rFonts w:ascii="Cambria Math" w:hAnsi="Cambria Math"/>
              </w:rPr>
            </m:ctrlPr>
          </m:e>
        </m:d>
        <m:r>
          <m:rPr>
            <m:sty m:val="p"/>
          </m:rPr>
          <w:rPr>
            <w:rFonts w:ascii="Cambria Math" w:hAnsi="Cambria Math"/>
            <w:lang w:eastAsia="zh-CN"/>
          </w:rPr>
          <m:t>&gt;</m:t>
        </m:r>
        <m:r>
          <m:rPr/>
          <w:rPr>
            <w:rFonts w:ascii="Cambria Math" w:hAnsi="Cambria Math"/>
            <w:lang w:eastAsia="zh-CN"/>
          </w:rPr>
          <m:t>0.8</m:t>
        </m:r>
      </m:oMath>
      <w:r>
        <w:rPr>
          <w:rFonts w:hint="eastAsia"/>
          <w:lang w:eastAsia="zh-CN"/>
        </w:rPr>
        <w:t>）。维度的相对独立性说明本研究的六维指标体系具有较好的区分度，各维度反映了奥运项目评估的不同侧面，这也为AHP-EWM混合权重模型的有效应用提供了支撑。</w:t>
      </w:r>
    </w:p>
    <w:bookmarkEnd w:id="130"/>
    <w:bookmarkEnd w:id="135"/>
    <w:p w14:paraId="2CADA243">
      <w:pPr>
        <w:pStyle w:val="4"/>
        <w:rPr>
          <w:rFonts w:hint="eastAsia"/>
          <w:lang w:eastAsia="zh-CN"/>
        </w:rPr>
      </w:pPr>
      <w:bookmarkStart w:id="138" w:name="_Toc229523251"/>
      <w:bookmarkStart w:id="139" w:name="方法对比"/>
      <w:r>
        <w:rPr>
          <w:rStyle w:val="62"/>
          <w:rFonts w:ascii="黑体" w:hAnsi="黑体" w:eastAsia="黑体"/>
          <w:sz w:val="28"/>
          <w:szCs w:val="28"/>
          <w:lang w:eastAsia="zh-CN"/>
        </w:rPr>
        <w:t>4.5</w:t>
      </w:r>
      <w:r>
        <w:rPr>
          <w:lang w:eastAsia="zh-CN"/>
        </w:rPr>
        <w:tab/>
      </w:r>
      <w:r>
        <w:rPr>
          <w:lang w:eastAsia="zh-CN"/>
        </w:rPr>
        <w:t>方法对比</w:t>
      </w:r>
      <w:bookmarkEnd w:id="138"/>
    </w:p>
    <w:p w14:paraId="1C36B6C3">
      <w:pPr>
        <w:pStyle w:val="35"/>
        <w:ind w:firstLine="480"/>
        <w:rPr>
          <w:lang w:eastAsia="zh-CN"/>
        </w:rPr>
      </w:pPr>
      <w:r>
        <w:rPr>
          <w:lang w:eastAsia="zh-CN"/>
        </w:rPr>
        <w:t>为了进一步验证混合权重模型的优势，本研究对比分析了AHP、EWM和混合三种方法在相同数据上的评估结果。 AHP方法赋予流行度最高权重（0.362），偏好全球影响力大的成熟项目。 EWM方法则赋予可持续性最高权重（0.272），偏好数据差异大的维度；但可持续性权重高是因为12个项目在该维度上得分差异最大，而非该维度本身在普遍意义上最重要。 混合权重模型通过</w:t>
      </w:r>
      <m:oMath>
        <m:r>
          <m:rPr/>
          <w:rPr>
            <w:rFonts w:ascii="Cambria Math" w:hAnsi="Cambria Math"/>
            <w:lang w:eastAsia="zh-CN"/>
          </w:rPr>
          <m:t>α</m:t>
        </m:r>
        <m:r>
          <m:rPr>
            <m:sty m:val="p"/>
          </m:rPr>
          <w:rPr>
            <w:rFonts w:ascii="Cambria Math" w:hAnsi="Cambria Math"/>
            <w:lang w:eastAsia="zh-CN"/>
          </w:rPr>
          <m:t>=0.5</m:t>
        </m:r>
      </m:oMath>
      <w:r>
        <w:rPr>
          <w:lang w:eastAsia="zh-CN"/>
        </w:rPr>
        <w:t>实现了平衡， 流行度权重从AHP的0.362降至0.253、EWM的相关权重为0.144， 创新性权重从AHP的0.064升至0.131、EWM的相关权重为0.198， 可持续性权重从AHP的0.106升至0.189、EWM的相关权重为0.272。</w:t>
      </w:r>
    </w:p>
    <w:p w14:paraId="7A0E292F">
      <w:pPr>
        <w:pStyle w:val="35"/>
        <w:ind w:firstLine="480"/>
        <w:rPr>
          <w:lang w:eastAsia="zh-CN"/>
        </w:rPr>
      </w:pPr>
      <w:r>
        <w:rPr>
          <w:lang w:eastAsia="zh-CN"/>
        </w:rPr>
        <w:t>图4.</w:t>
      </w:r>
      <w:r>
        <w:fldChar w:fldCharType="begin"/>
      </w:r>
      <w:r>
        <w:instrText xml:space="preserve"> HYPERLINK \l "fig:method_ranking_compare" \h </w:instrText>
      </w:r>
      <w:r>
        <w:fldChar w:fldCharType="separate"/>
      </w:r>
      <w:r>
        <w:rPr>
          <w:rStyle w:val="32"/>
          <w:rFonts w:eastAsia="宋体"/>
          <w:color w:val="auto"/>
          <w:lang w:eastAsia="zh-CN"/>
        </w:rPr>
        <w:t>11</w:t>
      </w:r>
      <w:r>
        <w:rPr>
          <w:rStyle w:val="32"/>
          <w:rFonts w:eastAsia="宋体"/>
          <w:color w:val="auto"/>
          <w:lang w:eastAsia="zh-CN"/>
        </w:rPr>
        <w:fldChar w:fldCharType="end"/>
      </w:r>
      <w:r>
        <w:rPr>
          <w:lang w:eastAsia="zh-CN"/>
        </w:rPr>
        <w:t>进一步对比了三种方法得到的排名结果。 在纯AHP方法下，流行度权重最高（0.362），田径凭借均衡的六维表现（标准化后：流行度0.817、性别平等0.767、可持续性1.000、包容性1.000、创新性0.004、安全性0.667）排名第一，游泳、足球等传统项目因流行度较高进入前五。 在纯EWM方法下，可持续性权重最高（0.272），电子竞技凭借极高的流行度（标准化后1.000）和创新性（标准化后1.000）得分跃居第一，滑板、空手道等创新性得分高的新兴项目排名显著上升。 混合权重（</w:t>
      </w:r>
      <m:oMath>
        <m:r>
          <m:rPr/>
          <w:rPr>
            <w:rFonts w:ascii="Cambria Math" w:hAnsi="Cambria Math"/>
            <w:lang w:eastAsia="zh-CN"/>
          </w:rPr>
          <m:t>α</m:t>
        </m:r>
        <m:r>
          <m:rPr>
            <m:sty m:val="p"/>
          </m:rPr>
          <w:rPr>
            <w:rFonts w:ascii="Cambria Math" w:hAnsi="Cambria Math"/>
            <w:lang w:eastAsia="zh-CN"/>
          </w:rPr>
          <m:t>=0.5</m:t>
        </m:r>
      </m:oMath>
      <w:r>
        <w:rPr>
          <w:lang w:eastAsia="zh-CN"/>
        </w:rPr>
        <w:t>）综合了两种方法的优势，电子竞技在纯EWM下领先而在AHP下落后，混合后排列第二；田径则凭借在AHP下的明显优势逆转了EWM下的劣势，以微弱优势（0.748 vs 0.743）重新位列第一。</w:t>
      </w:r>
    </w:p>
    <w:p w14:paraId="4939DE93">
      <w:pPr>
        <w:pStyle w:val="35"/>
        <w:ind w:firstLine="480"/>
        <w:rPr>
          <w:lang w:eastAsia="zh-CN"/>
        </w:rPr>
      </w:pPr>
      <w:r>
        <w:rPr>
          <w:lang w:eastAsia="zh-CN"/>
        </w:rPr>
        <w:t>以电子竞技为例，其标准化后的六维评分为</w:t>
      </w:r>
      <m:oMath>
        <m:d>
          <m:dPr>
            <m:begChr m:val="["/>
            <m:endChr m:val="]"/>
            <m:ctrlPr>
              <w:rPr>
                <w:rFonts w:ascii="Cambria Math" w:hAnsi="Cambria Math"/>
              </w:rPr>
            </m:ctrlPr>
          </m:dPr>
          <m:e>
            <m:r>
              <m:rPr>
                <m:sty m:val="p"/>
              </m:rPr>
              <w:rPr>
                <w:rFonts w:ascii="Cambria Math" w:hAnsi="Cambria Math"/>
                <w:lang w:eastAsia="zh-CN"/>
              </w:rPr>
              <m:t>1.000, 0.000, 0.769, 0.494, 1.000, 1.000</m:t>
            </m:r>
            <m:ctrlPr>
              <w:rPr>
                <w:rFonts w:ascii="Cambria Math" w:hAnsi="Cambria Math"/>
              </w:rPr>
            </m:ctrlPr>
          </m:e>
        </m:d>
      </m:oMath>
      <w:r>
        <w:rPr>
          <w:rFonts w:hint="eastAsia"/>
          <w:lang w:eastAsia="zh-CN"/>
        </w:rPr>
        <w:t>。</w:t>
      </w:r>
      <w:r>
        <w:rPr>
          <w:lang w:eastAsia="zh-CN"/>
        </w:rPr>
        <w:t>三种方法</w:t>
      </w:r>
      <w:r>
        <w:rPr>
          <w:rFonts w:hint="eastAsia"/>
          <w:lang w:eastAsia="zh-CN"/>
        </w:rPr>
        <w:t>分别</w:t>
      </w:r>
      <w:r>
        <w:rPr>
          <w:lang w:eastAsia="zh-CN"/>
        </w:rPr>
        <w:t>的综合得分</w:t>
      </w:r>
      <w:r>
        <w:rPr>
          <w:rFonts w:hint="eastAsia"/>
          <w:lang w:eastAsia="zh-CN"/>
        </w:rPr>
        <w:t>结果分析如下</w:t>
      </w:r>
      <w:r>
        <w:rPr>
          <w:lang w:eastAsia="zh-CN"/>
        </w:rPr>
        <w:t>，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w:rPr>
            <w:rFonts w:ascii="Cambria Math" w:hAnsi="Cambria Math"/>
            <w:lang w:eastAsia="zh-CN"/>
          </w:rPr>
          <m:t>α</m:t>
        </m:r>
        <m:r>
          <m:rPr>
            <m:sty m:val="p"/>
          </m:rPr>
          <w:rPr>
            <w:rFonts w:ascii="Cambria Math" w:hAnsi="Cambria Math"/>
            <w:lang w:eastAsia="zh-CN"/>
          </w:rPr>
          <m:t>=0.5</m:t>
        </m:r>
      </m:oMath>
      <w:r>
        <w:rPr>
          <w:lang w:eastAsia="zh-CN"/>
        </w:rPr>
        <w:t>后得分为0.743，介于两种纯方法之间，体现了主客观信息折中的效果。 纯AHP方法下，游泳和足球等传统项目因流行度较高（标准化后游泳0.503、足球0.654）进入前五； 纯EWM方法下，滑板、空手道等创新性得分高（标准化后均为0.985）的新兴项目排名显著上升； 混合权重（</w:t>
      </w:r>
      <m:oMath>
        <m:r>
          <m:rPr/>
          <w:rPr>
            <w:rFonts w:ascii="Cambria Math" w:hAnsi="Cambria Math"/>
            <w:lang w:eastAsia="zh-CN"/>
          </w:rPr>
          <m:t>α</m:t>
        </m:r>
        <m:r>
          <m:rPr>
            <m:sty m:val="p"/>
          </m:rPr>
          <w:rPr>
            <w:rFonts w:ascii="Cambria Math" w:hAnsi="Cambria Math"/>
            <w:lang w:eastAsia="zh-CN"/>
          </w:rPr>
          <m:t>=0.5</m:t>
        </m:r>
      </m:oMath>
      <w:r>
        <w:rPr>
          <w:lang w:eastAsia="zh-CN"/>
        </w:rPr>
        <w:t>）有效平滑了两种极端偏向，使整体排名更趋均衡。</w:t>
      </w:r>
    </w:p>
    <w:p w14:paraId="4C1C8A76">
      <w:pPr>
        <w:pStyle w:val="59"/>
        <w:jc w:val="both"/>
      </w:pPr>
      <w:bookmarkStart w:id="140"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20"/>
                    <a:stretch>
                      <a:fillRect/>
                    </a:stretch>
                  </pic:blipFill>
                  <pic:spPr>
                    <a:xfrm>
                      <a:off x="0" y="0"/>
                      <a:ext cx="5334000" cy="2365295"/>
                    </a:xfrm>
                    <a:prstGeom prst="rect">
                      <a:avLst/>
                    </a:prstGeom>
                    <a:noFill/>
                    <a:ln w="9525">
                      <a:noFill/>
                    </a:ln>
                  </pic:spPr>
                </pic:pic>
              </a:graphicData>
            </a:graphic>
          </wp:inline>
        </w:drawing>
      </w:r>
    </w:p>
    <w:p w14:paraId="7DF8C1A1">
      <w:pPr>
        <w:pStyle w:val="104"/>
        <w:jc w:val="center"/>
        <w:rPr>
          <w:i w:val="0"/>
          <w:iCs/>
        </w:rPr>
      </w:pPr>
      <w:bookmarkStart w:id="141" w:name="_fig_method_ranking_compare"/>
      <w:r>
        <w:rPr>
          <w:rFonts w:hint="eastAsia"/>
          <w:i w:val="0"/>
          <w:iCs/>
        </w:rPr>
        <w:t>图4.11：三种权重方法排名对比</w:t>
      </w:r>
      <w:bookmarkEnd w:id="141"/>
    </w:p>
    <w:bookmarkEnd w:id="140"/>
    <w:p w14:paraId="4B294BDA">
      <w:pPr>
        <w:pStyle w:val="35"/>
        <w:ind w:firstLine="480"/>
        <w:rPr>
          <w:lang w:eastAsia="zh-CN"/>
        </w:rPr>
      </w:pPr>
      <w:r>
        <w:rPr>
          <w:rFonts w:hint="eastAsia"/>
          <w:lang w:eastAsia="zh-CN"/>
        </w:rPr>
        <w:t>图4.</w:t>
      </w:r>
      <w:r>
        <w:fldChar w:fldCharType="begin"/>
      </w:r>
      <w:r>
        <w:instrText xml:space="preserve"> HYPERLINK \l "fig:weight_difference" \h </w:instrText>
      </w:r>
      <w:r>
        <w:fldChar w:fldCharType="separate"/>
      </w:r>
      <w:r>
        <w:rPr>
          <w:rStyle w:val="32"/>
          <w:color w:val="auto"/>
          <w:lang w:eastAsia="zh-CN"/>
        </w:rPr>
        <w:t>12</w:t>
      </w:r>
      <w:r>
        <w:rPr>
          <w:rStyle w:val="32"/>
          <w:color w:val="auto"/>
          <w:lang w:eastAsia="zh-CN"/>
        </w:rPr>
        <w:fldChar w:fldCharType="end"/>
      </w:r>
      <w:r>
        <w:rPr>
          <w:rFonts w:hint="eastAsia"/>
          <w:lang w:eastAsia="zh-CN"/>
        </w:rPr>
        <w:t>进一步从权重层面揭示了上述排名差异的根源。</w:t>
      </w:r>
      <w:r>
        <w:rPr>
          <w:lang w:eastAsia="zh-CN"/>
        </w:rPr>
        <w:t xml:space="preserve"> </w:t>
      </w:r>
      <w:r>
        <w:rPr>
          <w:rFonts w:hint="eastAsia"/>
          <w:lang w:eastAsia="zh-CN"/>
        </w:rPr>
        <w:t>流行度在AHP中的权重（0.362）远高于EWM（0.144），差值达+0.218，这解释了纯AHP排名为何更倾向于田径、游泳等传统项目。</w:t>
      </w:r>
      <w:r>
        <w:rPr>
          <w:lang w:eastAsia="zh-CN"/>
        </w:rPr>
        <w:t xml:space="preserve"> </w:t>
      </w:r>
      <w:r>
        <w:rPr>
          <w:rFonts w:hint="eastAsia"/>
          <w:lang w:eastAsia="zh-CN"/>
        </w:rPr>
        <w:t>可持续性在EWM中的权重（0.272）显著高于AHP（0.106），差值达+0.166，反映了两类信息源对该维度的判断差异最大。</w:t>
      </w:r>
      <w:r>
        <w:rPr>
          <w:lang w:eastAsia="zh-CN"/>
        </w:rPr>
        <w:t xml:space="preserve"> </w:t>
      </w:r>
      <w:r>
        <w:rPr>
          <w:rFonts w:hint="eastAsia"/>
          <w:lang w:eastAsia="zh-CN"/>
        </w:rPr>
        <w:t>创新性在EWM中的权重（0.198）亦高于AHP（0.064），差值达+0.134。</w:t>
      </w:r>
      <w:r>
        <w:rPr>
          <w:lang w:eastAsia="zh-CN"/>
        </w:rPr>
        <w:t xml:space="preserve"> </w:t>
      </w:r>
      <w:r>
        <w:rPr>
          <w:rFonts w:hint="eastAsia"/>
          <w:lang w:eastAsia="zh-CN"/>
        </w:rPr>
        <w:t>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）有效缩小了各维度的分歧范围，使整体权重分布更趋合理。</w:t>
      </w:r>
    </w:p>
    <w:p w14:paraId="0A4FC889">
      <w:pPr>
        <w:pStyle w:val="59"/>
        <w:jc w:val="both"/>
      </w:pPr>
      <w:bookmarkStart w:id="142" w:name="fig:weight_difference"/>
      <w:r>
        <w:drawing>
          <wp:inline distT="0" distB="0" distL="114300" distR="114300">
            <wp:extent cx="5474970" cy="297815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21"/>
                    <a:stretch>
                      <a:fillRect/>
                    </a:stretch>
                  </pic:blipFill>
                  <pic:spPr>
                    <a:xfrm>
                      <a:off x="0" y="0"/>
                      <a:ext cx="5486631" cy="2984150"/>
                    </a:xfrm>
                    <a:prstGeom prst="rect">
                      <a:avLst/>
                    </a:prstGeom>
                    <a:noFill/>
                    <a:ln w="9525">
                      <a:noFill/>
                    </a:ln>
                  </pic:spPr>
                </pic:pic>
              </a:graphicData>
            </a:graphic>
          </wp:inline>
        </w:drawing>
      </w:r>
    </w:p>
    <w:p w14:paraId="31CCD72F">
      <w:pPr>
        <w:pStyle w:val="104"/>
        <w:jc w:val="center"/>
        <w:rPr>
          <w:i w:val="0"/>
          <w:iCs/>
        </w:rPr>
      </w:pPr>
      <w:bookmarkStart w:id="143" w:name="_fig_weight_difference"/>
      <w:r>
        <w:rPr>
          <w:rFonts w:hint="eastAsia"/>
          <w:i w:val="0"/>
          <w:iCs/>
        </w:rPr>
        <w:t>图4.12：AHP主观权重与EWM客观权重差异对比</w:t>
      </w:r>
      <w:bookmarkEnd w:id="143"/>
    </w:p>
    <w:bookmarkEnd w:id="142"/>
    <w:p w14:paraId="1A67EE62">
      <w:pPr>
        <w:pStyle w:val="35"/>
        <w:ind w:firstLine="480"/>
        <w:rPr>
          <w:lang w:eastAsia="zh-CN"/>
        </w:rPr>
      </w:pPr>
      <w:r>
        <w:rPr>
          <w:rFonts w:hint="eastAsia"/>
          <w:lang w:eastAsia="zh-CN"/>
        </w:rPr>
        <w:t>需要指出的是，雷达图展示的是各项目在六个维度上的评分（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），而非混合权重（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）。六个维度的评分是独立计算的，每个维度取值范围均为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2030E3F2">
      <w:pPr>
        <w:pStyle w:val="35"/>
        <w:ind w:firstLine="480"/>
        <w:rPr>
          <w:lang w:eastAsia="zh-CN"/>
        </w:rPr>
      </w:pPr>
      <w:r>
        <w:rPr>
          <w:rFonts w:hint="eastAsia"/>
          <w:lang w:eastAsia="zh-CN"/>
        </w:rPr>
        <w:t>代表性项目的六维评分雷达图如图4.</w:t>
      </w:r>
      <w:r>
        <w:fldChar w:fldCharType="begin"/>
      </w:r>
      <w:r>
        <w:instrText xml:space="preserve"> HYPERLINK \l "fig:radars" \h </w:instrText>
      </w:r>
      <w:r>
        <w:fldChar w:fldCharType="separate"/>
      </w:r>
      <w:r>
        <w:rPr>
          <w:rStyle w:val="32"/>
          <w:color w:val="auto"/>
          <w:lang w:eastAsia="zh-CN"/>
        </w:rPr>
        <w:t>13</w:t>
      </w:r>
      <w:r>
        <w:rPr>
          <w:rStyle w:val="32"/>
          <w:color w:val="auto"/>
          <w:lang w:eastAsia="zh-CN"/>
        </w:rPr>
        <w:fldChar w:fldCharType="end"/>
      </w:r>
      <w:r>
        <w:rPr>
          <w:rFonts w:hint="eastAsia"/>
          <w:lang w:eastAsia="zh-CN"/>
        </w:rPr>
        <w:t>所示。</w:t>
      </w:r>
      <w:r>
        <w:rPr>
          <w:lang w:eastAsia="zh-CN"/>
        </w:rPr>
        <w:t xml:space="preserve"> </w:t>
      </w:r>
      <w:r>
        <w:rPr>
          <w:rFonts w:hint="eastAsia"/>
          <w:lang w:eastAsia="zh-CN"/>
        </w:rPr>
        <w:t>田径的雷达图面积最大，各维度评分普遍较高，尤其在包容性维度上达到满分，反映了其残奥最大项目（164个奖牌项）、全时代覆盖和214个会员协会的综合优势。</w:t>
      </w:r>
      <w:r>
        <w:rPr>
          <w:lang w:eastAsia="zh-CN"/>
        </w:rPr>
        <w:t xml:space="preserve"> </w:t>
      </w:r>
      <w:r>
        <w:rPr>
          <w:rFonts w:hint="eastAsia"/>
          <w:lang w:eastAsia="zh-CN"/>
        </w:rPr>
        <w:t>电子竞技的雷达图呈现明显的两极化特征，</w:t>
      </w:r>
      <w:r>
        <w:rPr>
          <w:lang w:eastAsia="zh-CN"/>
        </w:rPr>
        <w:t xml:space="preserve"> </w:t>
      </w:r>
      <w:r>
        <w:rPr>
          <w:rFonts w:hint="eastAsia"/>
          <w:lang w:eastAsia="zh-CN"/>
        </w:rPr>
        <w:t>创新性和流行度几乎达到满分，</w:t>
      </w:r>
      <w:r>
        <w:rPr>
          <w:lang w:eastAsia="zh-CN"/>
        </w:rPr>
        <w:t xml:space="preserve"> </w:t>
      </w:r>
      <w:r>
        <w:rPr>
          <w:rFonts w:hint="eastAsia"/>
          <w:lang w:eastAsia="zh-CN"/>
        </w:rPr>
        <w:t>但包容性和性别平等维度得分较低，</w:t>
      </w:r>
      <w:r>
        <w:rPr>
          <w:lang w:eastAsia="zh-CN"/>
        </w:rPr>
        <w:t xml:space="preserve"> </w:t>
      </w:r>
      <w:r>
        <w:rPr>
          <w:rFonts w:hint="eastAsia"/>
          <w:lang w:eastAsia="zh-CN"/>
        </w:rPr>
        <w:t>这与其目前尚未正式进入残奥会以及男女参与比例不够均衡的现状有关。</w:t>
      </w:r>
      <w:r>
        <w:rPr>
          <w:lang w:eastAsia="zh-CN"/>
        </w:rPr>
        <w:t xml:space="preserve"> </w:t>
      </w:r>
      <w:r>
        <w:rPr>
          <w:rFonts w:hint="eastAsia"/>
          <w:lang w:eastAsia="zh-CN"/>
        </w:rPr>
        <w:t>游泳的雷达图最为均衡，各维度得分普遍较高，尤其在性别平等维度表现突出，反映了游泳在男女项目设置上的高度平等性。</w:t>
      </w:r>
      <w:r>
        <w:rPr>
          <w:lang w:eastAsia="zh-CN"/>
        </w:rPr>
        <w:t xml:space="preserve"> </w:t>
      </w:r>
      <w:r>
        <w:rPr>
          <w:rFonts w:hint="eastAsia"/>
          <w:lang w:eastAsia="zh-CN"/>
        </w:rPr>
        <w:t>足球的雷达图总体面积与攀岩接近，流行度和包容性得分较高，但创新性得分较低，这符合其作为传统团队运动长期稳定存在于奥运会中的特点。</w:t>
      </w:r>
    </w:p>
    <w:p w14:paraId="19EBF13E">
      <w:pPr>
        <w:pStyle w:val="3"/>
        <w:rPr>
          <w:lang w:eastAsia="zh-CN"/>
        </w:rPr>
      </w:pPr>
    </w:p>
    <w:p w14:paraId="11ABBC80">
      <w:pPr>
        <w:pStyle w:val="3"/>
        <w:rPr>
          <w:lang w:eastAsia="zh-CN"/>
        </w:rPr>
      </w:pPr>
    </w:p>
    <w:p w14:paraId="2022D23C">
      <w:pPr>
        <w:pStyle w:val="3"/>
        <w:rPr>
          <w:lang w:eastAsia="zh-CN"/>
        </w:rPr>
      </w:pPr>
    </w:p>
    <w:p w14:paraId="4A6B6969">
      <w:pPr>
        <w:pStyle w:val="3"/>
        <w:rPr>
          <w:lang w:eastAsia="zh-CN"/>
        </w:rPr>
      </w:pPr>
    </w:p>
    <w:p w14:paraId="436DB427">
      <w:pPr>
        <w:pStyle w:val="3"/>
        <w:rPr>
          <w:lang w:eastAsia="zh-CN"/>
        </w:rPr>
      </w:pPr>
    </w:p>
    <w:p w14:paraId="70BD6E3E">
      <w:pPr>
        <w:pStyle w:val="3"/>
        <w:rPr>
          <w:lang w:eastAsia="zh-CN"/>
        </w:rPr>
      </w:pPr>
    </w:p>
    <w:p w14:paraId="311AFDBC">
      <w:pPr>
        <w:pStyle w:val="3"/>
        <w:rPr>
          <w:lang w:eastAsia="zh-CN"/>
        </w:rPr>
      </w:pPr>
    </w:p>
    <w:p w14:paraId="4ADD25A8">
      <w:pPr>
        <w:pStyle w:val="3"/>
        <w:rPr>
          <w:lang w:eastAsia="zh-CN"/>
        </w:rPr>
      </w:pPr>
    </w:p>
    <w:p w14:paraId="4676196C">
      <w:pPr>
        <w:pStyle w:val="3"/>
        <w:rPr>
          <w:lang w:eastAsia="zh-CN"/>
        </w:rPr>
      </w:pPr>
    </w:p>
    <w:p w14:paraId="6D461A67">
      <w:pPr>
        <w:pStyle w:val="3"/>
        <w:rPr>
          <w:lang w:eastAsia="zh-CN"/>
        </w:rPr>
      </w:pPr>
    </w:p>
    <w:p w14:paraId="1B4FDAA3">
      <w:pPr>
        <w:pStyle w:val="3"/>
        <w:rPr>
          <w:lang w:eastAsia="zh-CN"/>
        </w:rPr>
      </w:pPr>
    </w:p>
    <w:p w14:paraId="0A944D99">
      <w:pPr>
        <w:pStyle w:val="3"/>
        <w:rPr>
          <w:lang w:eastAsia="zh-CN"/>
        </w:rPr>
      </w:pPr>
    </w:p>
    <w:tbl>
      <w:tblPr>
        <w:tblStyle w:val="30"/>
        <w:tblW w:w="0" w:type="auto"/>
        <w:jc w:val="center"/>
        <w:tblLayout w:type="autofit"/>
        <w:tblCellMar>
          <w:top w:w="0" w:type="dxa"/>
          <w:left w:w="108" w:type="dxa"/>
          <w:bottom w:w="0" w:type="dxa"/>
          <w:right w:w="108" w:type="dxa"/>
        </w:tblCellMar>
      </w:tblPr>
      <w:tblGrid>
        <w:gridCol w:w="4305"/>
        <w:gridCol w:w="4305"/>
      </w:tblGrid>
      <w:tr w14:paraId="561C6A19">
        <w:tblPrEx>
          <w:tblCellMar>
            <w:top w:w="0" w:type="dxa"/>
            <w:left w:w="108" w:type="dxa"/>
            <w:bottom w:w="0" w:type="dxa"/>
            <w:right w:w="108" w:type="dxa"/>
          </w:tblCellMar>
        </w:tblPrEx>
        <w:trPr>
          <w:jc w:val="center"/>
        </w:trPr>
        <w:tc>
          <w:tcPr>
            <w:tcW w:w="4305" w:type="dxa"/>
          </w:tcPr>
          <w:p w14:paraId="0EA57330">
            <w:pPr>
              <w:jc w:val="both"/>
              <w:rPr>
                <w:lang w:eastAsia="zh-CN"/>
              </w:rPr>
            </w:pPr>
          </w:p>
          <w:p w14:paraId="7C40BBB8">
            <w:pPr>
              <w:jc w:val="both"/>
            </w:pPr>
            <w:r>
              <w:drawing>
                <wp:inline distT="0" distB="0" distL="114300" distR="114300">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22"/>
                          <a:stretch>
                            <a:fillRect/>
                          </a:stretch>
                        </pic:blipFill>
                        <pic:spPr>
                          <a:xfrm>
                            <a:off x="0" y="0"/>
                            <a:ext cx="2520000" cy="2369769"/>
                          </a:xfrm>
                          <a:prstGeom prst="rect">
                            <a:avLst/>
                          </a:prstGeom>
                        </pic:spPr>
                      </pic:pic>
                    </a:graphicData>
                  </a:graphic>
                </wp:inline>
              </w:drawing>
            </w:r>
          </w:p>
          <w:p w14:paraId="5A6E8664">
            <w:pPr>
              <w:jc w:val="both"/>
            </w:pPr>
            <w:r>
              <w:rPr>
                <w:sz w:val="18"/>
              </w:rPr>
              <w:t>(a) 田径</w:t>
            </w:r>
          </w:p>
        </w:tc>
        <w:tc>
          <w:tcPr>
            <w:tcW w:w="4305" w:type="dxa"/>
          </w:tcPr>
          <w:p w14:paraId="5D26909B">
            <w:pPr>
              <w:jc w:val="both"/>
            </w:pPr>
          </w:p>
          <w:p w14:paraId="2B8661D4">
            <w:pPr>
              <w:jc w:val="both"/>
            </w:pPr>
            <w:r>
              <w:drawing>
                <wp:inline distT="0" distB="0" distL="114300" distR="114300">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23"/>
                          <a:stretch>
                            <a:fillRect/>
                          </a:stretch>
                        </pic:blipFill>
                        <pic:spPr>
                          <a:xfrm>
                            <a:off x="0" y="0"/>
                            <a:ext cx="2520000" cy="2369769"/>
                          </a:xfrm>
                          <a:prstGeom prst="rect">
                            <a:avLst/>
                          </a:prstGeom>
                        </pic:spPr>
                      </pic:pic>
                    </a:graphicData>
                  </a:graphic>
                </wp:inline>
              </w:drawing>
            </w:r>
          </w:p>
          <w:p w14:paraId="5D63BB7C">
            <w:pPr>
              <w:jc w:val="both"/>
            </w:pPr>
            <w:r>
              <w:rPr>
                <w:sz w:val="18"/>
              </w:rPr>
              <w:t>(b) 电子竞技</w:t>
            </w:r>
          </w:p>
        </w:tc>
      </w:tr>
      <w:tr w14:paraId="42B8087E">
        <w:tblPrEx>
          <w:tblCellMar>
            <w:top w:w="0" w:type="dxa"/>
            <w:left w:w="108" w:type="dxa"/>
            <w:bottom w:w="0" w:type="dxa"/>
            <w:right w:w="108" w:type="dxa"/>
          </w:tblCellMar>
        </w:tblPrEx>
        <w:trPr>
          <w:jc w:val="center"/>
        </w:trPr>
        <w:tc>
          <w:tcPr>
            <w:tcW w:w="4305" w:type="dxa"/>
          </w:tcPr>
          <w:p w14:paraId="1B1F2A0F">
            <w:pPr>
              <w:jc w:val="both"/>
            </w:pPr>
          </w:p>
          <w:p w14:paraId="159D4749">
            <w:pPr>
              <w:jc w:val="both"/>
            </w:pPr>
            <w:r>
              <w:drawing>
                <wp:inline distT="0" distB="0" distL="114300" distR="114300">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24"/>
                          <a:stretch>
                            <a:fillRect/>
                          </a:stretch>
                        </pic:blipFill>
                        <pic:spPr>
                          <a:xfrm>
                            <a:off x="0" y="0"/>
                            <a:ext cx="2520000" cy="2369769"/>
                          </a:xfrm>
                          <a:prstGeom prst="rect">
                            <a:avLst/>
                          </a:prstGeom>
                        </pic:spPr>
                      </pic:pic>
                    </a:graphicData>
                  </a:graphic>
                </wp:inline>
              </w:drawing>
            </w:r>
          </w:p>
          <w:p w14:paraId="4DC47A16">
            <w:pPr>
              <w:jc w:val="both"/>
            </w:pPr>
            <w:r>
              <w:rPr>
                <w:sz w:val="18"/>
              </w:rPr>
              <w:t>(c) 游泳</w:t>
            </w:r>
          </w:p>
        </w:tc>
        <w:tc>
          <w:tcPr>
            <w:tcW w:w="4305" w:type="dxa"/>
          </w:tcPr>
          <w:p w14:paraId="058C6B2C">
            <w:pPr>
              <w:jc w:val="both"/>
            </w:pPr>
          </w:p>
          <w:p w14:paraId="76F82DE7">
            <w:pPr>
              <w:jc w:val="both"/>
            </w:pPr>
            <w:r>
              <w:drawing>
                <wp:inline distT="0" distB="0" distL="114300" distR="114300">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5"/>
                          <a:stretch>
                            <a:fillRect/>
                          </a:stretch>
                        </pic:blipFill>
                        <pic:spPr>
                          <a:xfrm>
                            <a:off x="0" y="0"/>
                            <a:ext cx="2520000" cy="2369769"/>
                          </a:xfrm>
                          <a:prstGeom prst="rect">
                            <a:avLst/>
                          </a:prstGeom>
                        </pic:spPr>
                      </pic:pic>
                    </a:graphicData>
                  </a:graphic>
                </wp:inline>
              </w:drawing>
            </w:r>
          </w:p>
          <w:p w14:paraId="2A05FC97">
            <w:pPr>
              <w:jc w:val="both"/>
            </w:pPr>
            <w:r>
              <w:rPr>
                <w:sz w:val="18"/>
              </w:rPr>
              <w:t>(d) 足球</w:t>
            </w:r>
          </w:p>
        </w:tc>
      </w:tr>
    </w:tbl>
    <w:p w14:paraId="4CF96375">
      <w:pPr>
        <w:pStyle w:val="104"/>
        <w:jc w:val="center"/>
        <w:rPr>
          <w:i w:val="0"/>
          <w:iCs/>
        </w:rPr>
      </w:pPr>
      <w:bookmarkStart w:id="144" w:name="_fig_radars"/>
      <w:bookmarkStart w:id="145" w:name="fig:radars"/>
      <w:r>
        <w:rPr>
          <w:rFonts w:hint="eastAsia"/>
          <w:i w:val="0"/>
          <w:iCs/>
        </w:rPr>
        <w:t>图4.13：代表性项目六维评分雷达图</w:t>
      </w:r>
      <w:bookmarkEnd w:id="144"/>
    </w:p>
    <w:bookmarkEnd w:id="139"/>
    <w:bookmarkEnd w:id="145"/>
    <w:p w14:paraId="16694CE8">
      <w:pPr>
        <w:pStyle w:val="4"/>
        <w:rPr>
          <w:rFonts w:hint="eastAsia"/>
          <w:lang w:eastAsia="zh-CN"/>
        </w:rPr>
      </w:pPr>
      <w:bookmarkStart w:id="146" w:name="_Toc229523252"/>
      <w:bookmarkStart w:id="147" w:name="灵敏度分析"/>
      <w:r>
        <w:rPr>
          <w:rStyle w:val="62"/>
          <w:rFonts w:ascii="黑体" w:hAnsi="黑体" w:eastAsia="黑体"/>
          <w:sz w:val="28"/>
          <w:szCs w:val="28"/>
          <w:lang w:eastAsia="zh-CN"/>
        </w:rPr>
        <w:t>4.6</w:t>
      </w:r>
      <w:r>
        <w:rPr>
          <w:lang w:eastAsia="zh-CN"/>
        </w:rPr>
        <w:tab/>
      </w:r>
      <w:r>
        <w:rPr>
          <w:lang w:eastAsia="zh-CN"/>
        </w:rPr>
        <w:t>灵敏度分析</w:t>
      </w:r>
      <w:bookmarkEnd w:id="146"/>
    </w:p>
    <w:p w14:paraId="60B82C1B">
      <w:pPr>
        <w:pStyle w:val="5"/>
        <w:rPr>
          <w:rFonts w:hint="eastAsia"/>
          <w:lang w:eastAsia="zh-CN"/>
        </w:rPr>
      </w:pPr>
      <w:bookmarkStart w:id="148" w:name="组合系数灵敏度"/>
      <w:r>
        <w:rPr>
          <w:rStyle w:val="62"/>
          <w:rFonts w:ascii="黑体" w:hAnsi="黑体" w:eastAsia="黑体"/>
          <w:lang w:eastAsia="zh-CN"/>
        </w:rPr>
        <w:t>4.6.1</w:t>
      </w:r>
      <w:r>
        <w:rPr>
          <w:lang w:eastAsia="zh-CN"/>
        </w:rPr>
        <w:tab/>
      </w:r>
      <w:r>
        <w:rPr>
          <w:lang w:eastAsia="zh-CN"/>
        </w:rPr>
        <w:t>组合系数灵敏度</w:t>
      </w:r>
    </w:p>
    <w:p w14:paraId="1481011F">
      <w:pPr>
        <w:pStyle w:val="35"/>
        <w:ind w:firstLine="480"/>
        <w:rPr>
          <w:lang w:eastAsia="zh-CN"/>
        </w:rPr>
      </w:pPr>
      <w:r>
        <w:rPr>
          <w:lang w:eastAsia="zh-CN"/>
        </w:rPr>
        <w:t>在混合权重模型中，组合系数</w:t>
      </w:r>
      <m:oMath>
        <m:r>
          <m:rPr/>
          <w:rPr>
            <w:rFonts w:ascii="Cambria Math" w:hAnsi="Cambria Math"/>
            <w:lang w:eastAsia="zh-CN"/>
          </w:rPr>
          <m:t>α</m:t>
        </m:r>
      </m:oMath>
      <w:r>
        <w:rPr>
          <w:lang w:eastAsia="zh-CN"/>
        </w:rPr>
        <w:t>的取值直接影响各指标的最终权重，进而可能影响项目的排名顺序。 为了评估</w:t>
      </w:r>
      <m:oMath>
        <m:r>
          <m:rPr/>
          <w:rPr>
            <w:rFonts w:ascii="Cambria Math" w:hAnsi="Cambria Math"/>
            <w:lang w:eastAsia="zh-CN"/>
          </w:rPr>
          <m:t>α</m:t>
        </m:r>
      </m:oMath>
      <w:r>
        <w:rPr>
          <w:lang w:eastAsia="zh-CN"/>
        </w:rPr>
        <w:t>取值对结果稳定性的影响， 本研究测试了</w:t>
      </w:r>
      <m:oMath>
        <m:r>
          <m:rPr/>
          <w:rPr>
            <w:rFonts w:ascii="Cambria Math" w:hAnsi="Cambria Math"/>
            <w:lang w:eastAsia="zh-CN"/>
          </w:rPr>
          <m:t>α</m:t>
        </m:r>
      </m:oMath>
      <w:r>
        <w:rPr>
          <w:lang w:eastAsia="zh-CN"/>
        </w:rPr>
        <w:t>从0.1到0.9共9种不同取值下的排名变化情况。 图4.14展示了各维度权重随</w:t>
      </w:r>
      <m:oMath>
        <m:r>
          <m:rPr/>
          <w:rPr>
            <w:rFonts w:ascii="Cambria Math" w:hAnsi="Cambria Math"/>
            <w:lang w:eastAsia="zh-CN"/>
          </w:rPr>
          <m:t>α</m:t>
        </m:r>
      </m:oMath>
      <w:r>
        <w:rPr>
          <w:lang w:eastAsia="zh-CN"/>
        </w:rPr>
        <w:t>变化的趋势曲线。 流行度和创新性的权重曲线呈交叉趋势， 当</w:t>
      </w:r>
      <m:oMath>
        <m:r>
          <m:rPr/>
          <w:rPr>
            <w:rFonts w:ascii="Cambria Math" w:hAnsi="Cambria Math"/>
            <w:lang w:eastAsia="zh-CN"/>
          </w:rPr>
          <m:t>α</m:t>
        </m:r>
      </m:oMath>
      <w:r>
        <w:rPr>
          <w:lang w:eastAsia="zh-CN"/>
        </w:rPr>
        <w:t>较小时创新性的权重超过流行度， 当</w:t>
      </w:r>
      <m:oMath>
        <m:r>
          <m:rPr/>
          <w:rPr>
            <w:rFonts w:ascii="Cambria Math" w:hAnsi="Cambria Math"/>
            <w:lang w:eastAsia="zh-CN"/>
          </w:rPr>
          <m:t>α</m:t>
        </m:r>
      </m:oMath>
      <w:r>
        <w:rPr>
          <w:lang w:eastAsia="zh-CN"/>
        </w:rPr>
        <w:t>增大到约0.4以上时流行度的权重超越创新性并持续扩大优势。 性别平等、可持续性、包容性、安全性的权重曲线相对平缓，受</w:t>
      </w:r>
      <m:oMath>
        <m:r>
          <m:rPr/>
          <w:rPr>
            <w:rFonts w:ascii="Cambria Math" w:hAnsi="Cambria Math"/>
            <w:lang w:eastAsia="zh-CN"/>
          </w:rPr>
          <m:t>α</m:t>
        </m:r>
      </m:oMath>
      <w:r>
        <w:rPr>
          <w:lang w:eastAsia="zh-CN"/>
        </w:rPr>
        <w:t>变化的影响较小。</w:t>
      </w:r>
    </w:p>
    <w:p w14:paraId="3414B8A9">
      <w:pPr>
        <w:jc w:val="both"/>
      </w:pPr>
      <w:r>
        <w:drawing>
          <wp:inline distT="0" distB="0" distL="114300" distR="114300">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26"/>
                    <a:stretch>
                      <a:fillRect/>
                    </a:stretch>
                  </pic:blipFill>
                  <pic:spPr>
                    <a:xfrm>
                      <a:off x="0" y="0"/>
                      <a:ext cx="4860000" cy="2900270"/>
                    </a:xfrm>
                    <a:prstGeom prst="rect">
                      <a:avLst/>
                    </a:prstGeom>
                  </pic:spPr>
                </pic:pic>
              </a:graphicData>
            </a:graphic>
          </wp:inline>
        </w:drawing>
      </w:r>
    </w:p>
    <w:p w14:paraId="4F403E5D">
      <w:pPr>
        <w:pStyle w:val="104"/>
        <w:jc w:val="center"/>
        <w:rPr>
          <w:i w:val="0"/>
          <w:iCs/>
        </w:rPr>
      </w:pPr>
      <w:bookmarkStart w:id="149" w:name="_fig_sensitivity"/>
      <w:r>
        <w:rPr>
          <w:i w:val="0"/>
          <w:iCs/>
        </w:rPr>
        <w:t>图4.14：</w:t>
      </w:r>
      <m:oMath>
        <m:r>
          <m:rPr/>
          <w:rPr>
            <w:rFonts w:ascii="Cambria Math" w:hAnsi="Cambria Math" w:eastAsiaTheme="minorEastAsia"/>
          </w:rPr>
          <m:t>α</m:t>
        </m:r>
      </m:oMath>
      <w:r>
        <w:rPr>
          <w:i w:val="0"/>
          <w:iCs/>
        </w:rPr>
        <w:t>灵敏度分析</w:t>
      </w:r>
      <w:bookmarkEnd w:id="149"/>
    </w:p>
    <w:p w14:paraId="6EA55684">
      <w:pPr>
        <w:pStyle w:val="35"/>
        <w:ind w:firstLine="480"/>
        <w:rPr>
          <w:lang w:eastAsia="zh-CN"/>
        </w:rPr>
      </w:pPr>
      <w:r>
        <w:rPr>
          <w:rFonts w:hint="eastAsia"/>
          <w:lang w:eastAsia="zh-CN"/>
        </w:rPr>
        <w:t>以滑板项目为例，其六维评分为</w:t>
      </w:r>
      <m:oMath>
        <m:d>
          <m:dPr>
            <m:begChr m:val="["/>
            <m:endChr m:val="]"/>
            <m:ctrlPr>
              <w:rPr>
                <w:rFonts w:ascii="Cambria Math" w:hAnsi="Cambria Math"/>
                <w:lang w:eastAsia="zh-CN"/>
              </w:rPr>
            </m:ctrlPr>
          </m:dPr>
          <m:e>
            <m:r>
              <m:rPr/>
              <w:rPr>
                <w:rFonts w:ascii="Cambria Math" w:hAnsi="Cambria Math"/>
                <w:lang w:eastAsia="zh-CN"/>
              </w:rPr>
              <m:t>0.394</m:t>
            </m:r>
            <m:r>
              <m:rPr>
                <m:sty m:val="p"/>
              </m:rPr>
              <w:rPr>
                <w:rFonts w:ascii="Cambria Math" w:hAnsi="Cambria Math"/>
                <w:lang w:eastAsia="zh-CN"/>
              </w:rPr>
              <m:t>,</m:t>
            </m:r>
            <m:r>
              <m:rPr/>
              <w:rPr>
                <w:rFonts w:ascii="Cambria Math" w:hAnsi="Cambria Math"/>
                <w:lang w:eastAsia="zh-CN"/>
              </w:rPr>
              <m:t> 0.900</m:t>
            </m:r>
            <m:r>
              <m:rPr>
                <m:sty m:val="p"/>
              </m:rPr>
              <w:rPr>
                <w:rFonts w:ascii="Cambria Math" w:hAnsi="Cambria Math"/>
                <w:lang w:eastAsia="zh-CN"/>
              </w:rPr>
              <m:t>,</m:t>
            </m:r>
            <m:r>
              <m:rPr/>
              <w:rPr>
                <w:rFonts w:ascii="Cambria Math" w:hAnsi="Cambria Math"/>
                <w:lang w:eastAsia="zh-CN"/>
              </w:rPr>
              <m:t> 0.626</m:t>
            </m:r>
            <m:r>
              <m:rPr>
                <m:sty m:val="p"/>
              </m:rPr>
              <w:rPr>
                <w:rFonts w:ascii="Cambria Math" w:hAnsi="Cambria Math"/>
                <w:lang w:eastAsia="zh-CN"/>
              </w:rPr>
              <m:t>,</m:t>
            </m:r>
            <m:r>
              <m:rPr/>
              <w:rPr>
                <w:rFonts w:ascii="Cambria Math" w:hAnsi="Cambria Math"/>
                <w:lang w:eastAsia="zh-CN"/>
              </w:rPr>
              <m:t> 0.294</m:t>
            </m:r>
            <m:r>
              <m:rPr>
                <m:sty m:val="p"/>
              </m:rPr>
              <w:rPr>
                <w:rFonts w:ascii="Cambria Math" w:hAnsi="Cambria Math"/>
                <w:lang w:eastAsia="zh-CN"/>
              </w:rPr>
              <m:t>,</m:t>
            </m:r>
            <m:r>
              <m:rPr/>
              <w:rPr>
                <w:rFonts w:ascii="Cambria Math" w:hAnsi="Cambria Math"/>
                <w:lang w:eastAsia="zh-CN"/>
              </w:rPr>
              <m:t> 0.985</m:t>
            </m:r>
            <m:r>
              <m:rPr>
                <m:sty m:val="p"/>
              </m:rPr>
              <w:rPr>
                <w:rFonts w:ascii="Cambria Math" w:hAnsi="Cambria Math"/>
                <w:lang w:eastAsia="zh-CN"/>
              </w:rPr>
              <m:t>,</m:t>
            </m:r>
            <m:r>
              <m:rPr/>
              <w:rPr>
                <w:rFonts w:ascii="Cambria Math" w:hAnsi="Cambria Math"/>
                <w:lang w:eastAsia="zh-CN"/>
              </w:rPr>
              <m:t> 0.350</m:t>
            </m:r>
            <m:ctrlPr>
              <w:rPr>
                <w:rFonts w:ascii="Cambria Math" w:hAnsi="Cambria Math"/>
                <w:lang w:eastAsia="zh-CN"/>
              </w:rPr>
            </m:ctrlPr>
          </m:e>
        </m:d>
      </m:oMath>
      <w:r>
        <w:rPr>
          <w:rFonts w:hint="eastAsia"/>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0.3</m:t>
        </m:r>
      </m:oMath>
      <w:r>
        <w:rPr>
          <w:rFonts w:hint="eastAsia"/>
          <w:lang w:eastAsia="zh-CN"/>
        </w:rPr>
        <w:t>（偏向EWM）时，创新性（权重0.158）和可持续性（权重0.222）的权重较高，有利于滑板这类创新性突出（0.985）的新兴项目；当</w:t>
      </w:r>
      <m:oMath>
        <m:r>
          <m:rPr/>
          <w:rPr>
            <w:rFonts w:ascii="Cambria Math" w:hAnsi="Cambria Math"/>
            <w:lang w:eastAsia="zh-CN"/>
          </w:rPr>
          <m:t>α</m:t>
        </m:r>
      </m:oMath>
      <w:r>
        <w:rPr>
          <w:rFonts w:hint="eastAsia"/>
          <w:lang w:eastAsia="zh-CN"/>
        </w:rPr>
        <w:t>增至0.7（偏向AHP）时，流行度（权重0.297）和安全性（权重0.160）权重上升，而滑板在安全性上得分较低（0.350），其综合排名从第5位降至第6位。相反，足球等项目因流行度较高（0.692），排名保持稳定。</w:t>
      </w:r>
    </w:p>
    <w:p w14:paraId="57F4F2E6">
      <w:pPr>
        <w:pStyle w:val="35"/>
        <w:ind w:firstLine="480"/>
        <w:rPr>
          <w:lang w:eastAsia="zh-CN"/>
        </w:rPr>
      </w:pPr>
      <w:r>
        <w:rPr>
          <w:rFonts w:hint="eastAsia"/>
          <w:lang w:eastAsia="zh-CN"/>
        </w:rPr>
        <w:t>综合来看，当</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时前5名项目的排名完全不变，评估结果最为稳健；当区间扩大至</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lang w:eastAsia="zh-CN"/>
        </w:rPr>
        <w:t>时，前5名身份仍保持不变，仅内部排序有微小波动。基于这一分析结果，本研究推荐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作为默认组合系数。</w:t>
      </w:r>
    </w:p>
    <w:p w14:paraId="6B173F96">
      <w:pPr>
        <w:pStyle w:val="35"/>
        <w:ind w:firstLine="480"/>
        <w:rPr>
          <w:lang w:eastAsia="zh-CN"/>
        </w:rPr>
      </w:pPr>
      <w:bookmarkStart w:id="150" w:name="_fig_rank_stability"/>
      <w:r>
        <w:rPr>
          <w:rFonts w:hint="eastAsia"/>
          <w:lang w:eastAsia="zh-CN"/>
        </w:rPr>
        <w:t>图4.</w:t>
      </w:r>
      <w:r>
        <w:fldChar w:fldCharType="begin"/>
      </w:r>
      <w:r>
        <w:instrText xml:space="preserve"> HYPERLINK \l "fig:rank_stability" \h </w:instrText>
      </w:r>
      <w:r>
        <w:fldChar w:fldCharType="separate"/>
      </w:r>
      <w:r>
        <w:rPr>
          <w:rStyle w:val="32"/>
          <w:color w:val="auto"/>
          <w:lang w:eastAsia="zh-CN"/>
        </w:rPr>
        <w:t>14</w:t>
      </w:r>
      <w:r>
        <w:rPr>
          <w:rStyle w:val="32"/>
          <w:color w:val="auto"/>
          <w:lang w:eastAsia="zh-CN"/>
        </w:rPr>
        <w:fldChar w:fldCharType="end"/>
      </w:r>
      <w:r>
        <w:rPr>
          <w:rFonts w:hint="eastAsia"/>
          <w:lang w:eastAsia="zh-CN"/>
        </w:rPr>
        <w:t>展示了12个项目在</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lang w:eastAsia="zh-CN"/>
        </w:rPr>
        <w:t>区间内的排名变化轨迹，每条彩色折线代表一个项目的排名随</w:t>
      </w:r>
      <m:oMath>
        <m:r>
          <m:rPr/>
          <w:rPr>
            <w:rFonts w:ascii="Cambria Math" w:hAnsi="Cambria Math"/>
            <w:lang w:eastAsia="zh-CN"/>
          </w:rPr>
          <m:t>α</m:t>
        </m:r>
      </m:oMath>
      <w:r>
        <w:rPr>
          <w:rFonts w:hint="eastAsia"/>
          <w:lang w:eastAsia="zh-CN"/>
        </w:rPr>
        <w:t>的变化。图中绿色半透明区域标注推荐区间</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，灰色虚线标记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。田径与电子竞技在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0.49</m:t>
        </m:r>
      </m:oMath>
      <w:r>
        <w:rPr>
          <w:rFonts w:hint="eastAsia"/>
          <w:lang w:eastAsia="zh-CN"/>
        </w:rPr>
        <w:t>附近发生排名交叉：</w:t>
      </w:r>
      <m:oMath>
        <m:r>
          <m:rPr/>
          <w:rPr>
            <w:rFonts w:ascii="Cambria Math" w:hAnsi="Cambria Math"/>
            <w:lang w:eastAsia="zh-CN"/>
          </w:rPr>
          <m:t>α</m:t>
        </m:r>
        <m:r>
          <m:rPr>
            <m:sty m:val="p"/>
          </m:rPr>
          <w:rPr>
            <w:rFonts w:ascii="Cambria Math" w:hAnsi="Cambria Math"/>
            <w:lang w:eastAsia="zh-CN"/>
          </w:rPr>
          <m:t>&lt;</m:t>
        </m:r>
        <m:r>
          <m:rPr/>
          <w:rPr>
            <w:rFonts w:ascii="Cambria Math" w:hAnsi="Cambria Math"/>
            <w:lang w:eastAsia="zh-CN"/>
          </w:rPr>
          <m:t>0.49</m:t>
        </m:r>
      </m:oMath>
      <w:r>
        <w:rPr>
          <w:rFonts w:hint="eastAsia"/>
          <w:lang w:eastAsia="zh-CN"/>
        </w:rPr>
        <w:t>时电子竞技居首，</w:t>
      </w:r>
      <m:oMath>
        <m:r>
          <m:rPr/>
          <w:rPr>
            <w:rFonts w:ascii="Cambria Math" w:hAnsi="Cambria Math"/>
            <w:lang w:eastAsia="zh-CN"/>
          </w:rPr>
          <m:t>α</m:t>
        </m:r>
        <m:r>
          <m:rPr>
            <m:sty m:val="p"/>
          </m:rPr>
          <w:rPr>
            <w:rFonts w:ascii="Cambria Math" w:hAnsi="Cambria Math"/>
            <w:lang w:eastAsia="zh-CN"/>
          </w:rPr>
          <m:t>&gt;</m:t>
        </m:r>
        <m:r>
          <m:rPr/>
          <w:rPr>
            <w:rFonts w:ascii="Cambria Math" w:hAnsi="Cambria Math"/>
            <w:lang w:eastAsia="zh-CN"/>
          </w:rPr>
          <m:t>0.49</m:t>
        </m:r>
      </m:oMath>
      <w:r>
        <w:rPr>
          <w:rFonts w:hint="eastAsia"/>
          <w:lang w:eastAsia="zh-CN"/>
        </w:rPr>
        <w:t>时田径反超。该交叉点恰好位于推荐区间内，表明</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处于主客观权重平衡的临界位置。其余项目的排名曲线整体平缓，前5名身份在全区间内保持一致，验证了混合权重模型在推荐区间内的稳健性。</w:t>
      </w:r>
      <w:bookmarkEnd w:id="150"/>
    </w:p>
    <w:p w14:paraId="75EF5C1E">
      <w:pPr>
        <w:pStyle w:val="59"/>
        <w:jc w:val="both"/>
      </w:pPr>
      <w:bookmarkStart w:id="151" w:name="fig:rank_stability"/>
      <w:r>
        <w:drawing>
          <wp:inline distT="0" distB="0" distL="114300" distR="114300">
            <wp:extent cx="5225415" cy="306006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7"/>
                    <a:stretch>
                      <a:fillRect/>
                    </a:stretch>
                  </pic:blipFill>
                  <pic:spPr>
                    <a:xfrm>
                      <a:off x="0" y="0"/>
                      <a:ext cx="5232739" cy="3064649"/>
                    </a:xfrm>
                    <a:prstGeom prst="rect">
                      <a:avLst/>
                    </a:prstGeom>
                    <a:noFill/>
                    <a:ln w="9525">
                      <a:noFill/>
                    </a:ln>
                  </pic:spPr>
                </pic:pic>
              </a:graphicData>
            </a:graphic>
          </wp:inline>
        </w:drawing>
      </w:r>
    </w:p>
    <w:p w14:paraId="7AADEA33">
      <w:pPr>
        <w:pStyle w:val="104"/>
        <w:jc w:val="center"/>
        <w:rPr>
          <w:i w:val="0"/>
          <w:iCs/>
        </w:rPr>
      </w:pPr>
      <w:r>
        <w:rPr>
          <w:rFonts w:hint="eastAsia"/>
          <w:i w:val="0"/>
          <w:iCs/>
        </w:rPr>
        <w:t>图4.15：不同</w:t>
      </w:r>
      <m:oMath>
        <m:r>
          <m:rPr/>
          <w:rPr>
            <w:rFonts w:ascii="Cambria Math" w:hAnsi="Cambria Math"/>
          </w:rPr>
          <m:t>α</m:t>
        </m:r>
      </m:oMath>
      <w:r>
        <w:rPr>
          <w:rFonts w:hint="eastAsia"/>
          <w:i w:val="0"/>
          <w:iCs/>
        </w:rPr>
        <w:t>取值下项目排名变化轨迹</w:t>
      </w:r>
    </w:p>
    <w:bookmarkEnd w:id="148"/>
    <w:bookmarkEnd w:id="151"/>
    <w:p w14:paraId="7CFE97BE">
      <w:pPr>
        <w:pStyle w:val="5"/>
        <w:rPr>
          <w:rFonts w:hint="eastAsia"/>
          <w:lang w:eastAsia="zh-CN"/>
        </w:rPr>
      </w:pPr>
      <w:bookmarkStart w:id="152" w:name="权重稳定性"/>
      <w:r>
        <w:rPr>
          <w:rStyle w:val="62"/>
          <w:rFonts w:eastAsia="黑体" w:cs="Times New Roman"/>
          <w:color w:val="auto"/>
          <w:sz w:val="26"/>
          <w:szCs w:val="26"/>
          <w:lang w:eastAsia="zh-CN"/>
        </w:rPr>
        <w:t>4.6.2</w:t>
      </w:r>
      <w:r>
        <w:rPr>
          <w:lang w:eastAsia="zh-CN"/>
        </w:rPr>
        <w:tab/>
      </w:r>
      <w:r>
        <w:rPr>
          <w:rFonts w:hint="eastAsia"/>
          <w:lang w:eastAsia="zh-CN"/>
        </w:rPr>
        <w:t>权重稳定性</w:t>
      </w:r>
    </w:p>
    <w:p w14:paraId="4E103F8C">
      <w:pPr>
        <w:pStyle w:val="35"/>
        <w:ind w:firstLine="480"/>
        <w:rPr>
          <w:lang w:eastAsia="zh-CN"/>
        </w:rPr>
      </w:pPr>
      <w:r>
        <w:rPr>
          <w:rFonts w:hint="eastAsia"/>
          <w:lang w:eastAsia="zh-CN"/>
        </w:rPr>
        <w:t>除了组合系数</w:t>
      </w:r>
      <m:oMath>
        <m:r>
          <m:rPr/>
          <w:rPr>
            <w:rFonts w:ascii="Cambria Math" w:hAnsi="Cambria Math"/>
            <w:lang w:eastAsia="zh-CN"/>
          </w:rPr>
          <m:t>α</m:t>
        </m:r>
      </m:oMath>
      <w:r>
        <w:rPr>
          <w:rFonts w:hint="eastAsia"/>
          <w:lang w:eastAsia="zh-CN"/>
        </w:rPr>
        <w:t>外，还需要测试单项权重变化对最终排名的影响。</w:t>
      </w:r>
      <w:r>
        <w:rPr>
          <w:lang w:eastAsia="zh-CN"/>
        </w:rPr>
        <w:t xml:space="preserve"> </w:t>
      </w:r>
      <w:r>
        <w:rPr>
          <w:rFonts w:hint="eastAsia"/>
          <w:lang w:eastAsia="zh-CN"/>
        </w:rPr>
        <w:t>实验沿用第4.2.2节标准化矩阵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、第4.2.3节混合权重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lang w:eastAsia="zh-CN"/>
        </w:rPr>
        <w:t>和第3.5.2节综合评分公式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xml:space="preserve">。 </w:t>
      </w:r>
      <w:r>
        <w:rPr>
          <w:rFonts w:hint="eastAsia"/>
          <w:lang w:eastAsia="zh-CN"/>
        </w:rPr>
        <w:t>对</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lang w:eastAsia="zh-CN"/>
        </w:rPr>
        <w:t>的6个维度分别做</w:t>
      </w:r>
      <m:oMath>
        <m:r>
          <m:rPr>
            <m:sty m:val="p"/>
          </m:rPr>
          <w:rPr>
            <w:rFonts w:ascii="Cambria Math" w:hAnsi="Cambria Math"/>
            <w:lang w:eastAsia="zh-CN"/>
          </w:rPr>
          <m:t>+</m:t>
        </m:r>
        <m:r>
          <m:rPr/>
          <w:rPr>
            <w:rFonts w:ascii="Cambria Math" w:hAnsi="Cambria Math"/>
            <w:lang w:eastAsia="zh-CN"/>
          </w:rPr>
          <m:t>10</m:t>
        </m:r>
      </m:oMath>
      <w:r>
        <w:rPr>
          <w:rFonts w:hint="eastAsia"/>
          <w:lang w:eastAsia="zh-CN"/>
        </w:rPr>
        <w:t>和</w:t>
      </w:r>
      <m:oMath>
        <m:r>
          <m:rPr>
            <m:sty m:val="p"/>
          </m:rPr>
          <w:rPr>
            <w:rFonts w:ascii="Cambria Math" w:hAnsi="Cambria Math"/>
            <w:lang w:eastAsia="zh-CN"/>
          </w:rPr>
          <m:t>−</m:t>
        </m:r>
        <m:r>
          <m:rPr/>
          <w:rPr>
            <w:rFonts w:ascii="Cambria Math" w:hAnsi="Cambria Math"/>
            <w:lang w:eastAsia="zh-CN"/>
          </w:rPr>
          <m:t>10</m:t>
        </m:r>
      </m:oMath>
      <w:r>
        <w:rPr>
          <w:rFonts w:hint="eastAsia"/>
          <w:lang w:eastAsia="zh-CN"/>
        </w:rPr>
        <w:t>的单维度扰动（扰动后重新归一化使权重和为1），</w:t>
      </w:r>
      <w:r>
        <w:rPr>
          <w:lang w:eastAsia="zh-CN"/>
        </w:rPr>
        <w:t xml:space="preserve"> </w:t>
      </w:r>
      <w:r>
        <w:rPr>
          <w:rFonts w:hint="eastAsia"/>
          <w:lang w:eastAsia="zh-CN"/>
        </w:rPr>
        <w:t>共生成</w:t>
      </w:r>
      <m:oMath>
        <m:r>
          <m:rPr/>
          <w:rPr>
            <w:rFonts w:ascii="Cambria Math" w:hAnsi="Cambria Math"/>
            <w:lang w:eastAsia="zh-CN"/>
          </w:rPr>
          <m:t>6</m:t>
        </m:r>
        <m:r>
          <m:rPr>
            <m:sty m:val="p"/>
          </m:rPr>
          <w:rPr>
            <w:rFonts w:ascii="Cambria Math" w:hAnsi="Cambria Math"/>
            <w:lang w:eastAsia="zh-CN"/>
          </w:rPr>
          <m:t>×</m:t>
        </m:r>
        <m:r>
          <m:rPr/>
          <w:rPr>
            <w:rFonts w:ascii="Cambria Math" w:hAnsi="Cambria Math"/>
            <w:lang w:eastAsia="zh-CN"/>
          </w:rPr>
          <m:t>2</m:t>
        </m:r>
        <m:r>
          <m:rPr>
            <m:sty m:val="p"/>
          </m:rPr>
          <w:rPr>
            <w:rFonts w:ascii="Cambria Math" w:hAnsi="Cambria Math"/>
            <w:lang w:eastAsia="zh-CN"/>
          </w:rPr>
          <m:t>=</m:t>
        </m:r>
        <m:r>
          <m:rPr/>
          <w:rPr>
            <w:rFonts w:ascii="Cambria Math" w:hAnsi="Cambria Math"/>
            <w:lang w:eastAsia="zh-CN"/>
          </w:rPr>
          <m:t>12</m:t>
        </m:r>
      </m:oMath>
      <w:r>
        <w:rPr>
          <w:rFonts w:hint="eastAsia"/>
          <w:lang w:eastAsia="zh-CN"/>
        </w:rPr>
        <w:t>组扰动权重，逐一在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上计算12个项目的综合评分并排序，</w:t>
      </w:r>
      <w:r>
        <w:rPr>
          <w:lang w:eastAsia="zh-CN"/>
        </w:rPr>
        <w:t xml:space="preserve"> </w:t>
      </w:r>
      <w:r>
        <w:rPr>
          <w:rFonts w:hint="eastAsia"/>
          <w:lang w:eastAsia="zh-CN"/>
        </w:rPr>
        <w:t>对比基准排名（第4.3.2节）的变化。</w:t>
      </w:r>
    </w:p>
    <w:p w14:paraId="44343676">
      <w:pPr>
        <w:pStyle w:val="35"/>
        <w:ind w:firstLine="480"/>
        <w:rPr>
          <w:lang w:eastAsia="zh-CN"/>
        </w:rPr>
      </w:pPr>
      <w:r>
        <w:rPr>
          <w:rFonts w:hint="eastAsia"/>
          <w:lang w:eastAsia="zh-CN"/>
        </w:rPr>
        <w:t>如表4.7所示，12种扰动场景下前5名身份完全不变（仅篮球与足球在流行度和安全性扰动下发生1位互换），</w:t>
      </w:r>
      <w:r>
        <w:rPr>
          <w:lang w:eastAsia="zh-CN"/>
        </w:rPr>
        <w:t xml:space="preserve"> </w:t>
      </w:r>
      <w:r>
        <w:rPr>
          <w:rFonts w:hint="eastAsia"/>
          <w:lang w:eastAsia="zh-CN"/>
        </w:rPr>
        <w:t>后4名（冲浪、霹雳舞、棒球/垒球、板球）在所有场景下排名完全不动。</w:t>
      </w:r>
      <w:r>
        <w:rPr>
          <w:lang w:eastAsia="zh-CN"/>
        </w:rPr>
        <w:t xml:space="preserve"> </w:t>
      </w:r>
      <w:r>
        <w:rPr>
          <w:rFonts w:hint="eastAsia"/>
          <w:lang w:eastAsia="zh-CN"/>
        </w:rPr>
        <w:t>仅中间排名段（第5–9名）出现个别1位位移：滑板在流行度</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时降至第7位，空手道在创新性</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时降至第9位。</w:t>
      </w:r>
      <w:r>
        <w:rPr>
          <w:lang w:eastAsia="zh-CN"/>
        </w:rPr>
        <w:t xml:space="preserve"> </w:t>
      </w:r>
      <w:r>
        <w:rPr>
          <w:rFonts w:hint="eastAsia"/>
          <w:lang w:eastAsia="zh-CN"/>
        </w:rPr>
        <w:t>性别平等维度在</w:t>
      </w:r>
      <m:oMath>
        <m:r>
          <m:rPr>
            <m:sty m:val="p"/>
          </m:rPr>
          <w:rPr>
            <w:rFonts w:ascii="Cambria Math" w:hAnsi="Cambria Math"/>
            <w:lang w:eastAsia="zh-CN"/>
          </w:rPr>
          <m:t>±</m:t>
        </m:r>
        <m:r>
          <m:rPr/>
          <w:rPr>
            <w:rFonts w:ascii="Cambria Math" w:hAnsi="Cambria Math"/>
            <w:lang w:eastAsia="zh-CN"/>
          </w:rPr>
          <m:t>10</m:t>
        </m:r>
      </m:oMath>
      <w:r>
        <w:rPr>
          <w:rFonts w:hint="eastAsia"/>
          <w:lang w:eastAsia="zh-CN"/>
        </w:rPr>
        <w:t>扰动下排名完全不变，原因在于12个项目的性别平等得分集中在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lang w:eastAsia="zh-CN"/>
        </w:rPr>
        <w:t>区间（变异系数仅0.11），</w:t>
      </w:r>
      <w:r>
        <w:rPr>
          <w:lang w:eastAsia="zh-CN"/>
        </w:rPr>
        <w:t xml:space="preserve"> </w:t>
      </w:r>
      <w:r>
        <w:rPr>
          <w:rFonts w:hint="eastAsia"/>
          <w:lang w:eastAsia="zh-CN"/>
        </w:rPr>
        <w:t>权重扰动对该维度加权贡献的影响极小。</w:t>
      </w:r>
    </w:p>
    <w:p w14:paraId="1F1B609F">
      <w:pPr>
        <w:pStyle w:val="102"/>
      </w:pPr>
      <w:bookmarkStart w:id="153" w:name="_tab_perturbation"/>
      <w:r>
        <w:t>表4.7</w:t>
      </w:r>
      <w:r>
        <w:rPr>
          <w:rFonts w:hint="eastAsia"/>
        </w:rPr>
        <w:t xml:space="preserve"> 单维度</w:t>
      </w:r>
      <w:r>
        <w:t>权重 +/-10% 扰动排名变化</w:t>
      </w:r>
      <w:bookmarkEnd w:id="153"/>
      <w:r>
        <w:rPr>
          <w:rFonts w:hint="eastAsia"/>
        </w:rPr>
        <w:t>（仅列出有变动的维度）</w:t>
      </w:r>
    </w:p>
    <w:tbl>
      <w:tblPr>
        <w:tblStyle w:val="30"/>
        <w:tblW w:w="5000" w:type="pct"/>
        <w:tblInd w:w="0" w:type="dxa"/>
        <w:tblLayout w:type="autofit"/>
        <w:tblCellMar>
          <w:top w:w="0" w:type="dxa"/>
          <w:left w:w="108" w:type="dxa"/>
          <w:bottom w:w="0" w:type="dxa"/>
          <w:right w:w="108" w:type="dxa"/>
        </w:tblCellMar>
      </w:tblPr>
      <w:tblGrid>
        <w:gridCol w:w="1615"/>
        <w:gridCol w:w="1252"/>
        <w:gridCol w:w="1926"/>
        <w:gridCol w:w="1205"/>
        <w:gridCol w:w="2858"/>
      </w:tblGrid>
      <w:tr w14:paraId="455EEB64">
        <w:tblPrEx>
          <w:tblCellMar>
            <w:top w:w="0" w:type="dxa"/>
            <w:left w:w="108" w:type="dxa"/>
            <w:bottom w:w="0" w:type="dxa"/>
            <w:right w:w="108" w:type="dxa"/>
          </w:tblCellMar>
        </w:tblPrEx>
        <w:tc>
          <w:tcPr>
            <w:tcW w:w="912" w:type="pct"/>
            <w:tcBorders>
              <w:top w:val="single" w:color="000000" w:sz="12" w:space="0"/>
              <w:left w:val="nil"/>
              <w:bottom w:val="single" w:color="000000" w:sz="4" w:space="0"/>
              <w:right w:val="nil"/>
            </w:tcBorders>
          </w:tcPr>
          <w:p w14:paraId="79A5BF84">
            <w:r>
              <w:rPr>
                <w:rFonts w:hint="eastAsia" w:ascii="宋体" w:hAnsi="宋体" w:eastAsia="宋体" w:cs="宋体"/>
              </w:rPr>
              <w:t>维度</w:t>
            </w:r>
          </w:p>
        </w:tc>
        <w:tc>
          <w:tcPr>
            <w:tcW w:w="707" w:type="pct"/>
            <w:tcBorders>
              <w:top w:val="single" w:color="000000" w:sz="12" w:space="0"/>
              <w:left w:val="nil"/>
              <w:bottom w:val="single" w:color="000000" w:sz="4" w:space="0"/>
              <w:right w:val="nil"/>
            </w:tcBorders>
          </w:tcPr>
          <w:p w14:paraId="66B12921">
            <w:r>
              <w:rPr>
                <w:rFonts w:hint="eastAsia" w:ascii="宋体" w:hAnsi="宋体" w:eastAsia="宋体" w:cs="宋体"/>
              </w:rPr>
              <w:t>方向</w:t>
            </w:r>
          </w:p>
        </w:tc>
        <w:tc>
          <w:tcPr>
            <w:tcW w:w="1087" w:type="pct"/>
            <w:tcBorders>
              <w:top w:val="single" w:color="000000" w:sz="12" w:space="0"/>
              <w:left w:val="nil"/>
              <w:bottom w:val="single" w:color="000000" w:sz="4" w:space="0"/>
              <w:right w:val="nil"/>
            </w:tcBorders>
          </w:tcPr>
          <w:p w14:paraId="3583D2B2">
            <w:r>
              <w:rPr>
                <w:rFonts w:hint="eastAsia" w:ascii="宋体" w:hAnsi="宋体" w:eastAsia="宋体" w:cs="宋体"/>
              </w:rPr>
              <w:t>受影响项目</w:t>
            </w:r>
          </w:p>
        </w:tc>
        <w:tc>
          <w:tcPr>
            <w:tcW w:w="680" w:type="pct"/>
            <w:tcBorders>
              <w:top w:val="single" w:color="000000" w:sz="12" w:space="0"/>
              <w:left w:val="nil"/>
              <w:bottom w:val="single" w:color="000000" w:sz="4" w:space="0"/>
              <w:right w:val="nil"/>
            </w:tcBorders>
          </w:tcPr>
          <w:p w14:paraId="1D36CC3C">
            <w:r>
              <w:rPr>
                <w:rFonts w:hint="eastAsia" w:ascii="宋体" w:hAnsi="宋体" w:eastAsia="宋体" w:cs="宋体"/>
              </w:rPr>
              <w:t>位移</w:t>
            </w:r>
          </w:p>
        </w:tc>
        <w:tc>
          <w:tcPr>
            <w:tcW w:w="1613" w:type="pct"/>
            <w:tcBorders>
              <w:top w:val="single" w:color="000000" w:sz="12" w:space="0"/>
              <w:left w:val="nil"/>
              <w:bottom w:val="single" w:color="000000" w:sz="4" w:space="0"/>
              <w:right w:val="nil"/>
            </w:tcBorders>
          </w:tcPr>
          <w:p w14:paraId="5A45DDE8">
            <w:r>
              <w:rPr>
                <w:rFonts w:hint="eastAsia" w:ascii="宋体" w:hAnsi="宋体" w:eastAsia="宋体" w:cs="宋体"/>
              </w:rPr>
              <w:t>说明</w:t>
            </w:r>
          </w:p>
        </w:tc>
      </w:tr>
      <w:tr w14:paraId="2AE0FCF8">
        <w:tblPrEx>
          <w:tblCellMar>
            <w:top w:w="0" w:type="dxa"/>
            <w:left w:w="108" w:type="dxa"/>
            <w:bottom w:w="0" w:type="dxa"/>
            <w:right w:w="108" w:type="dxa"/>
          </w:tblCellMar>
        </w:tblPrEx>
        <w:tc>
          <w:tcPr>
            <w:tcW w:w="912" w:type="pct"/>
            <w:tcBorders>
              <w:left w:val="nil"/>
              <w:right w:val="nil"/>
            </w:tcBorders>
          </w:tcPr>
          <w:p w14:paraId="65793A8F">
            <w:r>
              <w:rPr>
                <w:rFonts w:hint="eastAsia" w:ascii="宋体" w:hAnsi="宋体" w:eastAsia="宋体" w:cs="宋体"/>
              </w:rPr>
              <w:t>流行度</w:t>
            </w:r>
          </w:p>
        </w:tc>
        <w:tc>
          <w:tcPr>
            <w:tcW w:w="707" w:type="pct"/>
            <w:tcBorders>
              <w:left w:val="nil"/>
              <w:right w:val="nil"/>
            </w:tcBorders>
          </w:tcPr>
          <w:p w14:paraId="76C87AFA">
            <w:r>
              <w:rPr>
                <w:rFonts w:eastAsia="Song"/>
              </w:rPr>
              <w:t>+10%</w:t>
            </w:r>
          </w:p>
        </w:tc>
        <w:tc>
          <w:tcPr>
            <w:tcW w:w="1087" w:type="pct"/>
            <w:tcBorders>
              <w:left w:val="nil"/>
              <w:right w:val="nil"/>
            </w:tcBorders>
          </w:tcPr>
          <w:p w14:paraId="0422D2C4">
            <w:r>
              <w:rPr>
                <w:rFonts w:hint="eastAsia" w:ascii="宋体" w:hAnsi="宋体" w:eastAsia="宋体" w:cs="宋体"/>
              </w:rPr>
              <w:t>滑板</w:t>
            </w:r>
          </w:p>
        </w:tc>
        <w:tc>
          <w:tcPr>
            <w:tcW w:w="680" w:type="pct"/>
            <w:tcBorders>
              <w:left w:val="nil"/>
              <w:right w:val="nil"/>
            </w:tcBorders>
          </w:tcPr>
          <w:p w14:paraId="46FC6C1D">
            <w:r>
              <w:rPr>
                <w:rFonts w:eastAsia="Song"/>
              </w:rPr>
              <w:t>6-&gt;7</w:t>
            </w:r>
          </w:p>
        </w:tc>
        <w:tc>
          <w:tcPr>
            <w:tcW w:w="1613" w:type="pct"/>
            <w:tcBorders>
              <w:left w:val="nil"/>
              <w:right w:val="nil"/>
            </w:tcBorders>
          </w:tcPr>
          <w:p w14:paraId="5CCC763D">
            <w:r>
              <w:rPr>
                <w:rFonts w:hint="eastAsia" w:ascii="宋体" w:hAnsi="宋体" w:eastAsia="宋体" w:cs="宋体"/>
              </w:rPr>
              <w:t>与攀岩互换</w:t>
            </w:r>
          </w:p>
        </w:tc>
      </w:tr>
      <w:tr w14:paraId="6632C85B">
        <w:tblPrEx>
          <w:tblCellMar>
            <w:top w:w="0" w:type="dxa"/>
            <w:left w:w="108" w:type="dxa"/>
            <w:bottom w:w="0" w:type="dxa"/>
            <w:right w:w="108" w:type="dxa"/>
          </w:tblCellMar>
        </w:tblPrEx>
        <w:tc>
          <w:tcPr>
            <w:tcW w:w="912" w:type="pct"/>
            <w:tcBorders>
              <w:left w:val="nil"/>
              <w:right w:val="nil"/>
            </w:tcBorders>
          </w:tcPr>
          <w:p w14:paraId="145584C5">
            <w:r>
              <w:rPr>
                <w:rFonts w:hint="eastAsia" w:ascii="宋体" w:hAnsi="宋体" w:eastAsia="宋体" w:cs="宋体"/>
              </w:rPr>
              <w:t>流行度</w:t>
            </w:r>
          </w:p>
        </w:tc>
        <w:tc>
          <w:tcPr>
            <w:tcW w:w="707" w:type="pct"/>
            <w:tcBorders>
              <w:left w:val="nil"/>
              <w:right w:val="nil"/>
            </w:tcBorders>
          </w:tcPr>
          <w:p w14:paraId="2FD348C4">
            <w:r>
              <w:rPr>
                <w:rFonts w:eastAsia="Song"/>
              </w:rPr>
              <w:t>-10%</w:t>
            </w:r>
          </w:p>
        </w:tc>
        <w:tc>
          <w:tcPr>
            <w:tcW w:w="1087" w:type="pct"/>
            <w:tcBorders>
              <w:left w:val="nil"/>
              <w:right w:val="nil"/>
            </w:tcBorders>
          </w:tcPr>
          <w:p w14:paraId="579B60D1">
            <w:r>
              <w:rPr>
                <w:rFonts w:hint="eastAsia" w:ascii="宋体" w:hAnsi="宋体" w:eastAsia="宋体" w:cs="宋体"/>
              </w:rPr>
              <w:t>篮球</w:t>
            </w:r>
          </w:p>
        </w:tc>
        <w:tc>
          <w:tcPr>
            <w:tcW w:w="680" w:type="pct"/>
            <w:tcBorders>
              <w:left w:val="nil"/>
              <w:right w:val="nil"/>
            </w:tcBorders>
          </w:tcPr>
          <w:p w14:paraId="7EDE150D">
            <w:r>
              <w:rPr>
                <w:rFonts w:eastAsia="Song"/>
              </w:rPr>
              <w:t>5-&gt;4</w:t>
            </w:r>
          </w:p>
        </w:tc>
        <w:tc>
          <w:tcPr>
            <w:tcW w:w="1613" w:type="pct"/>
            <w:tcBorders>
              <w:left w:val="nil"/>
              <w:right w:val="nil"/>
            </w:tcBorders>
          </w:tcPr>
          <w:p w14:paraId="28DA9FD7">
            <w:r>
              <w:rPr>
                <w:rFonts w:hint="eastAsia" w:ascii="宋体" w:hAnsi="宋体" w:eastAsia="宋体" w:cs="宋体"/>
              </w:rPr>
              <w:t>与足球互换</w:t>
            </w:r>
          </w:p>
        </w:tc>
      </w:tr>
      <w:tr w14:paraId="27EA5A15">
        <w:tblPrEx>
          <w:tblCellMar>
            <w:top w:w="0" w:type="dxa"/>
            <w:left w:w="108" w:type="dxa"/>
            <w:bottom w:w="0" w:type="dxa"/>
            <w:right w:w="108" w:type="dxa"/>
          </w:tblCellMar>
        </w:tblPrEx>
        <w:tc>
          <w:tcPr>
            <w:tcW w:w="912" w:type="pct"/>
            <w:tcBorders>
              <w:left w:val="nil"/>
              <w:right w:val="nil"/>
            </w:tcBorders>
          </w:tcPr>
          <w:p w14:paraId="453D2F50">
            <w:r>
              <w:rPr>
                <w:rFonts w:hint="eastAsia" w:ascii="宋体" w:hAnsi="宋体" w:eastAsia="宋体" w:cs="宋体"/>
              </w:rPr>
              <w:t>可持续性</w:t>
            </w:r>
          </w:p>
        </w:tc>
        <w:tc>
          <w:tcPr>
            <w:tcW w:w="707" w:type="pct"/>
            <w:tcBorders>
              <w:left w:val="nil"/>
              <w:right w:val="nil"/>
            </w:tcBorders>
          </w:tcPr>
          <w:p w14:paraId="574CEB40">
            <w:r>
              <w:rPr>
                <w:rFonts w:eastAsia="Song"/>
              </w:rPr>
              <w:t>+10%</w:t>
            </w:r>
          </w:p>
        </w:tc>
        <w:tc>
          <w:tcPr>
            <w:tcW w:w="1087" w:type="pct"/>
            <w:tcBorders>
              <w:left w:val="nil"/>
              <w:right w:val="nil"/>
            </w:tcBorders>
          </w:tcPr>
          <w:p w14:paraId="3CE9D243">
            <w:r>
              <w:rPr>
                <w:rFonts w:hint="eastAsia" w:ascii="宋体" w:hAnsi="宋体" w:eastAsia="宋体" w:cs="宋体"/>
              </w:rPr>
              <w:t>攀岩</w:t>
            </w:r>
          </w:p>
        </w:tc>
        <w:tc>
          <w:tcPr>
            <w:tcW w:w="680" w:type="pct"/>
            <w:tcBorders>
              <w:left w:val="nil"/>
              <w:right w:val="nil"/>
            </w:tcBorders>
          </w:tcPr>
          <w:p w14:paraId="71343046">
            <w:r>
              <w:rPr>
                <w:rFonts w:eastAsia="Song"/>
              </w:rPr>
              <w:t>7-&gt;6</w:t>
            </w:r>
          </w:p>
        </w:tc>
        <w:tc>
          <w:tcPr>
            <w:tcW w:w="1613" w:type="pct"/>
            <w:tcBorders>
              <w:left w:val="nil"/>
              <w:right w:val="nil"/>
            </w:tcBorders>
          </w:tcPr>
          <w:p w14:paraId="7A2CE8C2">
            <w:r>
              <w:rPr>
                <w:rFonts w:hint="eastAsia" w:ascii="宋体" w:hAnsi="宋体" w:eastAsia="宋体" w:cs="宋体"/>
              </w:rPr>
              <w:t>可持续性略优</w:t>
            </w:r>
          </w:p>
        </w:tc>
      </w:tr>
      <w:tr w14:paraId="2F8984E9">
        <w:tblPrEx>
          <w:tblCellMar>
            <w:top w:w="0" w:type="dxa"/>
            <w:left w:w="108" w:type="dxa"/>
            <w:bottom w:w="0" w:type="dxa"/>
            <w:right w:w="108" w:type="dxa"/>
          </w:tblCellMar>
        </w:tblPrEx>
        <w:tc>
          <w:tcPr>
            <w:tcW w:w="912" w:type="pct"/>
            <w:tcBorders>
              <w:left w:val="nil"/>
              <w:right w:val="nil"/>
            </w:tcBorders>
          </w:tcPr>
          <w:p w14:paraId="648E97FE">
            <w:r>
              <w:rPr>
                <w:rFonts w:hint="eastAsia" w:ascii="宋体" w:hAnsi="宋体" w:eastAsia="宋体" w:cs="宋体"/>
              </w:rPr>
              <w:t>包容性</w:t>
            </w:r>
          </w:p>
        </w:tc>
        <w:tc>
          <w:tcPr>
            <w:tcW w:w="707" w:type="pct"/>
            <w:tcBorders>
              <w:left w:val="nil"/>
              <w:right w:val="nil"/>
            </w:tcBorders>
          </w:tcPr>
          <w:p w14:paraId="4D69C63C">
            <w:r>
              <w:rPr>
                <w:rFonts w:eastAsia="Song"/>
              </w:rPr>
              <w:t>+10%</w:t>
            </w:r>
          </w:p>
        </w:tc>
        <w:tc>
          <w:tcPr>
            <w:tcW w:w="1087" w:type="pct"/>
            <w:tcBorders>
              <w:left w:val="nil"/>
              <w:right w:val="nil"/>
            </w:tcBorders>
          </w:tcPr>
          <w:p w14:paraId="6DE6D944">
            <w:r>
              <w:rPr>
                <w:rFonts w:hint="eastAsia" w:ascii="宋体" w:hAnsi="宋体" w:eastAsia="宋体" w:cs="宋体"/>
              </w:rPr>
              <w:t>攀岩</w:t>
            </w:r>
          </w:p>
        </w:tc>
        <w:tc>
          <w:tcPr>
            <w:tcW w:w="680" w:type="pct"/>
            <w:tcBorders>
              <w:left w:val="nil"/>
              <w:right w:val="nil"/>
            </w:tcBorders>
          </w:tcPr>
          <w:p w14:paraId="4C29EE01">
            <w:r>
              <w:rPr>
                <w:rFonts w:eastAsia="Song"/>
              </w:rPr>
              <w:t>7-&gt;6</w:t>
            </w:r>
          </w:p>
        </w:tc>
        <w:tc>
          <w:tcPr>
            <w:tcW w:w="1613" w:type="pct"/>
            <w:tcBorders>
              <w:left w:val="nil"/>
              <w:right w:val="nil"/>
            </w:tcBorders>
          </w:tcPr>
          <w:p w14:paraId="7F9C7034">
            <w:r>
              <w:rPr>
                <w:rFonts w:hint="eastAsia" w:ascii="宋体" w:hAnsi="宋体" w:eastAsia="宋体" w:cs="宋体"/>
              </w:rPr>
              <w:t>包容性原始分略高</w:t>
            </w:r>
          </w:p>
        </w:tc>
      </w:tr>
      <w:tr w14:paraId="242667A3">
        <w:tblPrEx>
          <w:tblCellMar>
            <w:top w:w="0" w:type="dxa"/>
            <w:left w:w="108" w:type="dxa"/>
            <w:bottom w:w="0" w:type="dxa"/>
            <w:right w:w="108" w:type="dxa"/>
          </w:tblCellMar>
        </w:tblPrEx>
        <w:tc>
          <w:tcPr>
            <w:tcW w:w="912" w:type="pct"/>
            <w:tcBorders>
              <w:left w:val="nil"/>
              <w:right w:val="nil"/>
            </w:tcBorders>
          </w:tcPr>
          <w:p w14:paraId="49BCA899">
            <w:r>
              <w:rPr>
                <w:rFonts w:hint="eastAsia" w:ascii="宋体" w:hAnsi="宋体" w:eastAsia="宋体" w:cs="宋体"/>
              </w:rPr>
              <w:t>创新性</w:t>
            </w:r>
          </w:p>
        </w:tc>
        <w:tc>
          <w:tcPr>
            <w:tcW w:w="707" w:type="pct"/>
            <w:tcBorders>
              <w:left w:val="nil"/>
              <w:right w:val="nil"/>
            </w:tcBorders>
          </w:tcPr>
          <w:p w14:paraId="659CDA22">
            <w:r>
              <w:rPr>
                <w:rFonts w:eastAsia="Song"/>
              </w:rPr>
              <w:t>-10%</w:t>
            </w:r>
          </w:p>
        </w:tc>
        <w:tc>
          <w:tcPr>
            <w:tcW w:w="1087" w:type="pct"/>
            <w:tcBorders>
              <w:left w:val="nil"/>
              <w:right w:val="nil"/>
            </w:tcBorders>
          </w:tcPr>
          <w:p w14:paraId="4D69416A">
            <w:r>
              <w:rPr>
                <w:rFonts w:hint="eastAsia" w:ascii="宋体" w:hAnsi="宋体" w:eastAsia="宋体" w:cs="宋体"/>
              </w:rPr>
              <w:t>空手道</w:t>
            </w:r>
          </w:p>
        </w:tc>
        <w:tc>
          <w:tcPr>
            <w:tcW w:w="680" w:type="pct"/>
            <w:tcBorders>
              <w:left w:val="nil"/>
              <w:right w:val="nil"/>
            </w:tcBorders>
          </w:tcPr>
          <w:p w14:paraId="59FF4B09">
            <w:r>
              <w:rPr>
                <w:rFonts w:eastAsia="Song"/>
              </w:rPr>
              <w:t>8-&gt;9</w:t>
            </w:r>
          </w:p>
        </w:tc>
        <w:tc>
          <w:tcPr>
            <w:tcW w:w="1613" w:type="pct"/>
            <w:tcBorders>
              <w:left w:val="nil"/>
              <w:right w:val="nil"/>
            </w:tcBorders>
          </w:tcPr>
          <w:p w14:paraId="31EE75B5">
            <w:r>
              <w:rPr>
                <w:rFonts w:hint="eastAsia" w:ascii="宋体" w:hAnsi="宋体" w:eastAsia="宋体" w:cs="宋体"/>
              </w:rPr>
              <w:t>与冲浪互换</w:t>
            </w:r>
          </w:p>
        </w:tc>
      </w:tr>
      <w:tr w14:paraId="24A69A17">
        <w:tblPrEx>
          <w:tblCellMar>
            <w:top w:w="0" w:type="dxa"/>
            <w:left w:w="108" w:type="dxa"/>
            <w:bottom w:w="0" w:type="dxa"/>
            <w:right w:w="108" w:type="dxa"/>
          </w:tblCellMar>
        </w:tblPrEx>
        <w:tc>
          <w:tcPr>
            <w:tcW w:w="912" w:type="pct"/>
            <w:tcBorders>
              <w:left w:val="nil"/>
              <w:bottom w:val="single" w:color="000000" w:sz="12" w:space="0"/>
              <w:right w:val="nil"/>
            </w:tcBorders>
          </w:tcPr>
          <w:p w14:paraId="7062AB9B">
            <w:r>
              <w:rPr>
                <w:rFonts w:hint="eastAsia" w:ascii="宋体" w:hAnsi="宋体" w:eastAsia="宋体" w:cs="宋体"/>
              </w:rPr>
              <w:t>安全性</w:t>
            </w:r>
          </w:p>
        </w:tc>
        <w:tc>
          <w:tcPr>
            <w:tcW w:w="707" w:type="pct"/>
            <w:tcBorders>
              <w:left w:val="nil"/>
              <w:bottom w:val="single" w:color="000000" w:sz="12" w:space="0"/>
              <w:right w:val="nil"/>
            </w:tcBorders>
          </w:tcPr>
          <w:p w14:paraId="145E5FE2">
            <w:r>
              <w:rPr>
                <w:rFonts w:eastAsia="Song"/>
              </w:rPr>
              <w:t>+10%</w:t>
            </w:r>
          </w:p>
        </w:tc>
        <w:tc>
          <w:tcPr>
            <w:tcW w:w="1087" w:type="pct"/>
            <w:tcBorders>
              <w:left w:val="nil"/>
              <w:bottom w:val="single" w:color="000000" w:sz="12" w:space="0"/>
              <w:right w:val="nil"/>
            </w:tcBorders>
          </w:tcPr>
          <w:p w14:paraId="03911D46">
            <w:r>
              <w:rPr>
                <w:rFonts w:hint="eastAsia" w:ascii="宋体" w:hAnsi="宋体" w:eastAsia="宋体" w:cs="宋体"/>
              </w:rPr>
              <w:t>篮球</w:t>
            </w:r>
          </w:p>
        </w:tc>
        <w:tc>
          <w:tcPr>
            <w:tcW w:w="680" w:type="pct"/>
            <w:tcBorders>
              <w:left w:val="nil"/>
              <w:bottom w:val="single" w:color="000000" w:sz="12" w:space="0"/>
              <w:right w:val="nil"/>
            </w:tcBorders>
          </w:tcPr>
          <w:p w14:paraId="711CB46F">
            <w:r>
              <w:rPr>
                <w:rFonts w:eastAsia="Song"/>
              </w:rPr>
              <w:t>5-&gt;4</w:t>
            </w:r>
          </w:p>
        </w:tc>
        <w:tc>
          <w:tcPr>
            <w:tcW w:w="1613" w:type="pct"/>
            <w:tcBorders>
              <w:left w:val="nil"/>
              <w:bottom w:val="single" w:color="000000" w:sz="12" w:space="0"/>
              <w:right w:val="nil"/>
            </w:tcBorders>
          </w:tcPr>
          <w:p w14:paraId="7542F464">
            <w:r>
              <w:rPr>
                <w:rFonts w:hint="eastAsia" w:ascii="宋体" w:hAnsi="宋体" w:eastAsia="宋体" w:cs="宋体"/>
              </w:rPr>
              <w:t>安全性高于足球</w:t>
            </w:r>
          </w:p>
        </w:tc>
      </w:tr>
    </w:tbl>
    <w:p w14:paraId="11F83213">
      <w:pPr>
        <w:pStyle w:val="3"/>
        <w:spacing w:before="0" w:after="0"/>
        <w:ind w:firstLine="480"/>
        <w:jc w:val="both"/>
        <w:rPr>
          <w:lang w:eastAsia="zh-CN"/>
        </w:rPr>
      </w:pPr>
    </w:p>
    <w:p w14:paraId="221A22AA">
      <w:pPr>
        <w:pStyle w:val="35"/>
        <w:ind w:firstLine="480"/>
        <w:rPr>
          <w:lang w:eastAsia="zh-CN"/>
        </w:rPr>
      </w:pPr>
      <w:bookmarkStart w:id="154" w:name="_fig_weight_perturbation"/>
      <w:r>
        <w:rPr>
          <w:rFonts w:hint="eastAsia"/>
          <w:lang w:eastAsia="zh-CN"/>
        </w:rPr>
        <w:t>图4.</w:t>
      </w:r>
      <w:r>
        <w:fldChar w:fldCharType="begin"/>
      </w:r>
      <w:r>
        <w:instrText xml:space="preserve"> HYPERLINK \l "fig:weight_perturbation" \h </w:instrText>
      </w:r>
      <w:r>
        <w:fldChar w:fldCharType="separate"/>
      </w:r>
      <w:r>
        <w:rPr>
          <w:rStyle w:val="32"/>
          <w:color w:val="auto"/>
          <w:lang w:eastAsia="zh-CN"/>
        </w:rPr>
        <w:t>15</w:t>
      </w:r>
      <w:r>
        <w:rPr>
          <w:rStyle w:val="32"/>
          <w:color w:val="auto"/>
          <w:lang w:eastAsia="zh-CN"/>
        </w:rPr>
        <w:fldChar w:fldCharType="end"/>
      </w:r>
      <w:r>
        <w:rPr>
          <w:rFonts w:hint="eastAsia"/>
          <w:lang w:eastAsia="zh-CN"/>
        </w:rPr>
        <w:t>以热力图形式直观展示了全部扰动场景的结果，横轴为12个项目，</w:t>
      </w:r>
      <w:r>
        <w:rPr>
          <w:lang w:eastAsia="zh-CN"/>
        </w:rPr>
        <w:t xml:space="preserve"> </w:t>
      </w:r>
      <w:r>
        <w:rPr>
          <w:rFonts w:hint="eastAsia"/>
          <w:lang w:eastAsia="zh-CN"/>
        </w:rPr>
        <w:t>纵轴为6个扰动维度，色阶表示排名变化位数（0为深绿、1为浅绿）。</w:t>
      </w:r>
      <w:r>
        <w:rPr>
          <w:lang w:eastAsia="zh-CN"/>
        </w:rPr>
        <w:t xml:space="preserve"> </w:t>
      </w:r>
      <w:r>
        <w:rPr>
          <w:rFonts w:hint="eastAsia"/>
          <w:lang w:eastAsia="zh-CN"/>
        </w:rPr>
        <w:t>图中大面积深绿色区域（排名不变）与极少量浅绿色斑点（1位移）的对比，</w:t>
      </w:r>
      <w:r>
        <w:rPr>
          <w:lang w:eastAsia="zh-CN"/>
        </w:rPr>
        <w:t xml:space="preserve"> </w:t>
      </w:r>
      <w:r>
        <w:rPr>
          <w:rFonts w:hint="eastAsia"/>
          <w:lang w:eastAsia="zh-CN"/>
        </w:rPr>
        <w:t>有力验证了模型对单项权重局部扰动的高度鲁棒性。</w:t>
      </w:r>
      <w:bookmarkEnd w:id="154"/>
    </w:p>
    <w:p w14:paraId="5FB08668">
      <w:pPr>
        <w:pStyle w:val="59"/>
        <w:jc w:val="both"/>
      </w:pPr>
      <w:bookmarkStart w:id="155"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8"/>
                    <a:stretch>
                      <a:fillRect/>
                    </a:stretch>
                  </pic:blipFill>
                  <pic:spPr>
                    <a:xfrm>
                      <a:off x="0" y="0"/>
                      <a:ext cx="5067300" cy="2258076"/>
                    </a:xfrm>
                    <a:prstGeom prst="rect">
                      <a:avLst/>
                    </a:prstGeom>
                    <a:noFill/>
                    <a:ln w="9525">
                      <a:noFill/>
                    </a:ln>
                  </pic:spPr>
                </pic:pic>
              </a:graphicData>
            </a:graphic>
          </wp:inline>
        </w:drawing>
      </w:r>
    </w:p>
    <w:p w14:paraId="12213BE5">
      <w:pPr>
        <w:pStyle w:val="104"/>
        <w:jc w:val="center"/>
        <w:rPr>
          <w:i w:val="0"/>
          <w:iCs/>
        </w:rPr>
      </w:pPr>
      <w:r>
        <w:rPr>
          <w:rFonts w:hint="eastAsia"/>
          <w:i w:val="0"/>
          <w:iCs/>
        </w:rPr>
        <w:t>图4.16：单维度权重  扰动下各项目排名变化热力图</w:t>
      </w:r>
      <m:oMath>
        <m:r>
          <m:rPr/>
          <w:rPr>
            <w:rFonts w:ascii="Cambria Math" w:hAnsi="Cambria Math"/>
          </w:rPr>
          <m:t>±10</m:t>
        </m:r>
      </m:oMath>
    </w:p>
    <w:bookmarkEnd w:id="147"/>
    <w:bookmarkEnd w:id="152"/>
    <w:bookmarkEnd w:id="155"/>
    <w:p w14:paraId="20037A30">
      <w:pPr>
        <w:pStyle w:val="4"/>
        <w:jc w:val="both"/>
        <w:rPr>
          <w:rFonts w:hint="eastAsia"/>
          <w:color w:val="auto"/>
          <w:lang w:eastAsia="zh-CN"/>
        </w:rPr>
      </w:pPr>
      <w:bookmarkStart w:id="156" w:name="_Toc229523253"/>
      <w:bookmarkStart w:id="157" w:name="年奥运项目预测"/>
      <w:r>
        <w:rPr>
          <w:rStyle w:val="62"/>
          <w:rFonts w:eastAsia="黑体" w:cs="Times New Roman"/>
          <w:color w:val="auto"/>
          <w:sz w:val="28"/>
          <w:szCs w:val="28"/>
          <w:lang w:eastAsia="zh-CN"/>
        </w:rPr>
        <w:t>4.7</w:t>
      </w:r>
      <w:r>
        <w:rPr>
          <w:rFonts w:ascii="Times New Roman" w:hAnsi="Times New Roman" w:cs="Times New Roman"/>
          <w:color w:val="auto"/>
          <w:lang w:eastAsia="zh-CN"/>
        </w:rPr>
        <w:tab/>
      </w:r>
      <w:r>
        <w:rPr>
          <w:rFonts w:hint="eastAsia" w:ascii="Times New Roman" w:hAnsi="Times New Roman" w:cs="Times New Roman"/>
          <w:color w:val="auto"/>
          <w:lang w:eastAsia="zh-CN"/>
        </w:rPr>
        <w:t>2032年奥运项目预测</w:t>
      </w:r>
      <w:bookmarkEnd w:id="156"/>
    </w:p>
    <w:p w14:paraId="40734D8B">
      <w:pPr>
        <w:pStyle w:val="35"/>
        <w:ind w:firstLine="480"/>
        <w:rPr>
          <w:lang w:eastAsia="zh-CN"/>
        </w:rPr>
      </w:pPr>
      <w:r>
        <w:rPr>
          <w:rFonts w:hint="eastAsia" w:eastAsia="仿宋" w:cs="Times New Roman"/>
          <w:lang w:eastAsia="zh-CN"/>
        </w:rPr>
        <w:t>上述第4.3至4.6节已通过12个代表性项目验证了混合权重模型的有效性与参数稳健性。本节将该模型推广至2032年布里斯班奥运会的候选项目评估，沿用相同的混合权重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eastAsia="仿宋" w:cs="Times New Roman"/>
          <w:lang w:eastAsia="zh-CN"/>
        </w:rPr>
        <w:t>（第4.2.3节）、标准化矩阵构建方法（第4.2.2节）和综合评分公式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eastAsia="仿宋" w:cs="Times New Roman"/>
          <w:lang w:eastAsia="zh-CN"/>
        </w:rPr>
        <w:t>（第3.5.2节）。需要说明的是，IOC迄今尚未正式确定布里斯班2032年的项目方案（预计2026年决定）</w:t>
      </w:r>
      <w:r>
        <w:rPr>
          <w:rFonts w:eastAsia="仿宋" w:cs="Times New Roman"/>
          <w:vertAlign w:val="superscript"/>
          <w:lang w:eastAsia="zh-CN"/>
        </w:rPr>
        <w:t>[2]</w:t>
      </w:r>
      <w:r>
        <w:rPr>
          <w:rFonts w:hint="eastAsia" w:eastAsia="仿宋" w:cs="Times New Roman"/>
          <w:lang w:eastAsia="zh-CN"/>
        </w:rPr>
        <w:t>，因此本节预测具有前瞻探索性质。</w:t>
      </w:r>
    </w:p>
    <w:p w14:paraId="227299A0">
      <w:pPr>
        <w:pStyle w:val="5"/>
        <w:rPr>
          <w:rFonts w:hint="eastAsia"/>
          <w:lang w:eastAsia="zh-CN"/>
        </w:rPr>
      </w:pPr>
      <w:bookmarkStart w:id="158" w:name="预测对象"/>
      <w:r>
        <w:rPr>
          <w:rStyle w:val="62"/>
          <w:rFonts w:ascii="黑体" w:hAnsi="黑体" w:eastAsia="黑体"/>
          <w:lang w:eastAsia="zh-CN"/>
        </w:rPr>
        <w:t>4.7.1</w:t>
      </w:r>
      <w:r>
        <w:rPr>
          <w:lang w:eastAsia="zh-CN"/>
        </w:rPr>
        <w:tab/>
      </w:r>
      <w:r>
        <w:rPr>
          <w:lang w:eastAsia="zh-CN"/>
        </w:rPr>
        <w:t>预测对象</w:t>
      </w:r>
    </w:p>
    <w:p w14:paraId="217C5795">
      <w:pPr>
        <w:pStyle w:val="35"/>
        <w:ind w:firstLine="480"/>
        <w:rPr>
          <w:lang w:eastAsia="zh-CN"/>
        </w:rPr>
      </w:pPr>
      <w:r>
        <w:rPr>
          <w:rFonts w:hint="eastAsia"/>
          <w:lang w:eastAsia="zh-CN"/>
        </w:rPr>
        <w:t>候选项目的选取基于两类依据。</w:t>
      </w:r>
      <w:r>
        <w:rPr>
          <w:lang w:eastAsia="zh-CN"/>
        </w:rPr>
        <w:t xml:space="preserve"> </w:t>
      </w:r>
      <w:r>
        <w:rPr>
          <w:rFonts w:hint="eastAsia"/>
          <w:lang w:eastAsia="zh-CN"/>
        </w:rPr>
        <w:t>第一类为IOC已确认进入近期奥运会的运动：板球和壁球于2023年10月第141届IOC全会获批进入2028年洛杉矶奥运会</w:t>
      </w:r>
      <w:r>
        <w:rPr>
          <w:vertAlign w:val="superscript"/>
          <w:lang w:eastAsia="zh-CN"/>
        </w:rPr>
        <w:t>[2]</w:t>
      </w:r>
      <w:r>
        <w:rPr>
          <w:rFonts w:hint="eastAsia"/>
          <w:lang w:eastAsia="zh-CN"/>
        </w:rPr>
        <w:t>，具备明确的奥运入编路径。</w:t>
      </w:r>
      <w:r>
        <w:rPr>
          <w:lang w:eastAsia="zh-CN"/>
        </w:rPr>
        <w:t xml:space="preserve"> </w:t>
      </w:r>
      <w:r>
        <w:rPr>
          <w:rFonts w:hint="eastAsia"/>
          <w:lang w:eastAsia="zh-CN"/>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vertAlign w:val="superscript"/>
          <w:lang w:eastAsia="zh-CN"/>
        </w:rPr>
        <w:t>[2]</w:t>
      </w:r>
      <w:r>
        <w:rPr>
          <w:rFonts w:hint="eastAsia"/>
          <w:lang w:eastAsia="zh-CN"/>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vertAlign w:val="superscript"/>
          <w:lang w:eastAsia="zh-CN"/>
        </w:rPr>
        <w:t>[2]</w:t>
      </w:r>
      <w:r>
        <w:rPr>
          <w:rFonts w:hint="eastAsia"/>
          <w:lang w:eastAsia="zh-CN"/>
        </w:rPr>
        <w:t>），具有探索性预测价值。</w:t>
      </w:r>
    </w:p>
    <w:p w14:paraId="3A38BB68">
      <w:pPr>
        <w:pStyle w:val="35"/>
        <w:ind w:firstLine="480"/>
        <w:rPr>
          <w:lang w:eastAsia="zh-CN"/>
        </w:rPr>
      </w:pPr>
      <w:r>
        <w:rPr>
          <w:rFonts w:hint="eastAsia"/>
          <w:lang w:eastAsia="zh-CN"/>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D7A5B2D">
      <w:pPr>
        <w:pStyle w:val="35"/>
        <w:ind w:firstLine="480"/>
        <w:rPr>
          <w:lang w:eastAsia="zh-CN"/>
        </w:rPr>
      </w:pPr>
      <w:r>
        <w:rPr>
          <w:rFonts w:hint="eastAsia"/>
          <w:lang w:eastAsia="zh-CN"/>
        </w:rPr>
        <w:t>这些项目各有不同的发展背景和特色。</w:t>
      </w:r>
      <w:r>
        <w:rPr>
          <w:lang w:eastAsia="zh-CN"/>
        </w:rPr>
        <w:t xml:space="preserve"> </w:t>
      </w:r>
      <w:r>
        <w:rPr>
          <w:rFonts w:hint="eastAsia"/>
          <w:lang w:eastAsia="zh-CN"/>
        </w:rPr>
        <w:t>电子竞技是目前唯一完全非体育化的候选项目，但其全球观众已超过5亿，创新性评分在所有项目中最高。</w:t>
      </w:r>
      <w:r>
        <w:rPr>
          <w:lang w:eastAsia="zh-CN"/>
        </w:rPr>
        <w:t xml:space="preserve"> </w:t>
      </w:r>
      <w:r>
        <w:rPr>
          <w:rFonts w:hint="eastAsia"/>
          <w:lang w:eastAsia="zh-CN"/>
        </w:rPr>
        <w:t>板球曾在1900年短暂出现过，但长期不属于奥运正式项目，其在南亚地区的影响力巨大，且已确认将进入2028年洛杉矶奥运会</w:t>
      </w:r>
      <w:r>
        <w:rPr>
          <w:vertAlign w:val="superscript"/>
          <w:lang w:eastAsia="zh-CN"/>
        </w:rPr>
        <w:t>[2]</w:t>
      </w:r>
      <w:r>
        <w:rPr>
          <w:lang w:eastAsia="zh-CN"/>
        </w:rPr>
        <w:t xml:space="preserve">。 </w:t>
      </w:r>
      <w:r>
        <w:rPr>
          <w:rFonts w:hint="eastAsia"/>
          <w:lang w:eastAsia="zh-CN"/>
        </w:rPr>
        <w:t>壁球于2023年获IOC批准进入LA28，将在洛杉矶实现奥运首秀</w:t>
      </w:r>
      <w:r>
        <w:rPr>
          <w:vertAlign w:val="superscript"/>
          <w:lang w:eastAsia="zh-CN"/>
        </w:rPr>
        <w:t>[2]</w:t>
      </w:r>
      <w:r>
        <w:rPr>
          <w:lang w:eastAsia="zh-CN"/>
        </w:rPr>
        <w:t xml:space="preserve">。 </w:t>
      </w:r>
      <w:r>
        <w:rPr>
          <w:rFonts w:hint="eastAsia"/>
          <w:lang w:eastAsia="zh-CN"/>
        </w:rPr>
        <w:t>匹克球是近年来全球增长最快的运动之一，以低门槛和高包容性著称。</w:t>
      </w:r>
      <w:r>
        <w:rPr>
          <w:lang w:eastAsia="zh-CN"/>
        </w:rPr>
        <w:t xml:space="preserve"> </w:t>
      </w:r>
      <w:r>
        <w:rPr>
          <w:rFonts w:hint="eastAsia"/>
          <w:lang w:eastAsia="zh-CN"/>
        </w:rPr>
        <w:t>澳式足球作为澳大利亚本土最受欢迎的运动之一，其在本土的影响力不容忽视。</w:t>
      </w:r>
    </w:p>
    <w:bookmarkEnd w:id="158"/>
    <w:p w14:paraId="4A089162">
      <w:pPr>
        <w:pStyle w:val="5"/>
        <w:rPr>
          <w:rFonts w:hint="eastAsia"/>
          <w:lang w:eastAsia="zh-CN"/>
        </w:rPr>
      </w:pPr>
      <w:bookmarkStart w:id="159" w:name="预测结果"/>
      <w:r>
        <w:rPr>
          <w:rStyle w:val="62"/>
          <w:rFonts w:ascii="黑体" w:hAnsi="黑体" w:eastAsia="黑体"/>
          <w:lang w:eastAsia="zh-CN"/>
        </w:rPr>
        <w:t>4.7.2</w:t>
      </w:r>
      <w:r>
        <w:rPr>
          <w:lang w:eastAsia="zh-CN"/>
        </w:rPr>
        <w:tab/>
      </w:r>
      <w:r>
        <w:rPr>
          <w:lang w:eastAsia="zh-CN"/>
        </w:rPr>
        <w:t>预测结果</w:t>
      </w:r>
    </w:p>
    <w:p w14:paraId="45BE33BE">
      <w:pPr>
        <w:pStyle w:val="35"/>
        <w:ind w:firstLine="480"/>
        <w:rPr>
          <w:lang w:eastAsia="zh-CN"/>
        </w:rPr>
      </w:pPr>
      <w:bookmarkStart w:id="160" w:name="_fig_prediction_candidates"/>
      <w:r>
        <w:rPr>
          <w:lang w:eastAsia="zh-CN"/>
        </w:rPr>
        <w:t>基于模型的综合评分，排名前三的候选项目依次为电子竞技、板球、匹克球。图4.</w:t>
      </w:r>
      <w:r>
        <w:fldChar w:fldCharType="begin"/>
      </w:r>
      <w:r>
        <w:instrText xml:space="preserve"> HYPERLINK \l "fig:prediction_candidates" \h </w:instrText>
      </w:r>
      <w:r>
        <w:fldChar w:fldCharType="separate"/>
      </w:r>
      <w:r>
        <w:rPr>
          <w:rStyle w:val="32"/>
          <w:rFonts w:eastAsia="宋体"/>
          <w:color w:val="auto"/>
          <w:lang w:eastAsia="zh-CN"/>
        </w:rPr>
        <w:t>16</w:t>
      </w:r>
      <w:r>
        <w:rPr>
          <w:rStyle w:val="32"/>
          <w:rFonts w:eastAsia="宋体"/>
          <w:color w:val="auto"/>
          <w:lang w:eastAsia="zh-CN"/>
        </w:rPr>
        <w:fldChar w:fldCharType="end"/>
      </w:r>
      <w:r>
        <w:rPr>
          <w:lang w:eastAsia="zh-CN"/>
        </w:rPr>
        <w:t>展示了候选项目的综合评分对比以及前三名的六维评分雷达对比。</w:t>
      </w:r>
      <w:bookmarkEnd w:id="160"/>
    </w:p>
    <w:p w14:paraId="2CD3E361">
      <w:pPr>
        <w:pStyle w:val="59"/>
        <w:jc w:val="both"/>
      </w:pPr>
      <w:bookmarkStart w:id="161" w:name="fig:prediction_candidates"/>
      <w:r>
        <w:drawing>
          <wp:inline distT="0" distB="0" distL="114300" distR="114300">
            <wp:extent cx="5445760" cy="2274570"/>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9"/>
                    <a:stretch>
                      <a:fillRect/>
                    </a:stretch>
                  </pic:blipFill>
                  <pic:spPr>
                    <a:xfrm>
                      <a:off x="0" y="0"/>
                      <a:ext cx="5463105" cy="2281949"/>
                    </a:xfrm>
                    <a:prstGeom prst="rect">
                      <a:avLst/>
                    </a:prstGeom>
                    <a:noFill/>
                    <a:ln w="9525">
                      <a:noFill/>
                    </a:ln>
                  </pic:spPr>
                </pic:pic>
              </a:graphicData>
            </a:graphic>
          </wp:inline>
        </w:drawing>
      </w:r>
    </w:p>
    <w:p w14:paraId="57C6D488">
      <w:pPr>
        <w:pStyle w:val="104"/>
        <w:jc w:val="center"/>
        <w:rPr>
          <w:i w:val="0"/>
          <w:iCs/>
        </w:rPr>
      </w:pPr>
      <w:r>
        <w:rPr>
          <w:rFonts w:hint="eastAsia"/>
          <w:i w:val="0"/>
          <w:iCs/>
        </w:rPr>
        <w:t>图4.17：2032年候选项目评分对比与六维雷达</w:t>
      </w:r>
    </w:p>
    <w:bookmarkEnd w:id="161"/>
    <w:p w14:paraId="01D44C83">
      <w:pPr>
        <w:pStyle w:val="35"/>
        <w:ind w:firstLine="480"/>
        <w:rPr>
          <w:lang w:eastAsia="zh-CN"/>
        </w:rPr>
      </w:pPr>
      <w:r>
        <w:rPr>
          <w:rFonts w:hint="eastAsia"/>
          <w:lang w:eastAsia="zh-CN"/>
        </w:rPr>
        <w:t>电子竞技在流行度和创新性两个维度具有压倒性优势，</w:t>
      </w:r>
      <w:r>
        <w:rPr>
          <w:lang w:eastAsia="zh-CN"/>
        </w:rPr>
        <w:t xml:space="preserve"> </w:t>
      </w:r>
      <w:r>
        <w:rPr>
          <w:rFonts w:hint="eastAsia"/>
          <w:lang w:eastAsia="zh-CN"/>
        </w:rPr>
        <w:t>其全球观众规模远超其他候选项目，</w:t>
      </w:r>
      <w:r>
        <w:rPr>
          <w:lang w:eastAsia="zh-CN"/>
        </w:rPr>
        <w:t xml:space="preserve"> </w:t>
      </w:r>
      <w:r>
        <w:rPr>
          <w:rFonts w:hint="eastAsia"/>
          <w:lang w:eastAsia="zh-CN"/>
        </w:rPr>
        <w:t>且作为数字化时代的标志性新兴项目，</w:t>
      </w:r>
      <w:r>
        <w:rPr>
          <w:lang w:eastAsia="zh-CN"/>
        </w:rPr>
        <w:t xml:space="preserve"> </w:t>
      </w:r>
      <w:r>
        <w:rPr>
          <w:rFonts w:hint="eastAsia"/>
          <w:lang w:eastAsia="zh-CN"/>
        </w:rPr>
        <w:t>创新性评分达到满分。</w:t>
      </w:r>
      <w:r>
        <w:rPr>
          <w:lang w:eastAsia="zh-CN"/>
        </w:rPr>
        <w:t xml:space="preserve"> </w:t>
      </w:r>
      <w:r>
        <w:rPr>
          <w:rFonts w:hint="eastAsia"/>
          <w:lang w:eastAsia="zh-CN"/>
        </w:rPr>
        <w:t>板球尽管在流行度上不及电子竞技，</w:t>
      </w:r>
      <w:r>
        <w:rPr>
          <w:lang w:eastAsia="zh-CN"/>
        </w:rPr>
        <w:t xml:space="preserve"> </w:t>
      </w:r>
      <w:r>
        <w:rPr>
          <w:rFonts w:hint="eastAsia"/>
          <w:lang w:eastAsia="zh-CN"/>
        </w:rPr>
        <w:t>但其在包容性和可持续性方面表现较好，</w:t>
      </w:r>
      <w:r>
        <w:rPr>
          <w:lang w:eastAsia="zh-CN"/>
        </w:rPr>
        <w:t xml:space="preserve"> </w:t>
      </w:r>
      <w:r>
        <w:rPr>
          <w:rFonts w:hint="eastAsia"/>
          <w:lang w:eastAsia="zh-CN"/>
        </w:rPr>
        <w:t>且入选2028年洛杉矶奥运会的决定进一步增强了其进入2032年奥运会的预期。</w:t>
      </w:r>
      <w:r>
        <w:rPr>
          <w:lang w:eastAsia="zh-CN"/>
        </w:rPr>
        <w:t xml:space="preserve"> </w:t>
      </w:r>
      <w:r>
        <w:rPr>
          <w:rFonts w:hint="eastAsia"/>
          <w:lang w:eastAsia="zh-CN"/>
        </w:rPr>
        <w:t>匹克球虽然在绝对评分上较低，</w:t>
      </w:r>
      <w:r>
        <w:rPr>
          <w:lang w:eastAsia="zh-CN"/>
        </w:rPr>
        <w:t xml:space="preserve"> </w:t>
      </w:r>
      <w:r>
        <w:rPr>
          <w:rFonts w:hint="eastAsia"/>
          <w:lang w:eastAsia="zh-CN"/>
        </w:rPr>
        <w:t>但其参与门槛低、</w:t>
      </w:r>
      <w:r>
        <w:rPr>
          <w:lang w:eastAsia="zh-CN"/>
        </w:rPr>
        <w:t xml:space="preserve"> </w:t>
      </w:r>
      <w:r>
        <w:rPr>
          <w:rFonts w:hint="eastAsia"/>
          <w:lang w:eastAsia="zh-CN"/>
        </w:rPr>
        <w:t>设施要求简单、</w:t>
      </w:r>
      <w:r>
        <w:rPr>
          <w:lang w:eastAsia="zh-CN"/>
        </w:rPr>
        <w:t xml:space="preserve"> </w:t>
      </w:r>
      <w:r>
        <w:rPr>
          <w:rFonts w:hint="eastAsia"/>
          <w:lang w:eastAsia="zh-CN"/>
        </w:rPr>
        <w:t>男女老少皆宜的特点使其在可持续性和包容性维度获得了不错的表现，</w:t>
      </w:r>
      <w:r>
        <w:rPr>
          <w:lang w:eastAsia="zh-CN"/>
        </w:rPr>
        <w:t xml:space="preserve"> </w:t>
      </w:r>
      <w:r>
        <w:rPr>
          <w:rFonts w:hint="eastAsia"/>
          <w:lang w:eastAsia="zh-CN"/>
        </w:rPr>
        <w:t>体现了新兴运动的发展潜力。</w:t>
      </w:r>
      <w:r>
        <w:rPr>
          <w:lang w:eastAsia="zh-CN"/>
        </w:rPr>
        <w:t xml:space="preserve"> </w:t>
      </w:r>
      <w:r>
        <w:rPr>
          <w:rFonts w:hint="eastAsia"/>
          <w:lang w:eastAsia="zh-CN"/>
        </w:rPr>
        <w:t>此外考虑到2032年主办国澳大利亚的本地因素，</w:t>
      </w:r>
      <w:r>
        <w:rPr>
          <w:lang w:eastAsia="zh-CN"/>
        </w:rPr>
        <w:t xml:space="preserve"> </w:t>
      </w:r>
      <w:r>
        <w:rPr>
          <w:rFonts w:hint="eastAsia"/>
          <w:lang w:eastAsia="zh-CN"/>
        </w:rPr>
        <w:t>澳式足球作为在澳大利亚具有极高人气的本土运动也具有不可忽视的竞争力，</w:t>
      </w:r>
      <w:r>
        <w:rPr>
          <w:lang w:eastAsia="zh-CN"/>
        </w:rPr>
        <w:t xml:space="preserve"> </w:t>
      </w:r>
      <w:r>
        <w:rPr>
          <w:rFonts w:hint="eastAsia"/>
          <w:lang w:eastAsia="zh-CN"/>
        </w:rPr>
        <w:t>虽然其全球流行度有限，</w:t>
      </w:r>
      <w:r>
        <w:rPr>
          <w:lang w:eastAsia="zh-CN"/>
        </w:rPr>
        <w:t xml:space="preserve"> </w:t>
      </w:r>
      <w:r>
        <w:rPr>
          <w:rFonts w:hint="eastAsia"/>
          <w:lang w:eastAsia="zh-CN"/>
        </w:rPr>
        <w:t>但在主办国语境下IOC通常会考虑一定程度的本土特色元素。</w:t>
      </w:r>
    </w:p>
    <w:p w14:paraId="4887EEAB">
      <w:pPr>
        <w:pStyle w:val="35"/>
        <w:ind w:firstLine="480"/>
        <w:rPr>
          <w:lang w:eastAsia="zh-CN"/>
        </w:rPr>
      </w:pPr>
      <w:r>
        <w:rPr>
          <w:rFonts w:hint="eastAsia"/>
          <w:lang w:eastAsia="zh-CN"/>
        </w:rPr>
        <w:t>值得注意的是，电子竞技在第4.3.2节的12项目评估中以0.743分位列第二，本节作为候选项目的独立评估下仍居首位，两种场景下评估结果的一致性进一步支持了其在未来奥运项目讨论中的竞争力。</w:t>
      </w:r>
    </w:p>
    <w:bookmarkEnd w:id="157"/>
    <w:bookmarkEnd w:id="159"/>
    <w:p w14:paraId="21DBEEFE">
      <w:pPr>
        <w:pStyle w:val="4"/>
        <w:rPr>
          <w:rFonts w:hint="eastAsia"/>
          <w:lang w:eastAsia="zh-CN"/>
        </w:rPr>
      </w:pPr>
      <w:bookmarkStart w:id="162" w:name="_Toc229523254"/>
      <w:bookmarkStart w:id="163" w:name="结果讨论"/>
      <w:r>
        <w:rPr>
          <w:rStyle w:val="62"/>
          <w:rFonts w:ascii="黑体" w:hAnsi="黑体" w:eastAsia="黑体"/>
          <w:sz w:val="28"/>
          <w:szCs w:val="28"/>
          <w:lang w:eastAsia="zh-CN"/>
        </w:rPr>
        <w:t>4.8</w:t>
      </w:r>
      <w:r>
        <w:rPr>
          <w:lang w:eastAsia="zh-CN"/>
        </w:rPr>
        <w:tab/>
      </w:r>
      <w:r>
        <w:rPr>
          <w:lang w:eastAsia="zh-CN"/>
        </w:rPr>
        <w:t>结果讨论</w:t>
      </w:r>
      <w:bookmarkEnd w:id="162"/>
    </w:p>
    <w:p w14:paraId="0D6C3ABA">
      <w:pPr>
        <w:pStyle w:val="5"/>
        <w:rPr>
          <w:rFonts w:hint="eastAsia"/>
          <w:lang w:eastAsia="zh-CN"/>
        </w:rPr>
      </w:pPr>
      <w:bookmarkStart w:id="164" w:name="模型优势"/>
      <w:r>
        <w:rPr>
          <w:rStyle w:val="62"/>
          <w:rFonts w:ascii="黑体" w:hAnsi="黑体" w:eastAsia="黑体"/>
          <w:lang w:eastAsia="zh-CN"/>
        </w:rPr>
        <w:t>4.8.1</w:t>
      </w:r>
      <w:r>
        <w:rPr>
          <w:lang w:eastAsia="zh-CN"/>
        </w:rPr>
        <w:tab/>
      </w:r>
      <w:r>
        <w:rPr>
          <w:lang w:eastAsia="zh-CN"/>
        </w:rPr>
        <w:t>模型优势</w:t>
      </w:r>
    </w:p>
    <w:p w14:paraId="0C15AABE">
      <w:pPr>
        <w:pStyle w:val="35"/>
        <w:ind w:firstLine="480"/>
        <w:rPr>
          <w:lang w:eastAsia="zh-CN"/>
        </w:rPr>
      </w:pPr>
      <w:r>
        <w:rPr>
          <w:lang w:eastAsia="zh-CN"/>
        </w:rPr>
        <w:t>综合上述实验结果，混合权重模型在奥运项目评估中主要体现了三方面优势。 第一，主客观信息实现了有效融合。 纯AHP方法过于依赖专家经验，排名结果由流行度主导；纯EWM方法完全依赖数据，可能高估数据噪声的影响。 混合权重通过</w:t>
      </w:r>
      <m:oMath>
        <m:r>
          <m:rPr/>
          <w:rPr>
            <w:rFonts w:ascii="Cambria Math" w:hAnsi="Cambria Math"/>
            <w:lang w:eastAsia="zh-CN"/>
          </w:rPr>
          <m:t>α</m:t>
        </m:r>
        <m:r>
          <m:rPr>
            <m:sty m:val="p"/>
          </m:rPr>
          <w:rPr>
            <w:rFonts w:ascii="Cambria Math" w:hAnsi="Cambria Math"/>
            <w:lang w:eastAsia="zh-CN"/>
          </w:rPr>
          <m:t>=0.5</m:t>
        </m:r>
      </m:oMath>
      <w:r>
        <w:rPr>
          <w:lang w:eastAsia="zh-CN"/>
        </w:rPr>
        <w:t xml:space="preserve">的等权组合， 既保留了专家对关键维度的判断， 又引入了数据对指标区分度的测量， 权重分布更为平衡合理。 第二，两层结构提供了较好的灵活性。 顶层混合权重确保六个维度的评估有据可依， 底层纯EWM使子指标能够根据数据特征动态调整权重， 这种设计在不同数据质量条件下均能保持稳定运行。 第三，灵敏度分析验证了结果的稳健性。 </w:t>
      </w:r>
      <m:oMath>
        <m:r>
          <m:rPr/>
          <w:rPr>
            <w:rFonts w:ascii="Cambria Math" w:hAnsi="Cambria Math"/>
            <w:lang w:eastAsia="zh-CN"/>
          </w:rPr>
          <m:t>α</m:t>
        </m:r>
      </m:oMath>
      <w:r>
        <w:rPr>
          <w:lang w:eastAsia="zh-CN"/>
        </w:rPr>
        <w:t>在0.4到0.6之间前5名排名保持不变， 单项权重</w:t>
      </w:r>
      <m:oMath>
        <m:r>
          <m:rPr>
            <m:sty m:val="p"/>
          </m:rPr>
          <w:rPr>
            <w:rFonts w:ascii="Cambria Math" w:hAnsi="Cambria Math"/>
            <w:lang w:eastAsia="zh-CN"/>
          </w:rPr>
          <m:t>±10</m:t>
        </m:r>
      </m:oMath>
      <w:r>
        <w:rPr>
          <w:lang w:eastAsia="zh-CN"/>
        </w:rPr>
        <w:t>扰动下排名基本稳定， 说明评估结果并非依赖特定参数设置。</w:t>
      </w:r>
    </w:p>
    <w:bookmarkEnd w:id="164"/>
    <w:p w14:paraId="36440534">
      <w:pPr>
        <w:pStyle w:val="5"/>
        <w:rPr>
          <w:rFonts w:hint="eastAsia"/>
          <w:lang w:eastAsia="zh-CN"/>
        </w:rPr>
      </w:pPr>
      <w:bookmarkStart w:id="165" w:name="模型局限"/>
      <w:r>
        <w:rPr>
          <w:rStyle w:val="62"/>
          <w:rFonts w:ascii="黑体" w:hAnsi="黑体" w:eastAsia="黑体"/>
          <w:lang w:eastAsia="zh-CN"/>
        </w:rPr>
        <w:t>4.8.2</w:t>
      </w:r>
      <w:r>
        <w:rPr>
          <w:lang w:eastAsia="zh-CN"/>
        </w:rPr>
        <w:tab/>
      </w:r>
      <w:r>
        <w:rPr>
          <w:lang w:eastAsia="zh-CN"/>
        </w:rPr>
        <w:t>模型局限</w:t>
      </w:r>
    </w:p>
    <w:p w14:paraId="6A886EFC">
      <w:pPr>
        <w:pStyle w:val="35"/>
        <w:ind w:firstLine="480"/>
        <w:rPr>
          <w:lang w:eastAsia="zh-CN"/>
        </w:rPr>
      </w:pPr>
      <w:r>
        <w:rPr>
          <w:rFonts w:hint="eastAsia"/>
          <w:lang w:eastAsia="zh-CN"/>
        </w:rPr>
        <w:t>尽管模型在实验中表现良好，但仍存在以下局限性。</w:t>
      </w:r>
      <w:r>
        <w:rPr>
          <w:lang w:eastAsia="zh-CN"/>
        </w:rPr>
        <w:t xml:space="preserve"> </w:t>
      </w:r>
      <w:r>
        <w:rPr>
          <w:rFonts w:hint="eastAsia"/>
          <w:lang w:eastAsia="zh-CN"/>
        </w:rPr>
        <w:t>第一，性别平等和安全性两个维度的数据对部分运动的覆盖尚不全面。</w:t>
      </w:r>
      <w:r>
        <w:rPr>
          <w:lang w:eastAsia="zh-CN"/>
        </w:rPr>
        <w:t xml:space="preserve"> </w:t>
      </w:r>
      <w:r>
        <w:rPr>
          <w:rFonts w:hint="eastAsia"/>
          <w:lang w:eastAsia="zh-CN"/>
        </w:rPr>
        <w:t>性别平等评分主要依赖于IOC官方报告，</w:t>
      </w:r>
      <w:r>
        <w:rPr>
          <w:lang w:eastAsia="zh-CN"/>
        </w:rPr>
        <w:t xml:space="preserve"> </w:t>
      </w:r>
      <w:r>
        <w:rPr>
          <w:rFonts w:hint="eastAsia"/>
          <w:lang w:eastAsia="zh-CN"/>
        </w:rPr>
        <w:t>对于非奥运项目只能通过行业报告进行估算；</w:t>
      </w:r>
      <w:r>
        <w:rPr>
          <w:lang w:eastAsia="zh-CN"/>
        </w:rPr>
        <w:t xml:space="preserve"> </w:t>
      </w:r>
      <w:r>
        <w:rPr>
          <w:rFonts w:hint="eastAsia"/>
          <w:lang w:eastAsia="zh-CN"/>
        </w:rPr>
        <w:t>安全性评分主要参考现有学术文献，</w:t>
      </w:r>
      <w:r>
        <w:rPr>
          <w:lang w:eastAsia="zh-CN"/>
        </w:rPr>
        <w:t xml:space="preserve"> </w:t>
      </w:r>
      <w:r>
        <w:rPr>
          <w:rFonts w:hint="eastAsia"/>
          <w:lang w:eastAsia="zh-CN"/>
        </w:rPr>
        <w:t>但部分新兴运动的相关研究数据相对有限。</w:t>
      </w:r>
      <w:r>
        <w:rPr>
          <w:lang w:eastAsia="zh-CN"/>
        </w:rPr>
        <w:t xml:space="preserve"> </w:t>
      </w:r>
      <w:r>
        <w:rPr>
          <w:rFonts w:hint="eastAsia"/>
          <w:lang w:eastAsia="zh-CN"/>
        </w:rPr>
        <w:t>第二，</w:t>
      </w:r>
      <w:r>
        <w:rPr>
          <w:lang w:eastAsia="zh-CN"/>
        </w:rPr>
        <w:t xml:space="preserve"> </w:t>
      </w:r>
      <w:r>
        <w:rPr>
          <w:rFonts w:hint="eastAsia"/>
          <w:lang w:eastAsia="zh-CN"/>
        </w:rPr>
        <w:t>模型在本质上是一个基于历史数据的静态评估工具，</w:t>
      </w:r>
      <w:r>
        <w:rPr>
          <w:lang w:eastAsia="zh-CN"/>
        </w:rPr>
        <w:t xml:space="preserve"> </w:t>
      </w:r>
      <w:r>
        <w:rPr>
          <w:rFonts w:hint="eastAsia"/>
          <w:lang w:eastAsia="zh-CN"/>
        </w:rPr>
        <w:t>而奥运项目的选择过程还受到主办国偏好、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这些因素在当前指标体系中的体现尚不充分。</w:t>
      </w:r>
    </w:p>
    <w:p w14:paraId="0F16A440">
      <w:pPr>
        <w:pStyle w:val="35"/>
        <w:ind w:firstLine="480"/>
        <w:rPr>
          <w:lang w:eastAsia="zh-CN"/>
        </w:rPr>
      </w:pPr>
      <w:r>
        <w:rPr>
          <w:rFonts w:hint="eastAsia"/>
          <w:lang w:eastAsia="zh-CN"/>
        </w:rPr>
        <w:t>第三，需要特别指出的是，EWM的性质决定了其客观权重完全由所选样本的指标变异程度决定。</w:t>
      </w:r>
      <w:r>
        <w:rPr>
          <w:lang w:eastAsia="zh-CN"/>
        </w:rPr>
        <w:t xml:space="preserve"> </w:t>
      </w:r>
      <w:r>
        <w:rPr>
          <w:rFonts w:hint="eastAsia"/>
          <w:lang w:eastAsia="zh-CN"/>
        </w:rPr>
        <w:t>本研究选取了涵盖核心（4）、新增（4）、候选（2）和已移除（2）四种类型的12个项目，这一样本构成在IOC奥运会项目管理框架</w:t>
      </w:r>
      <w:r>
        <w:rPr>
          <w:vertAlign w:val="superscript"/>
          <w:lang w:eastAsia="zh-CN"/>
        </w:rPr>
        <w:t>[2]</w:t>
      </w:r>
      <w:r>
        <w:rPr>
          <w:rFonts w:hint="eastAsia"/>
          <w:lang w:eastAsia="zh-CN"/>
        </w:rPr>
        <w:t>下具有明确的分类依据，但样本选择本身会影响EWM的权重分布。</w:t>
      </w:r>
      <w:r>
        <w:rPr>
          <w:lang w:eastAsia="zh-CN"/>
        </w:rPr>
        <w:t xml:space="preserve"> </w:t>
      </w:r>
      <w:r>
        <w:rPr>
          <w:rFonts w:hint="eastAsia"/>
          <w:lang w:eastAsia="zh-CN"/>
        </w:rPr>
        <w:t>具体而言，四类项目在场馆基础设施需求、全球参与度、奥运历史长度等方面存在结构性差异，这些差异被EWM识别为指标的"信息量"，从而决定了客观权重的分配。例如，可持续性的信息熵最低（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lang w:eastAsia="zh-CN"/>
        </w:rPr>
        <w:t>），正是因为四种类型项目对该维度的依赖程度天然不同。</w:t>
      </w:r>
      <w:r>
        <w:rPr>
          <w:lang w:eastAsia="zh-CN"/>
        </w:rPr>
        <w:t xml:space="preserve"> </w:t>
      </w:r>
      <w:r>
        <w:rPr>
          <w:rFonts w:hint="eastAsia"/>
          <w:lang w:eastAsia="zh-CN"/>
        </w:rPr>
        <w:t>如果仅选择田径、游泳、体操、击剑等核心项目，可持续性的变异程度将大幅降低，信息熵升高，EWM分配给可持续性的权重将随之下降。</w:t>
      </w:r>
      <w:r>
        <w:rPr>
          <w:lang w:eastAsia="zh-CN"/>
        </w:rPr>
        <w:t xml:space="preserve"> </w:t>
      </w:r>
      <w:r>
        <w:rPr>
          <w:rFonts w:hint="eastAsia"/>
          <w:lang w:eastAsia="zh-CN"/>
        </w:rPr>
        <w:t>因此，EWM的权重反映了"12个特定项目在这些维度上的差异有多大"，而非维度的普遍重要性。</w:t>
      </w:r>
      <w:r>
        <w:rPr>
          <w:lang w:eastAsia="zh-CN"/>
        </w:rPr>
        <w:t xml:space="preserve"> </w:t>
      </w:r>
      <w:r>
        <w:rPr>
          <w:rFonts w:hint="eastAsia"/>
          <w:lang w:eastAsia="zh-CN"/>
        </w:rPr>
        <w:t>本研究选择覆盖IOC管理体系中的全部四种项目类型，是为了在评估框架中纳入不同发展阶段和不同IOC定位的项目，从而使EWM能够从多样化的样本中提取具有区分能力的信息。</w:t>
      </w:r>
      <w:r>
        <w:rPr>
          <w:lang w:eastAsia="zh-CN"/>
        </w:rPr>
        <w:t xml:space="preserve"> </w:t>
      </w:r>
      <w:r>
        <w:rPr>
          <w:rFonts w:hint="eastAsia"/>
          <w:lang w:eastAsia="zh-CN"/>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63"/>
    <w:bookmarkEnd w:id="165"/>
    <w:p w14:paraId="72A7D189">
      <w:pPr>
        <w:pStyle w:val="4"/>
        <w:rPr>
          <w:rFonts w:hint="eastAsia"/>
          <w:lang w:eastAsia="zh-CN"/>
        </w:rPr>
      </w:pPr>
      <w:bookmarkStart w:id="166" w:name="_Toc229523255"/>
      <w:bookmarkStart w:id="167" w:name="本章小结-1"/>
      <w:r>
        <w:rPr>
          <w:rStyle w:val="62"/>
          <w:rFonts w:ascii="黑体" w:hAnsi="黑体" w:eastAsia="黑体"/>
          <w:sz w:val="28"/>
          <w:szCs w:val="28"/>
          <w:lang w:eastAsia="zh-CN"/>
        </w:rPr>
        <w:t>4.9</w:t>
      </w:r>
      <w:r>
        <w:rPr>
          <w:lang w:eastAsia="zh-CN"/>
        </w:rPr>
        <w:tab/>
      </w:r>
      <w:r>
        <w:rPr>
          <w:lang w:eastAsia="zh-CN"/>
        </w:rPr>
        <w:t>本章小结</w:t>
      </w:r>
      <w:bookmarkEnd w:id="166"/>
    </w:p>
    <w:p w14:paraId="2B1E6E01">
      <w:pPr>
        <w:pStyle w:val="35"/>
        <w:ind w:firstLine="480"/>
        <w:rPr>
          <w:lang w:eastAsia="zh-CN"/>
        </w:rPr>
      </w:pPr>
      <w:r>
        <w:rPr>
          <w:lang w:eastAsia="zh-CN"/>
        </w:rPr>
        <w:t>本章利用HiMCM大赛提供的百年奥运设项数据及IOC官方报告等外部资料， 对第三章构建的AHP-EWM混合权重模型进行了实验验证。 具体工作包括：从HiMCM数据中提取了流行度、 可持续性、 包容性、 创新性四项指标， 从外部来源获取了性别平等和安全性两项数据， 构建了12个代表性项目的六维评分矩阵。 采用</w:t>
      </w:r>
      <m:oMath>
        <m:r>
          <m:rPr/>
          <w:rPr>
            <w:rFonts w:ascii="Cambria Math" w:hAnsi="Cambria Math"/>
            <w:lang w:eastAsia="zh-CN"/>
          </w:rPr>
          <m:t>α</m:t>
        </m:r>
        <m:r>
          <m:rPr>
            <m:sty m:val="p"/>
          </m:rPr>
          <w:rPr>
            <w:rFonts w:ascii="Cambria Math" w:hAnsi="Cambria Math"/>
            <w:lang w:eastAsia="zh-CN"/>
          </w:rPr>
          <m:t>=0.5</m:t>
        </m:r>
      </m:oMath>
      <w:r>
        <w:rPr>
          <w:lang w:eastAsia="zh-CN"/>
        </w:rPr>
        <w:t>的混合模型进行综合评分排名，结果与奥运历史演进趋势基本一致。 对比分析了AHP、EWM和混合三种方法的差异，展示了混合模型的平衡优势。 灵敏度分析表明</w:t>
      </w:r>
      <m:oMath>
        <m:r>
          <m:rPr/>
          <w:rPr>
            <w:rFonts w:ascii="Cambria Math" w:hAnsi="Cambria Math"/>
            <w:lang w:eastAsia="zh-CN"/>
          </w:rPr>
          <m:t>α</m:t>
        </m:r>
      </m:oMath>
      <w:r>
        <w:rPr>
          <w:lang w:eastAsia="zh-CN"/>
        </w:rPr>
        <w:t>在0.4至0.6之间结果保持稳定。 最后利用模型对2032年布里斯班奥运会可能新增的项目进行了预测，推荐了电子竞技、板球和匹克球。 实验结果表明，该模型在排名合理性和参数稳健性方面均具备较好性能，可为奥运项目的量化评估提供参考依据。</w:t>
      </w:r>
    </w:p>
    <w:p w14:paraId="496EF24E">
      <w:pPr>
        <w:pStyle w:val="3"/>
        <w:spacing w:before="0" w:after="0"/>
        <w:ind w:firstLine="480"/>
        <w:jc w:val="both"/>
        <w:rPr>
          <w:lang w:eastAsia="zh-CN"/>
        </w:rPr>
      </w:pPr>
    </w:p>
    <w:p w14:paraId="4052814A">
      <w:pPr>
        <w:pStyle w:val="2"/>
        <w:rPr>
          <w:lang w:eastAsia="zh-CN"/>
        </w:rPr>
      </w:pPr>
      <w:bookmarkStart w:id="168" w:name="_Toc229523256"/>
      <w:bookmarkStart w:id="169" w:name="系统设计与实现"/>
      <w:r>
        <w:rPr>
          <w:rStyle w:val="62"/>
          <w:rFonts w:eastAsia="黑体" w:asciiTheme="majorHAnsi" w:hAnsiTheme="majorHAnsi"/>
          <w:sz w:val="32"/>
          <w:szCs w:val="40"/>
          <w:lang w:eastAsia="zh-CN"/>
        </w:rPr>
        <w:t xml:space="preserve">第五章    </w:t>
      </w:r>
      <w:r>
        <w:rPr>
          <w:lang w:eastAsia="zh-CN"/>
        </w:rPr>
        <w:t>系统设计与实现</w:t>
      </w:r>
      <w:bookmarkEnd w:id="168"/>
    </w:p>
    <w:bookmarkEnd w:id="167"/>
    <w:bookmarkEnd w:id="169"/>
    <w:p w14:paraId="3836BD63">
      <w:pPr>
        <w:pStyle w:val="4"/>
        <w:rPr>
          <w:rFonts w:hint="eastAsia"/>
          <w:lang w:eastAsia="zh-CN"/>
        </w:rPr>
      </w:pPr>
      <w:bookmarkStart w:id="170" w:name="_Toc229523257"/>
      <w:bookmarkStart w:id="171" w:name="系统总体架构"/>
      <w:r>
        <w:rPr>
          <w:rStyle w:val="62"/>
          <w:rFonts w:ascii="黑体" w:hAnsi="黑体" w:eastAsia="黑体"/>
          <w:sz w:val="28"/>
          <w:szCs w:val="28"/>
          <w:lang w:eastAsia="zh-CN"/>
        </w:rPr>
        <w:t>5.1</w:t>
      </w:r>
      <w:r>
        <w:rPr>
          <w:lang w:eastAsia="zh-CN"/>
        </w:rPr>
        <w:tab/>
      </w:r>
      <w:r>
        <w:rPr>
          <w:lang w:eastAsia="zh-CN"/>
        </w:rPr>
        <w:t>系统总体架构</w:t>
      </w:r>
      <w:bookmarkEnd w:id="170"/>
    </w:p>
    <w:p w14:paraId="270C6013">
      <w:pPr>
        <w:pStyle w:val="35"/>
        <w:ind w:firstLine="480"/>
        <w:rPr>
          <w:lang w:eastAsia="zh-CN"/>
        </w:rPr>
      </w:pPr>
      <w:r>
        <w:rPr>
          <w:rFonts w:hint="eastAsia"/>
          <w:lang w:eastAsia="zh-CN"/>
        </w:rPr>
        <w:t>本系统将第三章构建的AHP-EWM混合权重评估模型转化为可交互的计算工具，按功能分为三个层次。</w:t>
      </w:r>
      <w:r>
        <w:rPr>
          <w:lang w:eastAsia="zh-CN"/>
        </w:rPr>
        <w:t xml:space="preserve"> </w:t>
      </w:r>
      <w:r>
        <w:rPr>
          <w:rFonts w:hint="eastAsia"/>
          <w:lang w:eastAsia="zh-CN"/>
        </w:rPr>
        <w:t>核心算法层实现了AHP幂迭代法、</w:t>
      </w:r>
      <w:r>
        <w:rPr>
          <w:lang w:eastAsia="zh-CN"/>
        </w:rPr>
        <w:t xml:space="preserve"> </w:t>
      </w:r>
      <w:r>
        <w:rPr>
          <w:rFonts w:hint="eastAsia"/>
          <w:lang w:eastAsia="zh-CN"/>
        </w:rPr>
        <w:t>EWM熵权计算（最小-最大归一化、比重矩阵、信息熵、信息效用值、熵权五个步骤）</w:t>
      </w:r>
      <w:r>
        <w:rPr>
          <w:lang w:eastAsia="zh-CN"/>
        </w:rPr>
        <w:t xml:space="preserve"> </w:t>
      </w:r>
      <w:r>
        <w:rPr>
          <w:rFonts w:hint="eastAsia"/>
          <w:lang w:eastAsia="zh-CN"/>
        </w:rPr>
        <w:t>和混合权重线性组合；</w:t>
      </w:r>
      <w:r>
        <w:rPr>
          <w:lang w:eastAsia="zh-CN"/>
        </w:rPr>
        <w:t xml:space="preserve"> </w:t>
      </w:r>
      <w:r>
        <w:rPr>
          <w:rFonts w:hint="eastAsia"/>
          <w:lang w:eastAsia="zh-CN"/>
        </w:rPr>
        <w:t>业务逻辑层负责项目管理、评分排序、入选概率计算和灵敏度分析；</w:t>
      </w:r>
      <w:r>
        <w:rPr>
          <w:lang w:eastAsia="zh-CN"/>
        </w:rPr>
        <w:t xml:space="preserve"> </w:t>
      </w:r>
      <w:r>
        <w:rPr>
          <w:rFonts w:hint="eastAsia"/>
          <w:lang w:eastAsia="zh-CN"/>
        </w:rPr>
        <w:t>展示层提供综合评分排名、权重分布可视化、六维雷达对比和交互式What-If仿真。</w:t>
      </w:r>
      <w:r>
        <w:rPr>
          <w:lang w:eastAsia="zh-CN"/>
        </w:rPr>
        <w:t xml:space="preserve"> </w:t>
      </w:r>
      <w:r>
        <w:rPr>
          <w:rFonts w:hint="eastAsia"/>
          <w:lang w:eastAsia="zh-CN"/>
        </w:rPr>
        <w:t>系统覆盖第四章使用到的全部37个奥运项目（28个核心项目、5个新增项目、6个候选项目和4个已移除项目），</w:t>
      </w:r>
      <w:r>
        <w:rPr>
          <w:lang w:eastAsia="zh-CN"/>
        </w:rPr>
        <w:t xml:space="preserve"> </w:t>
      </w:r>
      <w:r>
        <w:rPr>
          <w:rFonts w:hint="eastAsia"/>
          <w:lang w:eastAsia="zh-CN"/>
        </w:rPr>
        <w:t>其中12个代表性项目为论文主要评估对象，其六维评分数据与第四章保持一致。</w:t>
      </w:r>
    </w:p>
    <w:p w14:paraId="20CE7BF7">
      <w:pPr>
        <w:pStyle w:val="35"/>
        <w:ind w:firstLine="480"/>
        <w:rPr>
          <w:lang w:eastAsia="zh-CN"/>
        </w:rPr>
      </w:pPr>
      <w:r>
        <w:rPr>
          <w:rFonts w:hint="eastAsia"/>
          <w:lang w:eastAsia="zh-CN"/>
        </w:rPr>
        <w:t>系统的工作流程与第三章模型构建的逻辑顺序一致，分为三个递进步骤。</w:t>
      </w:r>
      <w:r>
        <w:rPr>
          <w:lang w:eastAsia="zh-CN"/>
        </w:rPr>
        <w:t xml:space="preserve"> </w:t>
      </w:r>
      <w:r>
        <w:rPr>
          <w:rFonts w:hint="eastAsia"/>
          <w:lang w:eastAsia="zh-CN"/>
        </w:rPr>
        <w:t>第一步为权重分析，系统展示AHP判断矩阵（包含五位专家权重偏好对比）和EWM计算过程（包含信息熵与效用值）和混合权重组合参数，可对比三种权重在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时的差异与平衡。</w:t>
      </w:r>
      <w:r>
        <w:rPr>
          <w:lang w:eastAsia="zh-CN"/>
        </w:rPr>
        <w:t xml:space="preserve"> </w:t>
      </w:r>
      <w:r>
        <w:rPr>
          <w:rFonts w:hint="eastAsia"/>
          <w:lang w:eastAsia="zh-CN"/>
        </w:rPr>
        <w:t>第二步为项目评估，系统基于混合权重计算37个项目的综合评分并排序，通过排名列表和雷达图对比项目表现，其中12个代表性项目的评分数据来自第四章实验验证。</w:t>
      </w:r>
      <w:r>
        <w:rPr>
          <w:lang w:eastAsia="zh-CN"/>
        </w:rPr>
        <w:t xml:space="preserve"> </w:t>
      </w:r>
      <w:r>
        <w:rPr>
          <w:rFonts w:hint="eastAsia"/>
          <w:lang w:eastAsia="zh-CN"/>
        </w:rPr>
        <w:t>第三步为预测推荐，系统基于模型评分计算入选概率并输出改进建议，重点评估电子竞技、板球、匹克球、壁球和澳式足球五个2032年候选项目。</w:t>
      </w:r>
    </w:p>
    <w:bookmarkEnd w:id="171"/>
    <w:p w14:paraId="2C767C03">
      <w:pPr>
        <w:pStyle w:val="4"/>
        <w:rPr>
          <w:rFonts w:hint="eastAsia"/>
          <w:lang w:eastAsia="zh-CN"/>
        </w:rPr>
      </w:pPr>
      <w:bookmarkStart w:id="172" w:name="_Toc229523258"/>
      <w:bookmarkStart w:id="173" w:name="核心算法模块"/>
      <w:r>
        <w:rPr>
          <w:rStyle w:val="62"/>
          <w:rFonts w:ascii="黑体" w:hAnsi="黑体" w:eastAsia="黑体"/>
          <w:sz w:val="28"/>
          <w:szCs w:val="28"/>
          <w:lang w:eastAsia="zh-CN"/>
        </w:rPr>
        <w:t>5.2</w:t>
      </w:r>
      <w:r>
        <w:rPr>
          <w:lang w:eastAsia="zh-CN"/>
        </w:rPr>
        <w:tab/>
      </w:r>
      <w:r>
        <w:rPr>
          <w:lang w:eastAsia="zh-CN"/>
        </w:rPr>
        <w:t>核心算法模块</w:t>
      </w:r>
      <w:bookmarkEnd w:id="172"/>
    </w:p>
    <w:p w14:paraId="58804B4A">
      <w:pPr>
        <w:pStyle w:val="35"/>
        <w:ind w:firstLine="480"/>
        <w:rPr>
          <w:lang w:eastAsia="zh-CN"/>
        </w:rPr>
      </w:pPr>
      <w:r>
        <w:rPr>
          <w:rFonts w:hint="eastAsia"/>
          <w:lang w:eastAsia="zh-CN"/>
        </w:rPr>
        <w:t>核心算法模块包含AHP、EWM和混合权重三个计算模块，对应第三章的理论推导流程。</w:t>
      </w:r>
    </w:p>
    <w:p w14:paraId="4CD54BAB">
      <w:pPr>
        <w:pStyle w:val="35"/>
        <w:ind w:firstLine="480"/>
        <w:rPr>
          <w:lang w:eastAsia="zh-CN"/>
        </w:rPr>
      </w:pPr>
      <w:r>
        <w:rPr>
          <w:rFonts w:hint="eastAsia"/>
          <w:lang w:eastAsia="zh-CN"/>
        </w:rPr>
        <w:t>AHP模块实现了幂迭代法求解最大特征值对应的特征向量。</w:t>
      </w:r>
      <w:r>
        <w:rPr>
          <w:lang w:eastAsia="zh-CN"/>
        </w:rPr>
        <w:t xml:space="preserve"> </w:t>
      </w:r>
      <w:r>
        <w:rPr>
          <w:rFonts w:hint="eastAsia"/>
          <w:lang w:eastAsia="zh-CN"/>
        </w:rPr>
        <w:t>将初始向量设为等权向量</w:t>
      </w:r>
      <w:r>
        <w:rPr>
          <w:lang w:eastAsia="zh-CN"/>
        </w:rPr>
        <w:t xml:space="preserve"> </w:t>
      </w:r>
      <m:oMath>
        <m:sSup>
          <m:sSupPr>
            <m:ctrlPr>
              <w:rPr>
                <w:rFonts w:ascii="Cambria Math" w:hAnsi="Cambria Math"/>
              </w:rPr>
            </m:ctrlPr>
          </m:sSupPr>
          <m:e>
            <m:r>
              <m:rPr/>
              <w:rPr>
                <w:rFonts w:ascii="Cambria Math" w:hAnsi="Cambria Math"/>
                <w:lang w:eastAsia="zh-CN"/>
              </w:rPr>
              <m:t>v</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e>
        </m:d>
      </m:oMath>
      <w:r>
        <w:rPr>
          <w:rFonts w:hint="eastAsia"/>
          <w:lang w:eastAsia="zh-CN"/>
        </w:rPr>
        <w:t>，反复执行矩阵乘法与归一化：</w:t>
      </w:r>
    </w:p>
    <w:p w14:paraId="2DC4CDA4">
      <w:pPr>
        <w:pStyle w:val="95"/>
      </w:pPr>
      <w:r>
        <w:rPr>
          <w:rFonts w:eastAsia="宋体" w:cstheme="minorBidi"/>
        </w:rPr>
        <w:tab/>
      </w:r>
      <m:oMath>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ctrlPr>
              <w:rPr>
                <w:rFonts w:ascii="Cambria Math" w:hAnsi="Cambria Math"/>
              </w:rPr>
            </m:ctrlPr>
          </m:num>
          <m:den>
            <m:r>
              <m:rPr>
                <m:sty m:val="p"/>
              </m:rPr>
              <w:rPr>
                <w:rFonts w:ascii="Cambria Math" w:hAnsi="Cambria Math"/>
              </w:rPr>
              <m:t>∥</m:t>
            </m:r>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174" w:name="eq_power_iter_code"/>
      <w:r>
        <w:rPr>
          <w:sz w:val="20"/>
        </w:rPr>
        <w:t xml:space="preserve"> </w:t>
      </w:r>
      <w:r>
        <w:rPr>
          <w:rFonts w:eastAsiaTheme="minorEastAsia"/>
          <w:sz w:val="20"/>
        </w:rPr>
        <w:tab/>
      </w:r>
      <w:r>
        <w:rPr>
          <w:rFonts w:eastAsiaTheme="minorEastAsia"/>
          <w:sz w:val="20"/>
        </w:rPr>
        <w:tab/>
      </w:r>
      <w:r>
        <w:rPr>
          <w:sz w:val="20"/>
        </w:rPr>
        <w:t>(5.1)</w:t>
      </w:r>
      <w:bookmarkEnd w:id="174"/>
    </w:p>
    <w:p w14:paraId="7211E358">
      <w:pPr>
        <w:pStyle w:val="35"/>
        <w:ind w:firstLine="480"/>
        <w:rPr>
          <w:lang w:eastAsia="zh-CN"/>
        </w:rPr>
      </w:pPr>
      <w:r>
        <w:rPr>
          <w:lang w:eastAsia="zh-CN"/>
        </w:rPr>
        <w:t xml:space="preserve">当相邻两次迭代的特征向量变化小于 </w:t>
      </w:r>
      <m:oMath>
        <m:sSup>
          <m:sSupPr>
            <m:ctrlPr>
              <w:rPr>
                <w:rFonts w:ascii="Cambria Math" w:hAnsi="Cambria Math"/>
              </w:rPr>
            </m:ctrlPr>
          </m:sSupPr>
          <m:e>
            <m:r>
              <m:rPr>
                <m:sty m:val="p"/>
              </m:rPr>
              <w:rPr>
                <w:rFonts w:ascii="Cambria Math" w:hAnsi="Cambria Math"/>
                <w:lang w:eastAsia="zh-CN"/>
              </w:rPr>
              <m:t>10</m:t>
            </m:r>
            <m:ctrlPr>
              <w:rPr>
                <w:rFonts w:ascii="Cambria Math" w:hAnsi="Cambria Math"/>
              </w:rPr>
            </m:ctrlPr>
          </m:e>
          <m:sup>
            <m:r>
              <m:rPr>
                <m:sty m:val="p"/>
              </m:rPr>
              <w:rPr>
                <w:rFonts w:ascii="Cambria Math" w:hAnsi="Cambria Math"/>
                <w:lang w:eastAsia="zh-CN"/>
              </w:rPr>
              <m:t>−10</m:t>
            </m:r>
            <m:ctrlPr>
              <w:rPr>
                <w:rFonts w:ascii="Cambria Math" w:hAnsi="Cambria Math"/>
              </w:rPr>
            </m:ctrlPr>
          </m:sup>
        </m:sSup>
      </m:oMath>
      <w:r>
        <w:rPr>
          <w:lang w:eastAsia="zh-CN"/>
        </w:rPr>
        <w:t xml:space="preserve"> 时终止， 通过瑞利商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Av</m:t>
        </m:r>
        <m:r>
          <m:rPr>
            <m:lit/>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v</m:t>
        </m:r>
      </m:oMath>
      <w:r>
        <w:rPr>
          <w:lang w:eastAsia="zh-CN"/>
        </w:rPr>
        <w:t xml:space="preserve"> 计算最大特征值， 进而得到权重向量和一致性比率。 多专家矩阵整合采用几何平均法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rPr>
              <w:rPr>
                <w:rFonts w:ascii="Cambria Math" w:hAnsi="Cambria Math"/>
                <w:lang w:eastAsia="zh-CN"/>
              </w:rPr>
              <m:t>1/</m:t>
            </m:r>
            <m:r>
              <m:rPr/>
              <w:rPr>
                <w:rFonts w:ascii="Cambria Math" w:hAnsi="Cambria Math"/>
                <w:lang w:eastAsia="zh-CN"/>
              </w:rPr>
              <m:t>k</m:t>
            </m:r>
            <m:ctrlPr>
              <w:rPr>
                <w:rFonts w:ascii="Cambria Math" w:hAnsi="Cambria Math"/>
              </w:rPr>
            </m:ctrlPr>
          </m:sup>
        </m:sSup>
      </m:oMath>
      <w:r>
        <w:rPr>
          <w:lang w:eastAsia="zh-CN"/>
        </w:rPr>
        <w:t>， 该方法天然保持判断矩阵的互反性质。</w:t>
      </w:r>
    </w:p>
    <w:p w14:paraId="334B8DD9">
      <w:pPr>
        <w:pStyle w:val="35"/>
        <w:ind w:firstLine="480"/>
        <w:rPr>
          <w:lang w:eastAsia="zh-CN"/>
        </w:rPr>
      </w:pPr>
      <w:r>
        <w:rPr>
          <w:rFonts w:hint="eastAsia"/>
          <w:lang w:eastAsia="zh-CN"/>
        </w:rPr>
        <w:t>EWM模块实现了从数据中提取客观权重的完整计算流程。首先对原始数据进行最小最大归一化：</w:t>
      </w:r>
    </w:p>
    <w:p w14:paraId="748D8071">
      <w:pPr>
        <w:pStyle w:val="9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m:sty m:val="p"/>
          </m:rPr>
          <w:rPr>
            <w:rFonts w:ascii="Cambria Math" w:hAnsi="Cambria Math"/>
          </w:rPr>
          <m:t>.</m:t>
        </m:r>
        <w:bookmarkStart w:id="175" w:name="eq_norm_pos_code"/>
        <m:r>
          <m:rPr/>
          <w:rPr>
            <w:rFonts w:ascii="Cambria Math" w:hAnsi="Cambria Math" w:eastAsiaTheme="minorEastAsia"/>
          </w:rPr>
          <m:t xml:space="preserve"> </m:t>
        </m:r>
      </m:oMath>
      <w:r>
        <w:rPr>
          <w:rFonts w:eastAsia="宋体" w:cstheme="minorBidi"/>
        </w:rPr>
        <w:tab/>
      </w:r>
      <w:r>
        <w:rPr>
          <w:rFonts w:eastAsia="宋体" w:cstheme="minorBidi"/>
        </w:rPr>
        <w:tab/>
      </w:r>
      <w:r>
        <w:rPr>
          <w:rFonts w:hint="eastAsia" w:eastAsiaTheme="minorEastAsia"/>
          <w:sz w:val="20"/>
        </w:rPr>
        <w:t>(</w:t>
      </w:r>
      <w:r>
        <w:rPr>
          <w:sz w:val="20"/>
        </w:rPr>
        <w:t>5.2)</w:t>
      </w:r>
      <w:bookmarkEnd w:id="175"/>
    </w:p>
    <w:p w14:paraId="73855B3F">
      <w:pPr>
        <w:pStyle w:val="35"/>
        <w:ind w:firstLine="480"/>
        <w:rPr>
          <w:lang w:eastAsia="zh-CN"/>
        </w:rPr>
      </w:pPr>
      <w:r>
        <w:rPr>
          <w:rFonts w:hint="eastAsia"/>
          <w:lang w:eastAsia="zh-CN"/>
        </w:rPr>
        <w:t>然后计算各指标的信息熵：</w:t>
      </w:r>
    </w:p>
    <w:p w14:paraId="5E0A64D0">
      <w:pPr>
        <w:pStyle w:val="95"/>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 xml:space="preserve"> </m:t>
        </m:r>
        <m:r>
          <m:rPr>
            <m:sty m:val="p"/>
          </m:rPr>
          <w:rPr>
            <w:rFonts w:ascii="Cambria Math" w:hAnsi="Cambria Math"/>
          </w:rPr>
          <m:t>.</m:t>
        </m:r>
        <w:bookmarkStart w:id="176" w:name="eq_entropy_code"/>
        <m:r>
          <m:rPr/>
          <w:rPr>
            <w:rFonts w:ascii="Cambria Math" w:hAnsi="Cambria Math"/>
            <w:sz w:val="20"/>
          </w:rPr>
          <m:t xml:space="preserve"> </m:t>
        </m:r>
      </m:oMath>
      <w:r>
        <w:rPr>
          <w:sz w:val="20"/>
        </w:rPr>
        <w:t xml:space="preserve"> </w:t>
      </w:r>
      <w:r>
        <w:rPr>
          <w:rFonts w:eastAsiaTheme="minorEastAsia"/>
          <w:sz w:val="20"/>
        </w:rPr>
        <w:tab/>
      </w:r>
      <w:r>
        <w:rPr>
          <w:rFonts w:eastAsiaTheme="minorEastAsia"/>
          <w:sz w:val="20"/>
        </w:rPr>
        <w:tab/>
      </w:r>
      <w:r>
        <w:rPr>
          <w:sz w:val="20"/>
        </w:rPr>
        <w:t>(5.3)</w:t>
      </w:r>
      <w:bookmarkEnd w:id="176"/>
    </w:p>
    <w:p w14:paraId="4FCA732D">
      <w:pPr>
        <w:pStyle w:val="35"/>
        <w:ind w:firstLine="480"/>
        <w:rPr>
          <w:lang w:eastAsia="zh-CN"/>
        </w:rPr>
      </w:pPr>
      <w:r>
        <w:rPr>
          <w:lang w:eastAsia="zh-CN"/>
        </w:rPr>
        <w:t xml:space="preserve">最后通过信息效用值归一化得到熵权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d>
        <m:r>
          <m:rPr>
            <m:lit/>
            <m:sty m:val="p"/>
          </m:rPr>
          <w:rPr>
            <w:rFonts w:ascii="Cambria Math" w:hAnsi="Cambria Math"/>
            <w:lang w:eastAsia="zh-CN"/>
          </w:rPr>
          <m:t>/</m:t>
        </m:r>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d>
            <m:ctrlPr>
              <w:rPr>
                <w:rFonts w:ascii="Cambria Math" w:hAnsi="Cambria Math"/>
              </w:rPr>
            </m:ctrlPr>
          </m:e>
        </m:nary>
      </m:oMath>
      <w:r>
        <w:rPr>
          <w:lang w:eastAsia="zh-CN"/>
        </w:rPr>
        <w:t>。</w:t>
      </w:r>
    </w:p>
    <w:p w14:paraId="24B1699B">
      <w:pPr>
        <w:pStyle w:val="35"/>
        <w:ind w:firstLine="480"/>
        <w:rPr>
          <w:lang w:eastAsia="zh-CN"/>
        </w:rPr>
      </w:pPr>
      <w:r>
        <w:rPr>
          <w:lang w:eastAsia="zh-CN"/>
        </w:rPr>
        <w:t xml:space="preserve">混合权重模块采用线性加权组合 </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 xml:space="preserve">， 并提供灵敏度分析功能， 展示 </w:t>
      </w:r>
      <m:oMath>
        <m:r>
          <m:rPr/>
          <w:rPr>
            <w:rFonts w:ascii="Cambria Math" w:hAnsi="Cambria Math"/>
            <w:lang w:eastAsia="zh-CN"/>
          </w:rPr>
          <m:t>α</m:t>
        </m:r>
      </m:oMath>
      <w:r>
        <w:rPr>
          <w:lang w:eastAsia="zh-CN"/>
        </w:rPr>
        <w:t xml:space="preserve"> 从0到1变化时各项目排名的波动情况。</w:t>
      </w:r>
    </w:p>
    <w:bookmarkEnd w:id="173"/>
    <w:p w14:paraId="452D1422">
      <w:pPr>
        <w:pStyle w:val="4"/>
        <w:rPr>
          <w:rFonts w:hint="eastAsia"/>
          <w:lang w:eastAsia="zh-CN"/>
        </w:rPr>
      </w:pPr>
      <w:bookmarkStart w:id="177" w:name="_Toc229523259"/>
      <w:bookmarkStart w:id="178" w:name="项目评估与预测模块"/>
      <w:r>
        <w:rPr>
          <w:rStyle w:val="62"/>
          <w:rFonts w:ascii="黑体" w:hAnsi="黑体" w:eastAsia="黑体"/>
          <w:sz w:val="28"/>
          <w:szCs w:val="28"/>
          <w:lang w:eastAsia="zh-CN"/>
        </w:rPr>
        <w:t>5.3</w:t>
      </w:r>
      <w:r>
        <w:rPr>
          <w:lang w:eastAsia="zh-CN"/>
        </w:rPr>
        <w:tab/>
      </w:r>
      <w:r>
        <w:rPr>
          <w:lang w:eastAsia="zh-CN"/>
        </w:rPr>
        <w:t>项目评估与预测模块</w:t>
      </w:r>
      <w:bookmarkEnd w:id="177"/>
    </w:p>
    <w:p w14:paraId="6D6A385C">
      <w:pPr>
        <w:pStyle w:val="35"/>
        <w:ind w:firstLine="480"/>
        <w:rPr>
          <w:lang w:eastAsia="zh-CN"/>
        </w:rPr>
      </w:pPr>
      <w:r>
        <w:rPr>
          <w:rFonts w:hint="eastAsia"/>
          <w:lang w:eastAsia="zh-CN"/>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1F0123B9">
      <w:pPr>
        <w:pStyle w:val="35"/>
        <w:ind w:firstLine="480"/>
        <w:rPr>
          <w:lang w:eastAsia="zh-CN"/>
        </w:rPr>
      </w:pPr>
      <w:r>
        <w:rPr>
          <w:rFonts w:hint="eastAsia"/>
          <w:lang w:eastAsia="zh-CN"/>
        </w:rPr>
        <w:t>入选概率采用Logistic函数将综合评分映射至</w:t>
      </w:r>
      <w:r>
        <w:rPr>
          <w:lang w:eastAsia="zh-CN"/>
        </w:rPr>
        <w:t xml:space="preserve">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lang w:eastAsia="zh-CN"/>
        </w:rPr>
        <w:t xml:space="preserve"> </w:t>
      </w:r>
      <w:r>
        <w:rPr>
          <w:rFonts w:hint="eastAsia"/>
          <w:lang w:eastAsia="zh-CN"/>
        </w:rPr>
        <w:t>区间：</w:t>
      </w:r>
    </w:p>
    <w:p w14:paraId="09C44541">
      <w:pPr>
        <w:pStyle w:val="95"/>
      </w:pPr>
      <w:r>
        <w:rPr>
          <w:rFonts w:eastAsia="宋体" w:cstheme="minorBidi"/>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2</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μ</m:t>
            </m:r>
            <m:ctrlPr>
              <w:rPr>
                <w:rFonts w:ascii="Cambria Math" w:hAnsi="Cambria Math"/>
              </w:rPr>
            </m:ctrlPr>
          </m:num>
          <m:den>
            <m:r>
              <m:rPr/>
              <w:rPr>
                <w:rFonts w:ascii="Cambria Math" w:hAnsi="Cambria Math"/>
              </w:rPr>
              <m:t>σ</m:t>
            </m:r>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179" w:name="eq_prob_code"/>
      <w:r>
        <w:rPr>
          <w:sz w:val="20"/>
        </w:rPr>
        <w:t xml:space="preserve"> </w:t>
      </w:r>
      <w:r>
        <w:rPr>
          <w:rFonts w:eastAsiaTheme="minorEastAsia"/>
          <w:sz w:val="20"/>
        </w:rPr>
        <w:tab/>
      </w:r>
      <w:r>
        <w:rPr>
          <w:rFonts w:eastAsiaTheme="minorEastAsia"/>
          <w:sz w:val="20"/>
        </w:rPr>
        <w:tab/>
      </w:r>
      <w:r>
        <w:rPr>
          <w:rFonts w:hint="eastAsia" w:eastAsiaTheme="minorEastAsia"/>
          <w:sz w:val="20"/>
        </w:rPr>
        <w:t>-</w:t>
      </w:r>
      <w:r>
        <w:rPr>
          <w:sz w:val="20"/>
        </w:rPr>
        <w:t>(5.4)</w:t>
      </w:r>
      <w:bookmarkEnd w:id="179"/>
    </w:p>
    <w:p w14:paraId="49A1884F">
      <w:pPr>
        <w:pStyle w:val="35"/>
        <w:ind w:firstLine="480"/>
        <w:rPr>
          <w:lang w:eastAsia="zh-CN"/>
        </w:rPr>
      </w:pPr>
      <w:r>
        <w:rPr>
          <w:lang w:eastAsia="zh-CN"/>
        </w:rPr>
        <w:t xml:space="preserve">其中 </w:t>
      </w:r>
      <m:oMath>
        <m:r>
          <m:rPr/>
          <w:rPr>
            <w:rFonts w:ascii="Cambria Math" w:hAnsi="Cambria Math"/>
            <w:lang w:eastAsia="zh-CN"/>
          </w:rPr>
          <m:t>μ</m:t>
        </m:r>
      </m:oMath>
      <w:r>
        <w:rPr>
          <w:lang w:eastAsia="zh-CN"/>
        </w:rPr>
        <w:t>、</w:t>
      </w:r>
      <m:oMath>
        <m:r>
          <m:rPr/>
          <w:rPr>
            <w:rFonts w:ascii="Cambria Math" w:hAnsi="Cambria Math"/>
            <w:lang w:eastAsia="zh-CN"/>
          </w:rPr>
          <m:t>σ</m:t>
        </m:r>
      </m:oMath>
      <w:r>
        <w:rPr>
          <w:lang w:eastAsia="zh-CN"/>
        </w:rPr>
        <w:t xml:space="preserve"> 分别为所有项目评分的均值和标准差。 概率值 </w:t>
      </w:r>
      <m:oMath>
        <m:r>
          <m:rPr>
            <m:sty m:val="p"/>
          </m:rPr>
          <w:rPr>
            <w:rFonts w:ascii="Cambria Math" w:hAnsi="Cambria Math"/>
            <w:lang w:eastAsia="zh-CN"/>
          </w:rPr>
          <m:t>≥0.7</m:t>
        </m:r>
      </m:oMath>
      <w:r>
        <w:rPr>
          <w:lang w:eastAsia="zh-CN"/>
        </w:rPr>
        <w:t xml:space="preserve"> 视为高概率入选，</w:t>
      </w:r>
      <m:oMath>
        <m:r>
          <m:rPr>
            <m:sty m:val="p"/>
          </m:rPr>
          <w:rPr>
            <w:rFonts w:ascii="Cambria Math" w:hAnsi="Cambria Math"/>
            <w:lang w:eastAsia="zh-CN"/>
          </w:rPr>
          <m:t>&lt;0.4</m:t>
        </m:r>
      </m:oMath>
      <w:r>
        <w:rPr>
          <w:lang w:eastAsia="zh-CN"/>
        </w:rPr>
        <w:t xml:space="preserve"> 视为可能淘汰。</w:t>
      </w:r>
    </w:p>
    <w:bookmarkEnd w:id="178"/>
    <w:p w14:paraId="54F7134B">
      <w:pPr>
        <w:pStyle w:val="4"/>
        <w:rPr>
          <w:rFonts w:hint="eastAsia"/>
          <w:lang w:eastAsia="zh-CN"/>
        </w:rPr>
      </w:pPr>
      <w:bookmarkStart w:id="180" w:name="_Toc229523260"/>
      <w:bookmarkStart w:id="181" w:name="本章小结-2"/>
      <w:r>
        <w:rPr>
          <w:rStyle w:val="62"/>
          <w:rFonts w:ascii="黑体" w:hAnsi="黑体" w:eastAsia="黑体"/>
          <w:sz w:val="28"/>
          <w:szCs w:val="28"/>
          <w:lang w:eastAsia="zh-CN"/>
        </w:rPr>
        <w:t>5.4</w:t>
      </w:r>
      <w:r>
        <w:rPr>
          <w:lang w:eastAsia="zh-CN"/>
        </w:rPr>
        <w:tab/>
      </w:r>
      <w:r>
        <w:rPr>
          <w:lang w:eastAsia="zh-CN"/>
        </w:rPr>
        <w:t>本章小结</w:t>
      </w:r>
      <w:bookmarkEnd w:id="180"/>
    </w:p>
    <w:p w14:paraId="25AC00DC">
      <w:pPr>
        <w:pStyle w:val="35"/>
        <w:ind w:firstLine="480"/>
        <w:rPr>
          <w:lang w:eastAsia="zh-CN"/>
        </w:rPr>
      </w:pPr>
      <w:r>
        <w:rPr>
          <w:lang w:eastAsia="zh-CN"/>
        </w:rPr>
        <w:t>本章介绍了奥运项目评估与预测系统的功能设计。 系统覆盖37个项目（核心28个、新增5个、候选6个、已移除4个）的六维评分数据， 其中12个代表性项目为核心评估对象。 实现了幂迭代法求解、信息熵计算、灵敏度分析等核心计算流程， 以及综合评分排序、六维雷达对比、What-If仿真和入选概率预测等分析功能。 系统数据与第四章的实验数据保持一致，为奥运项目评估提供了一个可交互的量化决策辅助工具。</w:t>
      </w:r>
    </w:p>
    <w:p w14:paraId="550C981A">
      <w:pPr>
        <w:pStyle w:val="2"/>
        <w:rPr>
          <w:lang w:eastAsia="zh-CN"/>
        </w:rPr>
      </w:pPr>
      <w:bookmarkStart w:id="182" w:name="_Toc229523261"/>
      <w:bookmarkStart w:id="183" w:name="总结与展望"/>
      <w:r>
        <w:rPr>
          <w:rStyle w:val="62"/>
          <w:rFonts w:eastAsia="黑体" w:asciiTheme="majorHAnsi" w:hAnsiTheme="majorHAnsi"/>
          <w:sz w:val="32"/>
          <w:szCs w:val="40"/>
          <w:lang w:eastAsia="zh-CN"/>
        </w:rPr>
        <w:t xml:space="preserve">第六章    </w:t>
      </w:r>
      <w:r>
        <w:rPr>
          <w:lang w:eastAsia="zh-CN"/>
        </w:rPr>
        <w:t>总结与展望</w:t>
      </w:r>
      <w:bookmarkEnd w:id="182"/>
    </w:p>
    <w:bookmarkEnd w:id="181"/>
    <w:bookmarkEnd w:id="183"/>
    <w:p w14:paraId="5F33F988">
      <w:pPr>
        <w:pStyle w:val="4"/>
        <w:rPr>
          <w:rFonts w:hint="eastAsia"/>
          <w:lang w:eastAsia="zh-CN"/>
        </w:rPr>
      </w:pPr>
      <w:bookmarkStart w:id="184" w:name="_Toc229523262"/>
      <w:bookmarkStart w:id="185" w:name="研究总结"/>
      <w:r>
        <w:rPr>
          <w:rStyle w:val="62"/>
          <w:rFonts w:ascii="黑体" w:hAnsi="黑体" w:eastAsia="黑体"/>
          <w:sz w:val="28"/>
          <w:szCs w:val="28"/>
          <w:lang w:eastAsia="zh-CN"/>
        </w:rPr>
        <w:t>6.1</w:t>
      </w:r>
      <w:r>
        <w:rPr>
          <w:lang w:eastAsia="zh-CN"/>
        </w:rPr>
        <w:tab/>
      </w:r>
      <w:r>
        <w:rPr>
          <w:lang w:eastAsia="zh-CN"/>
        </w:rPr>
        <w:t>研究总结</w:t>
      </w:r>
      <w:bookmarkEnd w:id="184"/>
    </w:p>
    <w:p w14:paraId="67F8B94F">
      <w:pPr>
        <w:pStyle w:val="35"/>
        <w:ind w:firstLine="480"/>
        <w:rPr>
          <w:lang w:eastAsia="zh-CN"/>
        </w:rPr>
      </w:pPr>
      <w:r>
        <w:rPr>
          <w:rFonts w:hint="eastAsia"/>
          <w:lang w:eastAsia="zh-CN"/>
        </w:rPr>
        <w:t>本研究以HiMCM大赛的奥运项目历史数据集为基础，</w:t>
      </w:r>
      <w:r>
        <w:rPr>
          <w:lang w:eastAsia="zh-CN"/>
        </w:rPr>
        <w:t xml:space="preserve"> </w:t>
      </w:r>
      <w:r>
        <w:rPr>
          <w:rFonts w:hint="eastAsia"/>
          <w:lang w:eastAsia="zh-CN"/>
        </w:rPr>
        <w:t>经过数据清洗、</w:t>
      </w:r>
      <w:r>
        <w:rPr>
          <w:lang w:eastAsia="zh-CN"/>
        </w:rPr>
        <w:t xml:space="preserve"> </w:t>
      </w:r>
      <w:r>
        <w:rPr>
          <w:rFonts w:hint="eastAsia"/>
          <w:lang w:eastAsia="zh-CN"/>
        </w:rPr>
        <w:t>指标提取、</w:t>
      </w:r>
      <w:r>
        <w:rPr>
          <w:lang w:eastAsia="zh-CN"/>
        </w:rPr>
        <w:t xml:space="preserve"> </w:t>
      </w:r>
      <w:r>
        <w:rPr>
          <w:rFonts w:hint="eastAsia"/>
          <w:lang w:eastAsia="zh-CN"/>
        </w:rPr>
        <w:t>统计分析和模型构建等一系列工作，</w:t>
      </w:r>
      <w:r>
        <w:rPr>
          <w:lang w:eastAsia="zh-CN"/>
        </w:rPr>
        <w:t xml:space="preserve"> </w:t>
      </w:r>
      <w:r>
        <w:rPr>
          <w:rFonts w:hint="eastAsia"/>
          <w:lang w:eastAsia="zh-CN"/>
        </w:rPr>
        <w:t>运用层次分析法(AHP)和EWM建立了AHP-EWM混合权重评估模型。</w:t>
      </w:r>
      <w:r>
        <w:rPr>
          <w:lang w:eastAsia="zh-CN"/>
        </w:rPr>
        <w:t xml:space="preserve"> </w:t>
      </w:r>
      <w:r>
        <w:rPr>
          <w:rFonts w:hint="eastAsia"/>
          <w:lang w:eastAsia="zh-CN"/>
        </w:rPr>
        <w:t>全文围绕数据预处理、模型构建、实验验证和系统实现四个层面展开，主要成果包括以下几个方面。</w:t>
      </w:r>
    </w:p>
    <w:p w14:paraId="4BEA02E9">
      <w:pPr>
        <w:pStyle w:val="35"/>
        <w:ind w:firstLine="480"/>
        <w:rPr>
          <w:lang w:eastAsia="zh-CN"/>
        </w:rPr>
      </w:pPr>
      <w:r>
        <w:rPr>
          <w:rFonts w:hint="eastAsia"/>
          <w:lang w:eastAsia="zh-CN"/>
        </w:rPr>
        <w:t>第一，建立了一个包含流行度、性别平等、可持续性、包容性、创新性、安全性六个维度的评价指标体系。</w:t>
      </w:r>
      <w:r>
        <w:rPr>
          <w:lang w:eastAsia="zh-CN"/>
        </w:rPr>
        <w:t xml:space="preserve"> </w:t>
      </w:r>
      <w:r>
        <w:rPr>
          <w:rFonts w:hint="eastAsia"/>
          <w:lang w:eastAsia="zh-CN"/>
        </w:rPr>
        <w:t>各维度的定义、</w:t>
      </w:r>
      <w:r>
        <w:rPr>
          <w:lang w:eastAsia="zh-CN"/>
        </w:rPr>
        <w:t xml:space="preserve"> </w:t>
      </w:r>
      <w:r>
        <w:rPr>
          <w:rFonts w:hint="eastAsia"/>
          <w:lang w:eastAsia="zh-CN"/>
        </w:rPr>
        <w:t>量化方法和数据来源均在体系中有明确说明，</w:t>
      </w:r>
      <w:r>
        <w:rPr>
          <w:lang w:eastAsia="zh-CN"/>
        </w:rPr>
        <w:t xml:space="preserve"> </w:t>
      </w:r>
      <w:r>
        <w:rPr>
          <w:rFonts w:hint="eastAsia"/>
          <w:lang w:eastAsia="zh-CN"/>
        </w:rPr>
        <w:t>其中四个维度基于HiMCM历史数据直接计算，</w:t>
      </w:r>
      <w:r>
        <w:rPr>
          <w:lang w:eastAsia="zh-CN"/>
        </w:rPr>
        <w:t xml:space="preserve"> </w:t>
      </w:r>
      <w:r>
        <w:rPr>
          <w:rFonts w:hint="eastAsia"/>
          <w:lang w:eastAsia="zh-CN"/>
        </w:rPr>
        <w:t>两个维度通过IOC报告和学术文献进行补充。</w:t>
      </w:r>
    </w:p>
    <w:p w14:paraId="6B7E7E1B">
      <w:pPr>
        <w:pStyle w:val="35"/>
        <w:ind w:firstLine="480"/>
        <w:rPr>
          <w:lang w:eastAsia="zh-CN"/>
        </w:rPr>
      </w:pPr>
      <w:r>
        <w:rPr>
          <w:rFonts w:hint="eastAsia"/>
          <w:lang w:eastAsia="zh-CN"/>
        </w:rPr>
        <w:t>第二，设计并实现了AHP主观权重与EWM客观权重的混合计算方法。</w:t>
      </w:r>
      <w:r>
        <w:rPr>
          <w:lang w:eastAsia="zh-CN"/>
        </w:rPr>
        <w:t xml:space="preserve"> </w:t>
      </w:r>
      <w:r>
        <w:rPr>
          <w:rFonts w:hint="eastAsia"/>
          <w:lang w:eastAsia="zh-CN"/>
        </w:rPr>
        <w:t>AHP方法利用五位专家的两两比较判断，通过特征值求解得到主观权重，一致性比率CR=0.003通过了一致性检验。</w:t>
      </w:r>
      <w:r>
        <w:rPr>
          <w:lang w:eastAsia="zh-CN"/>
        </w:rPr>
        <w:t xml:space="preserve"> </w:t>
      </w:r>
      <w:r>
        <w:rPr>
          <w:rFonts w:hint="eastAsia"/>
          <w:lang w:eastAsia="zh-CN"/>
        </w:rPr>
        <w:t>EWM方法从12个项目的六维评分数据中提取了客观权重，其中可持续性的信息熵最低（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lang w:eastAsia="zh-CN"/>
        </w:rPr>
        <w:t>），反映了四类奥运项目在基础设施需求上的结构性差异；性别平等的信息熵最高（</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0.940</m:t>
        </m:r>
      </m:oMath>
      <w:r>
        <w:rPr>
          <w:rFonts w:hint="eastAsia"/>
          <w:lang w:eastAsia="zh-CN"/>
        </w:rPr>
        <w:t>），表明IOC政策推动下各项目性别比例趋于一致。</w:t>
      </w:r>
      <w:r>
        <w:rPr>
          <w:lang w:eastAsia="zh-CN"/>
        </w:rPr>
        <w:t xml:space="preserve"> </w:t>
      </w:r>
      <w:r>
        <w:rPr>
          <w:rFonts w:hint="eastAsia"/>
          <w:lang w:eastAsia="zh-CN"/>
        </w:rPr>
        <w:t>通过线性组合得到混合权重，综合了主客观信息。</w:t>
      </w:r>
    </w:p>
    <w:p w14:paraId="6EB8CD5D">
      <w:pPr>
        <w:pStyle w:val="35"/>
        <w:ind w:firstLine="480"/>
        <w:rPr>
          <w:lang w:eastAsia="zh-CN"/>
        </w:rPr>
      </w:pPr>
      <w:r>
        <w:rPr>
          <w:rFonts w:hint="eastAsia"/>
          <w:lang w:eastAsia="zh-CN"/>
        </w:rPr>
        <w:t>第三，利用12个代表性项目的数据进行了实验验证。</w:t>
      </w:r>
      <w:r>
        <w:rPr>
          <w:lang w:eastAsia="zh-CN"/>
        </w:rPr>
        <w:t xml:space="preserve"> </w:t>
      </w:r>
      <w:r>
        <w:rPr>
          <w:rFonts w:hint="eastAsia"/>
          <w:lang w:eastAsia="zh-CN"/>
        </w:rPr>
        <w:t>排名结果显示，田径以0.748分位列第一，电子竞技以0.743分紧随其后，游泳、足球、篮球等传统核心项目排名靠前，已移除项目排名靠后，</w:t>
      </w:r>
      <w:r>
        <w:rPr>
          <w:lang w:eastAsia="zh-CN"/>
        </w:rPr>
        <w:t xml:space="preserve"> </w:t>
      </w:r>
      <w:r>
        <w:rPr>
          <w:rFonts w:hint="eastAsia"/>
          <w:lang w:eastAsia="zh-CN"/>
        </w:rPr>
        <w:t>与奥运历史演进趋势和IOC近年来的实际决策基本一致。</w:t>
      </w:r>
    </w:p>
    <w:p w14:paraId="42AB56DB">
      <w:pPr>
        <w:pStyle w:val="35"/>
        <w:ind w:firstLine="480"/>
        <w:rPr>
          <w:lang w:eastAsia="zh-CN"/>
        </w:rPr>
      </w:pPr>
      <w:r>
        <w:rPr>
          <w:rFonts w:hint="eastAsia"/>
          <w:lang w:eastAsia="zh-CN"/>
        </w:rPr>
        <w:t>第四，通过灵敏度分析验证了模型的参数稳定性。</w:t>
      </w:r>
      <w:r>
        <w:rPr>
          <w:lang w:eastAsia="zh-CN"/>
        </w:rPr>
        <w:t xml:space="preserve"> </w:t>
      </w:r>
      <m:oMath>
        <m:r>
          <m:rPr/>
          <w:rPr>
            <w:rFonts w:ascii="Cambria Math" w:hAnsi="Cambria Math"/>
            <w:lang w:eastAsia="zh-CN"/>
          </w:rPr>
          <m:t>α</m:t>
        </m:r>
      </m:oMath>
      <w:r>
        <w:rPr>
          <w:rFonts w:hint="eastAsia"/>
          <w:lang w:eastAsia="zh-CN"/>
        </w:rPr>
        <w:t>在0.4到0.6之间时前5名排名保持不变，推荐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单项权重</w:t>
      </w:r>
      <m:oMath>
        <m:r>
          <m:rPr>
            <m:sty m:val="p"/>
          </m:rPr>
          <w:rPr>
            <w:rFonts w:ascii="Cambria Math" w:hAnsi="Cambria Math"/>
            <w:lang w:eastAsia="zh-CN"/>
          </w:rPr>
          <m:t>±</m:t>
        </m:r>
        <m:r>
          <m:rPr/>
          <w:rPr>
            <w:rFonts w:ascii="Cambria Math" w:hAnsi="Cambria Math"/>
            <w:lang w:eastAsia="zh-CN"/>
          </w:rPr>
          <m:t>10</m:t>
        </m:r>
      </m:oMath>
      <w:r>
        <w:rPr>
          <w:rFonts w:hint="eastAsia"/>
          <w:lang w:eastAsia="zh-CN"/>
        </w:rPr>
        <w:t>的扰动测试也表明排名结果较为稳定。</w:t>
      </w:r>
    </w:p>
    <w:p w14:paraId="422FE2F4">
      <w:pPr>
        <w:pStyle w:val="35"/>
        <w:ind w:firstLine="480"/>
        <w:rPr>
          <w:lang w:eastAsia="zh-CN"/>
        </w:rPr>
      </w:pPr>
      <w:r>
        <w:rPr>
          <w:rFonts w:hint="eastAsia"/>
          <w:lang w:eastAsia="zh-CN"/>
        </w:rPr>
        <w:t>第五，利用验证后的模型对2032年布里斯班奥运会可能新增的项目进行了预测，推荐电子竞技、板球和匹克球作为重点候选项目。</w:t>
      </w:r>
    </w:p>
    <w:bookmarkEnd w:id="185"/>
    <w:p w14:paraId="42228AD9">
      <w:pPr>
        <w:pStyle w:val="4"/>
        <w:rPr>
          <w:rFonts w:hint="eastAsia"/>
          <w:lang w:eastAsia="zh-CN"/>
        </w:rPr>
      </w:pPr>
      <w:bookmarkStart w:id="186" w:name="_Toc229523263"/>
      <w:bookmarkStart w:id="187" w:name="主要创新点"/>
      <w:r>
        <w:rPr>
          <w:rStyle w:val="62"/>
          <w:rFonts w:ascii="黑体" w:hAnsi="黑体" w:eastAsia="黑体"/>
          <w:sz w:val="28"/>
          <w:szCs w:val="28"/>
          <w:lang w:eastAsia="zh-CN"/>
        </w:rPr>
        <w:t>6.2</w:t>
      </w:r>
      <w:r>
        <w:rPr>
          <w:lang w:eastAsia="zh-CN"/>
        </w:rPr>
        <w:tab/>
      </w:r>
      <w:r>
        <w:rPr>
          <w:lang w:eastAsia="zh-CN"/>
        </w:rPr>
        <w:t>主要创新点</w:t>
      </w:r>
      <w:bookmarkEnd w:id="186"/>
    </w:p>
    <w:p w14:paraId="4235895D">
      <w:pPr>
        <w:pStyle w:val="35"/>
        <w:ind w:firstLine="480"/>
        <w:rPr>
          <w:lang w:eastAsia="zh-CN"/>
        </w:rPr>
      </w:pPr>
      <w:r>
        <w:rPr>
          <w:lang w:eastAsia="zh-CN"/>
        </w:rPr>
        <w:t>本研究的创新点主要体现在方法、数据和应用三个层面。 在方法层面， 设计了各维度子指标的系统化提取方法。 以流行度为例，确立了总参赛届数占比、设项数规模、历史增长率、近期规模以及IF会员国数量五个子指标，分别从时间跨度、体量、趋势、近期活跃度和全球覆盖五个角度进行量化。 可持续性则从最大连续参赛届数、设项数变异系数和淘汰后回归韧性三个侧面衡量。 各维度的子指标均基于数据可得性和维度定义的逻辑分解确定， 形成了一套从原始设项数序列到多维评价指标的标准化提取流程。 目前尚未见文献专门讨论奥运项目评估中子指标设计的系统方法， 这一工作为HiMCM数据在奥运项目评估中的深度利用提供了可复用的设计范本。 在数据层面， 对HiMCM原始数据进行了系统的清洗和整理， 提取了流行度、 可持续性、 包容性、 创新性四项指标。 同时引入国际单项体育联合会(IF)会员国数量作为流行度的补充间接变量， 弥补了HiMCM数据集中部分运动仅含分项设项记录的局限性。 在应用层面， 通过灵敏度分析验证了混合权重组合系数</w:t>
      </w:r>
      <m:oMath>
        <m:r>
          <m:rPr/>
          <w:rPr>
            <w:rFonts w:ascii="Cambria Math" w:hAnsi="Cambria Math"/>
            <w:lang w:eastAsia="zh-CN"/>
          </w:rPr>
          <m:t>α</m:t>
        </m:r>
        <m:r>
          <m:rPr>
            <m:sty m:val="p"/>
          </m:rPr>
          <w:rPr>
            <w:rFonts w:ascii="Cambria Math" w:hAnsi="Cambria Math"/>
            <w:lang w:eastAsia="zh-CN"/>
          </w:rPr>
          <m:t>=0.5</m:t>
        </m:r>
      </m:oMath>
      <w:r>
        <w:rPr>
          <w:lang w:eastAsia="zh-CN"/>
        </w:rPr>
        <w:t>作为默认值的合理性， 并给出了0.4到0.6的稳定区间， 为混合权重方法在奥运评估领域的实际应用提供了参数参考。</w:t>
      </w:r>
    </w:p>
    <w:bookmarkEnd w:id="187"/>
    <w:p w14:paraId="1AE38928">
      <w:pPr>
        <w:pStyle w:val="4"/>
        <w:rPr>
          <w:rFonts w:hint="eastAsia"/>
          <w:lang w:eastAsia="zh-CN"/>
        </w:rPr>
      </w:pPr>
      <w:bookmarkStart w:id="188" w:name="_Toc229523264"/>
      <w:bookmarkStart w:id="189" w:name="研究局限性"/>
      <w:r>
        <w:rPr>
          <w:rStyle w:val="62"/>
          <w:rFonts w:ascii="黑体" w:hAnsi="黑体" w:eastAsia="黑体"/>
          <w:sz w:val="28"/>
          <w:szCs w:val="28"/>
          <w:lang w:eastAsia="zh-CN"/>
        </w:rPr>
        <w:t>6.3</w:t>
      </w:r>
      <w:r>
        <w:rPr>
          <w:lang w:eastAsia="zh-CN"/>
        </w:rPr>
        <w:tab/>
      </w:r>
      <w:r>
        <w:rPr>
          <w:lang w:eastAsia="zh-CN"/>
        </w:rPr>
        <w:t>研究局限性</w:t>
      </w:r>
      <w:bookmarkEnd w:id="188"/>
    </w:p>
    <w:p w14:paraId="26118B3D">
      <w:pPr>
        <w:pStyle w:val="35"/>
        <w:ind w:firstLine="480"/>
        <w:rPr>
          <w:lang w:eastAsia="zh-CN"/>
        </w:rPr>
      </w:pPr>
      <w:r>
        <w:rPr>
          <w:rFonts w:hint="eastAsia"/>
          <w:lang w:eastAsia="zh-CN"/>
        </w:rPr>
        <w:t>在肯定研究成果的同时，也应认识到本研究存在以下局限性，这些局限也为后续研究指明了改进方向。</w:t>
      </w:r>
      <w:r>
        <w:rPr>
          <w:lang w:eastAsia="zh-CN"/>
        </w:rPr>
        <w:t xml:space="preserve"> </w:t>
      </w:r>
      <w:r>
        <w:rPr>
          <w:rFonts w:hint="eastAsia"/>
          <w:lang w:eastAsia="zh-CN"/>
        </w:rPr>
        <w:t>首先，</w:t>
      </w:r>
      <w:r>
        <w:rPr>
          <w:lang w:eastAsia="zh-CN"/>
        </w:rPr>
        <w:t xml:space="preserve"> </w:t>
      </w:r>
      <w:r>
        <w:rPr>
          <w:rFonts w:hint="eastAsia"/>
          <w:lang w:eastAsia="zh-CN"/>
        </w:rPr>
        <w:t>性别平等和安全性两个维度的数据覆盖范围有限，</w:t>
      </w:r>
      <w:r>
        <w:rPr>
          <w:lang w:eastAsia="zh-CN"/>
        </w:rPr>
        <w:t xml:space="preserve"> </w:t>
      </w:r>
      <w:r>
        <w:rPr>
          <w:rFonts w:hint="eastAsia"/>
          <w:lang w:eastAsia="zh-CN"/>
        </w:rPr>
        <w:t>对于非奥运项目和近年新引入的项目，</w:t>
      </w:r>
      <w:r>
        <w:rPr>
          <w:lang w:eastAsia="zh-CN"/>
        </w:rPr>
        <w:t xml:space="preserve"> </w:t>
      </w:r>
      <w:r>
        <w:rPr>
          <w:rFonts w:hint="eastAsia"/>
          <w:lang w:eastAsia="zh-CN"/>
        </w:rPr>
        <w:t>相关数据只能通过行业报告和有限的学术文献进行估算，</w:t>
      </w:r>
      <w:r>
        <w:rPr>
          <w:lang w:eastAsia="zh-CN"/>
        </w:rPr>
        <w:t xml:space="preserve"> </w:t>
      </w:r>
      <w:r>
        <w:rPr>
          <w:rFonts w:hint="eastAsia"/>
          <w:lang w:eastAsia="zh-CN"/>
        </w:rPr>
        <w:t>数据精度有待提升。</w:t>
      </w:r>
      <w:r>
        <w:rPr>
          <w:lang w:eastAsia="zh-CN"/>
        </w:rPr>
        <w:t xml:space="preserve"> </w:t>
      </w:r>
      <w:r>
        <w:rPr>
          <w:rFonts w:hint="eastAsia"/>
          <w:lang w:eastAsia="zh-CN"/>
        </w:rPr>
        <w:t>最后，</w:t>
      </w:r>
      <w:r>
        <w:rPr>
          <w:lang w:eastAsia="zh-CN"/>
        </w:rPr>
        <w:t xml:space="preserve"> </w:t>
      </w:r>
      <w:r>
        <w:rPr>
          <w:rFonts w:hint="eastAsia"/>
          <w:lang w:eastAsia="zh-CN"/>
        </w:rPr>
        <w:t>本模型的评估基础主要是历史数据，</w:t>
      </w:r>
      <w:r>
        <w:rPr>
          <w:lang w:eastAsia="zh-CN"/>
        </w:rPr>
        <w:t xml:space="preserve"> </w:t>
      </w:r>
      <w:r>
        <w:rPr>
          <w:rFonts w:hint="eastAsia"/>
          <w:lang w:eastAsia="zh-CN"/>
        </w:rPr>
        <w:t>而奥运项目的选择还会受到主办国偏好、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这些因素在当前六维指标体系中尚未充分体现。</w:t>
      </w:r>
    </w:p>
    <w:p w14:paraId="0A17767C">
      <w:pPr>
        <w:pStyle w:val="35"/>
        <w:ind w:firstLine="480"/>
        <w:rPr>
          <w:lang w:eastAsia="zh-CN"/>
        </w:rPr>
      </w:pPr>
      <w:r>
        <w:rPr>
          <w:rFonts w:hint="eastAsia"/>
          <w:lang w:eastAsia="zh-CN"/>
        </w:rPr>
        <w:t>此外，EWM的客观权重对样本构成具有依赖性。</w:t>
      </w:r>
      <w:r>
        <w:rPr>
          <w:lang w:eastAsia="zh-CN"/>
        </w:rPr>
        <w:t xml:space="preserve"> </w:t>
      </w:r>
      <w:r>
        <w:rPr>
          <w:rFonts w:hint="eastAsia"/>
          <w:lang w:eastAsia="zh-CN"/>
        </w:rPr>
        <w:t>本研究选取了12个涵盖不同IOC项目类型的代表性运动，四类项目之间的结构性差异，包括场馆需求、奥运历史长度、全球覆盖度等，在统计上体现为指标信息的差异，由此决定了EWM的权重分布。</w:t>
      </w:r>
      <w:r>
        <w:rPr>
          <w:lang w:eastAsia="zh-CN"/>
        </w:rPr>
        <w:t xml:space="preserve"> </w:t>
      </w:r>
      <w:r>
        <w:rPr>
          <w:rFonts w:hint="eastAsia"/>
          <w:lang w:eastAsia="zh-CN"/>
        </w:rPr>
        <w:t>这一特征意味着EWM权重并非评价维度"普遍重要性"的客观度量，而是"所评估的这12个项目在这些维度上的区分度"的量化反映。</w:t>
      </w:r>
      <w:r>
        <w:rPr>
          <w:lang w:eastAsia="zh-CN"/>
        </w:rPr>
        <w:t xml:space="preserve"> </w:t>
      </w:r>
      <w:r>
        <w:rPr>
          <w:rFonts w:hint="eastAsia"/>
          <w:lang w:eastAsia="zh-CN"/>
        </w:rPr>
        <w:t>当前12个项目的选择以IOC的项目分类框架为依据，确保了评估逻辑的连贯性，但研究结论在推广到不同项目集合时应考虑样本选择对方法结果的影响。</w:t>
      </w:r>
    </w:p>
    <w:bookmarkEnd w:id="189"/>
    <w:p w14:paraId="412925EC">
      <w:pPr>
        <w:pStyle w:val="4"/>
        <w:rPr>
          <w:rFonts w:hint="eastAsia"/>
          <w:lang w:eastAsia="zh-CN"/>
        </w:rPr>
      </w:pPr>
      <w:bookmarkStart w:id="190" w:name="_Toc229523265"/>
      <w:bookmarkStart w:id="191" w:name="未来研究方向"/>
      <w:r>
        <w:rPr>
          <w:rStyle w:val="62"/>
          <w:rFonts w:ascii="黑体" w:hAnsi="黑体" w:eastAsia="黑体"/>
          <w:sz w:val="28"/>
          <w:szCs w:val="28"/>
          <w:lang w:eastAsia="zh-CN"/>
        </w:rPr>
        <w:t>6.4</w:t>
      </w:r>
      <w:r>
        <w:rPr>
          <w:lang w:eastAsia="zh-CN"/>
        </w:rPr>
        <w:tab/>
      </w:r>
      <w:r>
        <w:rPr>
          <w:lang w:eastAsia="zh-CN"/>
        </w:rPr>
        <w:t>未来研究方向</w:t>
      </w:r>
      <w:bookmarkEnd w:id="190"/>
    </w:p>
    <w:p w14:paraId="62A0B562">
      <w:pPr>
        <w:pStyle w:val="35"/>
        <w:ind w:firstLine="480"/>
        <w:rPr>
          <w:lang w:eastAsia="zh-CN"/>
        </w:rPr>
      </w:pPr>
      <w:r>
        <w:rPr>
          <w:lang w:eastAsia="zh-CN"/>
        </w:rPr>
        <w:t>基于上述总结与局限性分析，未来可从以下几个方向进一步深化。 第一，在数据层面扩大指标覆盖范围，特别是性别平等和安全性数据的全面采集。 可利用Olympedia等数据库获取各届奥运会各项目的男女运动员数据以提高性别平等评分的精度， 安全性数据可与运动医学研究者合作建立标准化受伤率数据库。 第二，在方法层面引入时间序列分析方法预测项目设项数的变化趋势，将静态评分扩展为动态趋势预测，增强模型的前瞻性。 第三， 在应用范围上将模型扩展至冬季奥运项目评估， 冬季奥运项目在设施要求、 气候依赖和地理分布方面与夏季奥运差异显著， 需要针对性地调整指标体系。 第四， 在数据采集技术方面可探索利用自然语言处理技术从社交媒体和新闻报道中自动提取各项目的流行度指标[15]， 实现实时化的流行度监测。</w:t>
      </w:r>
    </w:p>
    <w:bookmarkEnd w:id="191"/>
    <w:p w14:paraId="4A5B6AF6">
      <w:pPr>
        <w:pStyle w:val="4"/>
        <w:rPr>
          <w:rFonts w:hint="eastAsia"/>
          <w:lang w:eastAsia="zh-CN"/>
        </w:rPr>
      </w:pPr>
      <w:bookmarkStart w:id="192" w:name="_Toc229523266"/>
      <w:bookmarkStart w:id="193" w:name="结语"/>
      <w:r>
        <w:rPr>
          <w:rStyle w:val="62"/>
          <w:rFonts w:ascii="黑体" w:hAnsi="黑体" w:eastAsia="黑体"/>
          <w:sz w:val="28"/>
          <w:szCs w:val="28"/>
          <w:lang w:eastAsia="zh-CN"/>
        </w:rPr>
        <w:t>6.5</w:t>
      </w:r>
      <w:r>
        <w:rPr>
          <w:lang w:eastAsia="zh-CN"/>
        </w:rPr>
        <w:tab/>
      </w:r>
      <w:r>
        <w:rPr>
          <w:lang w:eastAsia="zh-CN"/>
        </w:rPr>
        <w:t>结语</w:t>
      </w:r>
      <w:bookmarkEnd w:id="192"/>
    </w:p>
    <w:p w14:paraId="30232A99">
      <w:pPr>
        <w:pStyle w:val="35"/>
        <w:ind w:firstLine="480"/>
        <w:rPr>
          <w:lang w:eastAsia="zh-CN"/>
        </w:rPr>
      </w:pPr>
      <w:r>
        <w:rPr>
          <w:lang w:eastAsia="zh-CN"/>
        </w:rPr>
        <w:t>奥运项目的评估与选择是一个复杂的系统工程， 涉及竞技、 经济、 文化、 政治等多个维度， 牵涉国际奥委会、 主办城市、 国际体育联合会、 运动员和观众等多方利益。 在当前奥运改革持续深化的背景下，建立一套科学、透明、可复现的定量评估工具具有重要的现实意义。 本研究提出的AHP-EWM混合权重模型， 尝试将专家的领域知识与数据中的客观信息结合起来， 为奥运项目评估提供了一种新的量化思路。 尽管模型在数据和方法上还存在一定的局限性， 但其在研究过程中表现出的合理性和稳定性表明， 定量化方法在奥运项目管理领域具有广阔的应用前景。</w:t>
      </w:r>
    </w:p>
    <w:p w14:paraId="5AA0EFCE">
      <w:pPr>
        <w:pStyle w:val="2"/>
        <w:rPr>
          <w:lang w:eastAsia="zh-CN"/>
        </w:rPr>
      </w:pPr>
      <w:bookmarkStart w:id="194" w:name="_Toc229523267"/>
      <w:bookmarkStart w:id="195" w:name="致谢"/>
      <w:r>
        <w:rPr>
          <w:lang w:eastAsia="zh-CN"/>
        </w:rPr>
        <w:t>致谢</w:t>
      </w:r>
      <w:bookmarkEnd w:id="194"/>
    </w:p>
    <w:bookmarkEnd w:id="195"/>
    <w:p w14:paraId="6B1CAA18">
      <w:pPr>
        <w:pStyle w:val="35"/>
        <w:ind w:firstLine="480"/>
        <w:rPr>
          <w:lang w:eastAsia="zh-CN"/>
        </w:rPr>
      </w:pPr>
      <w:r>
        <w:rPr>
          <w:rFonts w:hint="eastAsia"/>
          <w:lang w:eastAsia="zh-CN"/>
        </w:rPr>
        <w:t>时光荏苒，本科四年的学习生涯即将画上句号。</w:t>
      </w:r>
      <w:r>
        <w:rPr>
          <w:lang w:eastAsia="zh-CN"/>
        </w:rPr>
        <w:t xml:space="preserve"> </w:t>
      </w:r>
      <w:r>
        <w:rPr>
          <w:rFonts w:hint="eastAsia"/>
          <w:lang w:eastAsia="zh-CN"/>
        </w:rPr>
        <w:t>在本文完成之际，</w:t>
      </w:r>
      <w:r>
        <w:rPr>
          <w:lang w:eastAsia="zh-CN"/>
        </w:rPr>
        <w:t xml:space="preserve"> </w:t>
      </w:r>
      <w:r>
        <w:rPr>
          <w:rFonts w:hint="eastAsia"/>
          <w:lang w:eastAsia="zh-CN"/>
        </w:rPr>
        <w:t>我谨向所有在学习和论文撰写过程中给予我帮助的人表示诚挚的感谢。</w:t>
      </w:r>
    </w:p>
    <w:p w14:paraId="45B64903">
      <w:pPr>
        <w:pStyle w:val="35"/>
        <w:ind w:firstLine="480"/>
        <w:rPr>
          <w:lang w:eastAsia="zh-CN"/>
        </w:rPr>
      </w:pPr>
      <w:r>
        <w:rPr>
          <w:rFonts w:hint="eastAsia"/>
          <w:lang w:eastAsia="zh-CN"/>
        </w:rPr>
        <w:t>首先要感谢我的指导教师李民副教授。</w:t>
      </w:r>
      <w:r>
        <w:rPr>
          <w:lang w:eastAsia="zh-CN"/>
        </w:rPr>
        <w:t xml:space="preserve"> </w:t>
      </w:r>
      <w:r>
        <w:rPr>
          <w:rFonts w:hint="eastAsia"/>
          <w:lang w:eastAsia="zh-CN"/>
        </w:rPr>
        <w:t>从选题方向的确定、研究方法的设计到论文的结构安排和逐字逐句的修改定稿，</w:t>
      </w:r>
      <w:r>
        <w:rPr>
          <w:lang w:eastAsia="zh-CN"/>
        </w:rPr>
        <w:t xml:space="preserve"> </w:t>
      </w:r>
      <w:r>
        <w:rPr>
          <w:rFonts w:hint="eastAsia"/>
          <w:lang w:eastAsia="zh-CN"/>
        </w:rPr>
        <w:t>李老师都给予了耐心细致的指导。</w:t>
      </w:r>
      <w:r>
        <w:rPr>
          <w:lang w:eastAsia="zh-CN"/>
        </w:rPr>
        <w:t xml:space="preserve"> </w:t>
      </w:r>
      <w:r>
        <w:rPr>
          <w:rFonts w:hint="eastAsia"/>
          <w:lang w:eastAsia="zh-CN"/>
        </w:rPr>
        <w:t>记得在模型验证阶段，</w:t>
      </w:r>
      <w:r>
        <w:rPr>
          <w:lang w:eastAsia="zh-CN"/>
        </w:rPr>
        <w:t xml:space="preserve"> </w:t>
      </w:r>
      <w:r>
        <w:rPr>
          <w:rFonts w:hint="eastAsia"/>
          <w:lang w:eastAsia="zh-CN"/>
        </w:rPr>
        <w:t>当发现HiMCM数据集中篮球项仅有三人篮球（2020年起）的设项记录、</w:t>
      </w:r>
      <w:r>
        <w:rPr>
          <w:lang w:eastAsia="zh-CN"/>
        </w:rPr>
        <w:t xml:space="preserve"> </w:t>
      </w:r>
      <w:r>
        <w:rPr>
          <w:rFonts w:hint="eastAsia"/>
          <w:lang w:eastAsia="zh-CN"/>
        </w:rPr>
        <w:t>完全缺失五人篮球自1936年以来的历史数据时，</w:t>
      </w:r>
      <w:r>
        <w:rPr>
          <w:lang w:eastAsia="zh-CN"/>
        </w:rPr>
        <w:t xml:space="preserve"> </w:t>
      </w:r>
      <w:r>
        <w:rPr>
          <w:rFonts w:hint="eastAsia"/>
          <w:lang w:eastAsia="zh-CN"/>
        </w:rPr>
        <w:t>我一度对模型的有效性产生了怀疑。</w:t>
      </w:r>
      <w:r>
        <w:rPr>
          <w:lang w:eastAsia="zh-CN"/>
        </w:rPr>
        <w:t xml:space="preserve"> </w:t>
      </w:r>
      <w:r>
        <w:rPr>
          <w:rFonts w:hint="eastAsia"/>
          <w:lang w:eastAsia="zh-CN"/>
        </w:rPr>
        <w:t>李老师提醒我从多源数据互补的角度思考，</w:t>
      </w:r>
      <w:r>
        <w:rPr>
          <w:lang w:eastAsia="zh-CN"/>
        </w:rPr>
        <w:t xml:space="preserve"> </w:t>
      </w:r>
      <w:r>
        <w:rPr>
          <w:rFonts w:hint="eastAsia"/>
          <w:lang w:eastAsia="zh-CN"/>
        </w:rPr>
        <w:t>引导我查阅国际单项体育联合会的会员国数据作为流行度的补充间接变量，</w:t>
      </w:r>
      <w:r>
        <w:rPr>
          <w:lang w:eastAsia="zh-CN"/>
        </w:rPr>
        <w:t xml:space="preserve"> </w:t>
      </w:r>
      <w:r>
        <w:rPr>
          <w:rFonts w:hint="eastAsia"/>
          <w:lang w:eastAsia="zh-CN"/>
        </w:rPr>
        <w:t>最终通过HiMCM历史数据与IF真实数据的混合计算解决了这一问题。</w:t>
      </w:r>
      <w:r>
        <w:rPr>
          <w:lang w:eastAsia="zh-CN"/>
        </w:rPr>
        <w:t xml:space="preserve"> </w:t>
      </w:r>
      <w:r>
        <w:rPr>
          <w:rFonts w:hint="eastAsia"/>
          <w:lang w:eastAsia="zh-CN"/>
        </w:rPr>
        <w:t>李老师严谨的治学态度和因材施教的指导方式，</w:t>
      </w:r>
      <w:r>
        <w:rPr>
          <w:lang w:eastAsia="zh-CN"/>
        </w:rPr>
        <w:t xml:space="preserve"> </w:t>
      </w:r>
      <w:r>
        <w:rPr>
          <w:rFonts w:hint="eastAsia"/>
          <w:lang w:eastAsia="zh-CN"/>
        </w:rPr>
        <w:t>让我在研究过程中不仅学会了方法，更学会了如何面对研究中的不确定性。</w:t>
      </w:r>
    </w:p>
    <w:p w14:paraId="7D1BE050">
      <w:pPr>
        <w:pStyle w:val="35"/>
        <w:ind w:firstLine="480"/>
        <w:rPr>
          <w:lang w:eastAsia="zh-CN"/>
        </w:rPr>
      </w:pPr>
      <w:r>
        <w:rPr>
          <w:rFonts w:hint="eastAsia"/>
          <w:lang w:eastAsia="zh-CN"/>
        </w:rPr>
        <w:t>感谢数学与物理学院各位老师在本科四年中的辛勤教学。</w:t>
      </w:r>
      <w:r>
        <w:rPr>
          <w:lang w:eastAsia="zh-CN"/>
        </w:rPr>
        <w:t xml:space="preserve"> </w:t>
      </w:r>
      <w:r>
        <w:rPr>
          <w:rFonts w:hint="eastAsia"/>
          <w:lang w:eastAsia="zh-CN"/>
        </w:rPr>
        <w:t>各位老师的专业授课为本文的研究奠定了必要的数学基础和编程能力，</w:t>
      </w:r>
      <w:r>
        <w:rPr>
          <w:lang w:eastAsia="zh-CN"/>
        </w:rPr>
        <w:t xml:space="preserve"> </w:t>
      </w:r>
      <w:r>
        <w:rPr>
          <w:rFonts w:hint="eastAsia"/>
          <w:lang w:eastAsia="zh-CN"/>
        </w:rPr>
        <w:t>使我能够独立完成从数据清洗、指标计算到模型构建和可视化的全部工作。</w:t>
      </w:r>
    </w:p>
    <w:p w14:paraId="3179504E">
      <w:pPr>
        <w:pStyle w:val="35"/>
        <w:ind w:firstLine="480"/>
        <w:rPr>
          <w:lang w:eastAsia="zh-CN"/>
        </w:rPr>
      </w:pPr>
      <w:r>
        <w:rPr>
          <w:rFonts w:hint="eastAsia"/>
          <w:lang w:eastAsia="zh-CN"/>
        </w:rPr>
        <w:t>在研究过程中，HiMCM数据集的数据预处理曾是一个不小的挑战。原始Excel文件中部分运动名称包含不可见字符，</w:t>
      </w:r>
      <w:r>
        <w:rPr>
          <w:lang w:eastAsia="zh-CN"/>
        </w:rPr>
        <w:t xml:space="preserve"> </w:t>
      </w:r>
      <w:r>
        <w:rPr>
          <w:rFonts w:hint="eastAsia"/>
          <w:lang w:eastAsia="zh-CN"/>
        </w:rPr>
        <w:t>导致程序匹配逻辑反复出错。</w:t>
      </w:r>
      <w:r>
        <w:rPr>
          <w:lang w:eastAsia="zh-CN"/>
        </w:rPr>
        <w:t xml:space="preserve"> </w:t>
      </w:r>
      <w:r>
        <w:rPr>
          <w:rFonts w:hint="eastAsia"/>
          <w:lang w:eastAsia="zh-CN"/>
        </w:rPr>
        <w:t>经过逐行检查ASCII编码并编写名称规范化函数后，才顺利解析出全部48条运动记录。</w:t>
      </w:r>
      <w:r>
        <w:rPr>
          <w:lang w:eastAsia="zh-CN"/>
        </w:rPr>
        <w:t xml:space="preserve"> </w:t>
      </w:r>
      <w:r>
        <w:rPr>
          <w:rFonts w:hint="eastAsia"/>
          <w:lang w:eastAsia="zh-CN"/>
        </w:rPr>
        <w:t>此外，在查找12个项目的安全性伤病率文献时，</w:t>
      </w:r>
      <w:r>
        <w:rPr>
          <w:lang w:eastAsia="zh-CN"/>
        </w:rPr>
        <w:t xml:space="preserve"> </w:t>
      </w:r>
      <w:r>
        <w:rPr>
          <w:rFonts w:hint="eastAsia"/>
          <w:lang w:eastAsia="zh-CN"/>
        </w:rPr>
        <w:t>发现部分已引用文献的DOI因格式错误无法解析，</w:t>
      </w:r>
      <w:r>
        <w:rPr>
          <w:lang w:eastAsia="zh-CN"/>
        </w:rPr>
        <w:t xml:space="preserve"> </w:t>
      </w:r>
      <w:r>
        <w:rPr>
          <w:rFonts w:hint="eastAsia"/>
          <w:lang w:eastAsia="zh-CN"/>
        </w:rPr>
        <w:t>例如Bullock(2020)的DOI实际指向了一篇关于NFL球员骨关节炎的无关论文。</w:t>
      </w:r>
      <w:r>
        <w:rPr>
          <w:lang w:eastAsia="zh-CN"/>
        </w:rPr>
        <w:t xml:space="preserve"> </w:t>
      </w:r>
      <w:r>
        <w:rPr>
          <w:rFonts w:hint="eastAsia"/>
          <w:lang w:eastAsia="zh-CN"/>
        </w:rPr>
        <w:t>通过逐条在PubMed和CrossRef上验证每篇文献的DOI和期刊信息，</w:t>
      </w:r>
      <w:r>
        <w:rPr>
          <w:lang w:eastAsia="zh-CN"/>
        </w:rPr>
        <w:t xml:space="preserve"> </w:t>
      </w:r>
      <w:r>
        <w:rPr>
          <w:rFonts w:hint="eastAsia"/>
          <w:lang w:eastAsia="zh-CN"/>
        </w:rPr>
        <w:t>最终替换为正确的文献，确保了论文引用基础的可靠性。</w:t>
      </w:r>
      <w:r>
        <w:rPr>
          <w:lang w:eastAsia="zh-CN"/>
        </w:rPr>
        <w:t xml:space="preserve"> </w:t>
      </w:r>
      <w:r>
        <w:rPr>
          <w:rFonts w:hint="eastAsia"/>
          <w:lang w:eastAsia="zh-CN"/>
        </w:rPr>
        <w:t>这些看似琐碎的数据核查工作，</w:t>
      </w:r>
      <w:r>
        <w:rPr>
          <w:lang w:eastAsia="zh-CN"/>
        </w:rPr>
        <w:t xml:space="preserve"> </w:t>
      </w:r>
      <w:r>
        <w:rPr>
          <w:rFonts w:hint="eastAsia"/>
          <w:lang w:eastAsia="zh-CN"/>
        </w:rPr>
        <w:t>让我深刻体会到学术研究中"细节决定质量"的道理。</w:t>
      </w:r>
    </w:p>
    <w:p w14:paraId="160A81E7">
      <w:pPr>
        <w:pStyle w:val="35"/>
        <w:ind w:firstLine="480"/>
        <w:rPr>
          <w:lang w:eastAsia="zh-CN"/>
        </w:rPr>
      </w:pPr>
      <w:r>
        <w:rPr>
          <w:rFonts w:hint="eastAsia"/>
          <w:lang w:eastAsia="zh-CN"/>
        </w:rPr>
        <w:t>感谢我的同学们在学习和生活中给予的关心与帮助。</w:t>
      </w:r>
      <w:r>
        <w:rPr>
          <w:lang w:eastAsia="zh-CN"/>
        </w:rPr>
        <w:t xml:space="preserve"> </w:t>
      </w:r>
      <w:r>
        <w:rPr>
          <w:rFonts w:hint="eastAsia"/>
          <w:lang w:eastAsia="zh-CN"/>
        </w:rPr>
        <w:t>与大家的交流和讨论经常让我获得新的启发，</w:t>
      </w:r>
      <w:r>
        <w:rPr>
          <w:lang w:eastAsia="zh-CN"/>
        </w:rPr>
        <w:t xml:space="preserve"> </w:t>
      </w:r>
      <w:r>
        <w:rPr>
          <w:rFonts w:hint="eastAsia"/>
          <w:lang w:eastAsia="zh-CN"/>
        </w:rPr>
        <w:t>同窗之谊是我大学生活中珍贵的收获。</w:t>
      </w:r>
    </w:p>
    <w:p w14:paraId="2C262BEC">
      <w:pPr>
        <w:pStyle w:val="35"/>
        <w:ind w:firstLine="480"/>
        <w:rPr>
          <w:lang w:eastAsia="zh-CN"/>
        </w:rPr>
      </w:pPr>
      <w:r>
        <w:rPr>
          <w:rFonts w:hint="eastAsia"/>
          <w:lang w:eastAsia="zh-CN"/>
        </w:rPr>
        <w:t>最后要感谢我的家人，</w:t>
      </w:r>
      <w:r>
        <w:rPr>
          <w:lang w:eastAsia="zh-CN"/>
        </w:rPr>
        <w:t xml:space="preserve"> </w:t>
      </w:r>
      <w:r>
        <w:rPr>
          <w:rFonts w:hint="eastAsia"/>
          <w:lang w:eastAsia="zh-CN"/>
        </w:rPr>
        <w:t>感谢他们一直以来的理解、支持和鼓励，</w:t>
      </w:r>
      <w:r>
        <w:rPr>
          <w:lang w:eastAsia="zh-CN"/>
        </w:rPr>
        <w:t xml:space="preserve"> </w:t>
      </w:r>
      <w:r>
        <w:rPr>
          <w:rFonts w:hint="eastAsia"/>
          <w:lang w:eastAsia="zh-CN"/>
        </w:rPr>
        <w:t>让我能够安心完成学业。</w:t>
      </w:r>
    </w:p>
    <w:p w14:paraId="4F6FCEA1">
      <w:pPr>
        <w:pStyle w:val="35"/>
        <w:ind w:firstLine="480"/>
        <w:rPr>
          <w:lang w:eastAsia="zh-CN"/>
        </w:rPr>
      </w:pPr>
      <w:r>
        <w:rPr>
          <w:rFonts w:hint="eastAsia"/>
          <w:lang w:eastAsia="zh-CN"/>
        </w:rPr>
        <w:t>由于本人学识有限，论文中难免存在不足之处，</w:t>
      </w:r>
      <w:r>
        <w:rPr>
          <w:lang w:eastAsia="zh-CN"/>
        </w:rPr>
        <w:t xml:space="preserve"> </w:t>
      </w:r>
      <w:r>
        <w:rPr>
          <w:rFonts w:hint="eastAsia"/>
          <w:lang w:eastAsia="zh-CN"/>
        </w:rPr>
        <w:t>恳请各位老师和评审专家批评指正。</w:t>
      </w:r>
    </w:p>
    <w:bookmarkEnd w:id="193"/>
    <w:p w14:paraId="2930E37A">
      <w:pPr>
        <w:pStyle w:val="42"/>
        <w:jc w:val="both"/>
        <w:rPr>
          <w:rFonts w:eastAsiaTheme="minorEastAsia"/>
          <w:lang w:eastAsia="zh-CN"/>
        </w:rPr>
      </w:pPr>
    </w:p>
    <w:p w14:paraId="176A39BE">
      <w:pPr>
        <w:pStyle w:val="42"/>
        <w:jc w:val="both"/>
        <w:rPr>
          <w:rFonts w:eastAsiaTheme="minorEastAsia"/>
          <w:lang w:eastAsia="zh-CN"/>
        </w:rPr>
      </w:pPr>
      <w:r>
        <w:rPr>
          <w:rFonts w:eastAsiaTheme="minorEastAsia"/>
          <w:lang w:eastAsia="zh-CN"/>
        </w:rPr>
        <w:t>[1] 李凤梅. 夏季奥运会项目的设置标准及改革原则: 基于入选条件的探究[J/OL]. 首都体育学院学报, 2013, 25(3).</w:t>
      </w:r>
    </w:p>
    <w:p w14:paraId="6135DBF4">
      <w:pPr>
        <w:pStyle w:val="42"/>
        <w:jc w:val="both"/>
        <w:rPr>
          <w:rFonts w:eastAsiaTheme="minorEastAsia"/>
          <w:lang w:eastAsia="zh-CN"/>
        </w:rPr>
      </w:pPr>
      <w:r>
        <w:rPr>
          <w:rFonts w:eastAsiaTheme="minorEastAsia"/>
          <w:lang w:eastAsia="zh-CN"/>
        </w:rPr>
        <w:t>[2] International Olympic Committee. Olympic Agenda 2020+5[EB/OL]. IOC Official Website, 2023. </w:t>
      </w:r>
      <w:r>
        <w:fldChar w:fldCharType="begin"/>
      </w:r>
      <w:r>
        <w:instrText xml:space="preserve"> HYPERLINK "https://olympics.com/ioc/olympic-agenda-2020-plus-5" \t "_blank" </w:instrText>
      </w:r>
      <w:r>
        <w:fldChar w:fldCharType="separate"/>
      </w:r>
      <w:r>
        <w:rPr>
          <w:rStyle w:val="32"/>
          <w:rFonts w:asciiTheme="minorHAnsi" w:hAnsiTheme="minorHAnsi" w:eastAsiaTheme="minorEastAsia"/>
          <w:lang w:eastAsia="zh-CN"/>
        </w:rPr>
        <w:t>https://olympics.com/ioc/olympic-agenda-2020-plus-5</w:t>
      </w:r>
      <w:r>
        <w:rPr>
          <w:rStyle w:val="32"/>
          <w:rFonts w:asciiTheme="minorHAnsi" w:hAnsiTheme="minorHAnsi" w:eastAsiaTheme="minorEastAsia"/>
          <w:lang w:eastAsia="zh-CN"/>
        </w:rPr>
        <w:fldChar w:fldCharType="end"/>
      </w:r>
      <w:r>
        <w:rPr>
          <w:rFonts w:eastAsiaTheme="minorEastAsia"/>
          <w:lang w:eastAsia="zh-CN"/>
        </w:rPr>
        <w:t>.</w:t>
      </w:r>
    </w:p>
    <w:p w14:paraId="6A4406BD">
      <w:pPr>
        <w:pStyle w:val="42"/>
        <w:jc w:val="both"/>
        <w:rPr>
          <w:rFonts w:eastAsiaTheme="minorEastAsia"/>
          <w:lang w:eastAsia="zh-CN"/>
        </w:rPr>
      </w:pPr>
      <w:r>
        <w:rPr>
          <w:rFonts w:eastAsiaTheme="minorEastAsia"/>
          <w:lang w:eastAsia="zh-CN"/>
        </w:rPr>
        <w:t>[3] LÓPEZ-VALENCIANO A, RAYA-GONZÁLEZ J, GARCIA-GÓMEZ J A, et al. Injury profile in women's football: a systematic review and meta-analysis[J/OL]. Sports Medicine, 2021, 51(3): 423-442.</w:t>
      </w:r>
    </w:p>
    <w:p w14:paraId="4EC37E77">
      <w:pPr>
        <w:pStyle w:val="42"/>
        <w:jc w:val="both"/>
        <w:rPr>
          <w:rFonts w:eastAsiaTheme="minorEastAsia"/>
          <w:lang w:eastAsia="zh-CN"/>
        </w:rPr>
      </w:pPr>
      <w:r>
        <w:rPr>
          <w:rFonts w:eastAsiaTheme="minorEastAsia"/>
          <w:lang w:eastAsia="zh-CN"/>
        </w:rPr>
        <w:t>[4] LIAN J, SEWANI F, DAYAN I, et al. Systematic review of injuries in the men's and women's National Basketball Association[J/OL]. American Journal of Sports Medicine, 2022, 50(5): 1416-1429.</w:t>
      </w:r>
    </w:p>
    <w:p w14:paraId="3CD77419">
      <w:pPr>
        <w:pStyle w:val="42"/>
        <w:jc w:val="both"/>
        <w:rPr>
          <w:rFonts w:eastAsiaTheme="minorEastAsia"/>
          <w:lang w:eastAsia="zh-CN"/>
        </w:rPr>
      </w:pPr>
      <w:r>
        <w:rPr>
          <w:rFonts w:eastAsiaTheme="minorEastAsia"/>
          <w:lang w:eastAsia="zh-CN"/>
        </w:rPr>
        <w:t>[5] EDOUARD P, REJEB A, HOLLANDER K, et al. Prevalence, incidence and characteristics of musculoskeletal injuries in athletics (track and field): a systematic review and meta-analysis[J/OL]. British Journal of Sports Medicine, 2026, 60(6): 450-464.</w:t>
      </w:r>
    </w:p>
    <w:p w14:paraId="308DA6E5">
      <w:pPr>
        <w:pStyle w:val="42"/>
        <w:jc w:val="both"/>
        <w:rPr>
          <w:rFonts w:eastAsiaTheme="minorEastAsia"/>
          <w:lang w:eastAsia="zh-CN"/>
        </w:rPr>
      </w:pPr>
      <w:r>
        <w:rPr>
          <w:rFonts w:eastAsiaTheme="minorEastAsia"/>
          <w:lang w:eastAsia="zh-CN"/>
        </w:rPr>
        <w:t>[6] CHANDRAN A, MORRIS S N, BOLTZ A J, et al. Epidemiology of injuries in National Collegiate Athletic Association women's swimming and diving: 2014–2015 through 2018–2019[J/OL]. Journal of Athletic Training, 2021, 56(7): 688-694.</w:t>
      </w:r>
    </w:p>
    <w:p w14:paraId="4548616E">
      <w:pPr>
        <w:pStyle w:val="42"/>
        <w:jc w:val="both"/>
        <w:rPr>
          <w:rFonts w:eastAsiaTheme="minorEastAsia"/>
          <w:lang w:eastAsia="zh-CN"/>
        </w:rPr>
      </w:pPr>
      <w:r>
        <w:rPr>
          <w:rFonts w:eastAsiaTheme="minorEastAsia"/>
          <w:lang w:eastAsia="zh-CN"/>
        </w:rPr>
        <w:t>[7] SCHÖFFL V R, KUEPPER T. Injuries at the 2005 World Championships in rock climbing[J/OL]. Wilderness &amp; Environmental Medicine, 2006, 17(3): 187-190.</w:t>
      </w:r>
    </w:p>
    <w:p w14:paraId="04CE8252">
      <w:pPr>
        <w:pStyle w:val="42"/>
        <w:jc w:val="both"/>
        <w:rPr>
          <w:rFonts w:eastAsiaTheme="minorEastAsia"/>
          <w:lang w:eastAsia="zh-CN"/>
        </w:rPr>
      </w:pPr>
      <w:r>
        <w:rPr>
          <w:rFonts w:eastAsiaTheme="minorEastAsia"/>
          <w:lang w:eastAsia="zh-CN"/>
        </w:rPr>
        <w:t>[8] MCARTHUR K, JORGENSEN D, CLIMSTEIN M, et al. Epidemiology of acute injuries in surfing: type, location, mechanism, severity, and incidence: a systematic review[J/OL]. Sports, 2020, 8(2): 25.</w:t>
      </w:r>
    </w:p>
    <w:p w14:paraId="016A309A">
      <w:pPr>
        <w:pStyle w:val="42"/>
        <w:jc w:val="both"/>
        <w:rPr>
          <w:rFonts w:eastAsiaTheme="minorEastAsia"/>
          <w:lang w:eastAsia="zh-CN"/>
        </w:rPr>
      </w:pPr>
      <w:r>
        <w:rPr>
          <w:rFonts w:eastAsiaTheme="minorEastAsia"/>
          <w:lang w:eastAsia="zh-CN"/>
        </w:rPr>
        <w:t>[9] PERERA N K P, KOUNTOURIS A, KEMP J L, et al. The incidence, prevalence, nature, severity and mechanisms of injury in elite female cricketers: a prospective cohort study[J/OL]. Journal of Science and Medicine in Sport, 2019, 22(9): 1014-1020.</w:t>
      </w:r>
    </w:p>
    <w:p w14:paraId="61D728E2">
      <w:pPr>
        <w:pStyle w:val="42"/>
        <w:jc w:val="both"/>
        <w:rPr>
          <w:rFonts w:eastAsiaTheme="minorEastAsia"/>
          <w:lang w:eastAsia="zh-CN"/>
        </w:rPr>
      </w:pPr>
      <w:r>
        <w:rPr>
          <w:rFonts w:eastAsiaTheme="minorEastAsia"/>
          <w:lang w:eastAsia="zh-CN"/>
        </w:rPr>
        <w:t>[10] LYSTAD R P, AUGUSTOVIČOVÁ D, HARRIS G, et al. Epidemiology of injuries in Olympic-style karate competitions: systematic review and meta-analysis[J/OL]. British Journal of Sports Medicine, 2020, 54(16): 976-983.</w:t>
      </w:r>
    </w:p>
    <w:p w14:paraId="16485500">
      <w:pPr>
        <w:pStyle w:val="42"/>
        <w:jc w:val="both"/>
        <w:rPr>
          <w:rFonts w:eastAsiaTheme="minorEastAsia"/>
          <w:lang w:eastAsia="zh-CN"/>
        </w:rPr>
      </w:pPr>
      <w:r>
        <w:rPr>
          <w:rFonts w:eastAsiaTheme="minorEastAsia"/>
          <w:lang w:eastAsia="zh-CN"/>
        </w:rPr>
        <w:t>[11] BULLOCK G S, FAHERTY M S, LEDBETTER L, et al. Shoulder range of motion and baseball arm injuries: a systematic review and meta-analysis[J/OL]. Journal of Athletic Training, 2018, 53(12): 1190-1199.</w:t>
      </w:r>
    </w:p>
    <w:p w14:paraId="6FF19958">
      <w:pPr>
        <w:pStyle w:val="42"/>
        <w:jc w:val="both"/>
        <w:rPr>
          <w:rFonts w:eastAsiaTheme="minorEastAsia"/>
          <w:lang w:eastAsia="zh-CN"/>
        </w:rPr>
      </w:pPr>
      <w:r>
        <w:rPr>
          <w:rFonts w:eastAsiaTheme="minorEastAsia"/>
          <w:lang w:eastAsia="zh-CN"/>
        </w:rPr>
        <w:t>[12] THOLL C, BICKMANN P, WECHSLER K, et al. Musculoskeletal disorders in esports: a systematic review[J/OL]. BMC Musculoskeletal Disorders, 2022, 23: 577.</w:t>
      </w:r>
    </w:p>
    <w:p w14:paraId="2294B597">
      <w:pPr>
        <w:pStyle w:val="42"/>
        <w:jc w:val="both"/>
        <w:rPr>
          <w:rFonts w:eastAsiaTheme="minorEastAsia"/>
          <w:lang w:eastAsia="zh-CN"/>
        </w:rPr>
      </w:pPr>
      <w:r>
        <w:rPr>
          <w:rFonts w:eastAsiaTheme="minorEastAsia"/>
          <w:lang w:eastAsia="zh-CN"/>
        </w:rPr>
        <w:t>[13] International Olympic Committee. Paris 2024 Olympic Games[EB/OL]. IOC Official Website, 2024. </w:t>
      </w:r>
      <w:r>
        <w:fldChar w:fldCharType="begin"/>
      </w:r>
      <w:r>
        <w:instrText xml:space="preserve"> HYPERLINK "https://olympics.com/en/paris-2024" \t "_blank" </w:instrText>
      </w:r>
      <w:r>
        <w:fldChar w:fldCharType="separate"/>
      </w:r>
      <w:r>
        <w:rPr>
          <w:rStyle w:val="32"/>
          <w:rFonts w:asciiTheme="minorHAnsi" w:hAnsiTheme="minorHAnsi" w:eastAsiaTheme="minorEastAsia"/>
          <w:lang w:eastAsia="zh-CN"/>
        </w:rPr>
        <w:t>https://olympics.com/en/paris-2024</w:t>
      </w:r>
      <w:r>
        <w:rPr>
          <w:rStyle w:val="32"/>
          <w:rFonts w:asciiTheme="minorHAnsi" w:hAnsiTheme="minorHAnsi" w:eastAsiaTheme="minorEastAsia"/>
          <w:lang w:eastAsia="zh-CN"/>
        </w:rPr>
        <w:fldChar w:fldCharType="end"/>
      </w:r>
      <w:r>
        <w:rPr>
          <w:rFonts w:eastAsiaTheme="minorEastAsia"/>
          <w:lang w:eastAsia="zh-CN"/>
        </w:rPr>
        <w:t>.</w:t>
      </w:r>
    </w:p>
    <w:p w14:paraId="3E0715A2">
      <w:pPr>
        <w:pStyle w:val="42"/>
        <w:jc w:val="both"/>
        <w:rPr>
          <w:rFonts w:eastAsiaTheme="minorEastAsia"/>
          <w:lang w:eastAsia="zh-CN"/>
        </w:rPr>
      </w:pPr>
      <w:r>
        <w:rPr>
          <w:rFonts w:eastAsiaTheme="minorEastAsia"/>
          <w:lang w:eastAsia="zh-CN"/>
        </w:rPr>
        <w:t>[14] International Paralympic Committee. Paralympic Sports[EB/OL]. IPC Official Website, 2024. </w:t>
      </w:r>
      <w:r>
        <w:fldChar w:fldCharType="begin"/>
      </w:r>
      <w:r>
        <w:instrText xml:space="preserve"> HYPERLINK "https://www.paralympic.org/sports" \t "_blank" </w:instrText>
      </w:r>
      <w:r>
        <w:fldChar w:fldCharType="separate"/>
      </w:r>
      <w:r>
        <w:rPr>
          <w:rStyle w:val="32"/>
          <w:rFonts w:asciiTheme="minorHAnsi" w:hAnsiTheme="minorHAnsi" w:eastAsiaTheme="minorEastAsia"/>
          <w:lang w:eastAsia="zh-CN"/>
        </w:rPr>
        <w:t>https://www.paralympic.org/sports</w:t>
      </w:r>
      <w:r>
        <w:rPr>
          <w:rStyle w:val="32"/>
          <w:rFonts w:asciiTheme="minorHAnsi" w:hAnsiTheme="minorHAnsi" w:eastAsiaTheme="minorEastAsia"/>
          <w:lang w:eastAsia="zh-CN"/>
        </w:rPr>
        <w:fldChar w:fldCharType="end"/>
      </w:r>
      <w:r>
        <w:rPr>
          <w:rFonts w:eastAsiaTheme="minorEastAsia"/>
          <w:lang w:eastAsia="zh-CN"/>
        </w:rPr>
        <w:t>.</w:t>
      </w:r>
    </w:p>
    <w:p w14:paraId="30D5AF09">
      <w:pPr>
        <w:pStyle w:val="42"/>
        <w:jc w:val="both"/>
        <w:rPr>
          <w:rFonts w:eastAsiaTheme="minorEastAsia"/>
          <w:lang w:eastAsia="zh-CN"/>
        </w:rPr>
      </w:pPr>
      <w:r>
        <w:rPr>
          <w:rFonts w:eastAsiaTheme="minorEastAsia"/>
          <w:lang w:eastAsia="zh-CN"/>
        </w:rPr>
        <w:t>[15] SONG Y, DAI R, ZHANG Q, et al. Quantifying future Olympic sport selection: a data-driven framework for SDE evaluation and selection[J/OL]. Frontiers in Sports and Active Living, 2025, 7: 1596196.</w:t>
      </w:r>
    </w:p>
    <w:p w14:paraId="10A8B52E">
      <w:pPr>
        <w:pStyle w:val="42"/>
        <w:jc w:val="both"/>
        <w:rPr>
          <w:rFonts w:eastAsiaTheme="minorEastAsia"/>
          <w:lang w:eastAsia="zh-CN"/>
        </w:rPr>
      </w:pPr>
      <w:r>
        <w:rPr>
          <w:rFonts w:eastAsiaTheme="minorEastAsia"/>
          <w:lang w:eastAsia="zh-CN"/>
        </w:rPr>
        <w:t>[16] SAATY T L. The analytic hierarchy and analytic network measurement processes: applications to decisions under risk[J/OL]. European Journal of Pure and Applied Mathematics, 2007, 1(1): 122-196.</w:t>
      </w:r>
    </w:p>
    <w:p w14:paraId="333B4F13">
      <w:pPr>
        <w:pStyle w:val="42"/>
        <w:jc w:val="both"/>
        <w:rPr>
          <w:rFonts w:eastAsiaTheme="minorEastAsia"/>
          <w:lang w:eastAsia="zh-CN"/>
        </w:rPr>
      </w:pPr>
      <w:r>
        <w:rPr>
          <w:rFonts w:eastAsiaTheme="minorEastAsia"/>
          <w:lang w:eastAsia="zh-CN"/>
        </w:rPr>
        <w:t>[17] WANG B, LIU J. Comprehensive evaluation and analysis of maritime soft power based on the entropy weight method (EWM)[J/OL]. Journal of Physics: Conference Series, 2019, 1168: 032108.</w:t>
      </w:r>
    </w:p>
    <w:p w14:paraId="05554992">
      <w:pPr>
        <w:pStyle w:val="42"/>
        <w:jc w:val="both"/>
        <w:rPr>
          <w:rFonts w:eastAsiaTheme="minorEastAsia"/>
          <w:lang w:eastAsia="zh-CN"/>
        </w:rPr>
      </w:pPr>
      <w:r>
        <w:rPr>
          <w:rFonts w:eastAsiaTheme="minorEastAsia"/>
          <w:lang w:eastAsia="zh-CN"/>
        </w:rPr>
        <w:t>[18] SHANNON C E. A mathematical theory of communication[J/OL]. The Bell System Technical Journal, 1948, 27(3): 379-423.</w:t>
      </w:r>
    </w:p>
    <w:p w14:paraId="33F42C53">
      <w:pPr>
        <w:pStyle w:val="42"/>
        <w:jc w:val="both"/>
        <w:rPr>
          <w:rFonts w:eastAsiaTheme="minorEastAsia"/>
          <w:lang w:eastAsia="zh-CN"/>
        </w:rPr>
      </w:pPr>
      <w:r>
        <w:rPr>
          <w:rFonts w:eastAsiaTheme="minorEastAsia"/>
          <w:lang w:eastAsia="zh-CN"/>
        </w:rPr>
        <w:t>[19] ZHANG R, TIAN D, WANG H, et al. Risk assessment of compound dynamic disaster based on AHP-EWM[J/OL]. Applied Sciences, 2023, 13(18): 10137.</w:t>
      </w:r>
    </w:p>
    <w:p w14:paraId="39552E2A">
      <w:pPr>
        <w:pStyle w:val="42"/>
        <w:jc w:val="both"/>
        <w:rPr>
          <w:rFonts w:eastAsiaTheme="minorEastAsia"/>
          <w:lang w:eastAsia="zh-CN"/>
        </w:rPr>
      </w:pPr>
      <w:r>
        <w:rPr>
          <w:rFonts w:eastAsiaTheme="minorEastAsia"/>
          <w:lang w:eastAsia="zh-CN"/>
        </w:rPr>
        <w:t>[20] LIANG M, YANG G, ZHU X, et al. AHP-EWM based model selection system for subsidence area research[J/OL]. Sustainability, 2023, 15(9): 7135.</w:t>
      </w:r>
    </w:p>
    <w:p w14:paraId="13D8DC13">
      <w:pPr>
        <w:pStyle w:val="42"/>
        <w:jc w:val="both"/>
        <w:rPr>
          <w:rFonts w:eastAsiaTheme="minorEastAsia"/>
          <w:lang w:eastAsia="zh-CN"/>
        </w:rPr>
      </w:pPr>
      <w:r>
        <w:rPr>
          <w:rFonts w:eastAsiaTheme="minorEastAsia"/>
          <w:lang w:eastAsia="zh-CN"/>
        </w:rPr>
        <w:t>[21] HWANG C-L, YOON K. Multiple attribute decision making: methods and applications[M/OL]. [S.l.]: Springer, 1981.</w:t>
      </w:r>
    </w:p>
    <w:p w14:paraId="017F7E14">
      <w:pPr>
        <w:pStyle w:val="42"/>
        <w:jc w:val="both"/>
        <w:rPr>
          <w:rFonts w:eastAsiaTheme="minorEastAsia"/>
          <w:lang w:eastAsia="zh-CN"/>
        </w:rPr>
      </w:pPr>
      <w:r>
        <w:rPr>
          <w:rFonts w:eastAsiaTheme="minorEastAsia"/>
          <w:lang w:eastAsia="zh-CN"/>
        </w:rPr>
        <w:t>[22] HE K, HUANG B, LIU X, et al. Assessment of economic development of central business districts – a combination multi-criteria evaluation methodology[J/OL]. PLOS ONE, 2025, 20(7): e0326877.</w:t>
      </w:r>
    </w:p>
    <w:p w14:paraId="13146916">
      <w:pPr>
        <w:pStyle w:val="42"/>
        <w:jc w:val="both"/>
        <w:rPr>
          <w:rFonts w:eastAsiaTheme="minorEastAsia"/>
          <w:lang w:eastAsia="zh-CN"/>
        </w:rPr>
      </w:pPr>
      <w:r>
        <w:rPr>
          <w:rFonts w:eastAsiaTheme="minorEastAsia"/>
          <w:lang w:eastAsia="zh-CN"/>
        </w:rPr>
        <w:t>[23] 陈家金, 王加义, 黄川容, 等. 基于AHP-EWM方法的福建省农业气象灾害风险区划[J/OL]. 自然灾害学报, 2016, 25(3).</w:t>
      </w:r>
    </w:p>
    <w:p w14:paraId="11101DBB">
      <w:pPr>
        <w:pStyle w:val="42"/>
        <w:jc w:val="both"/>
        <w:rPr>
          <w:rFonts w:eastAsiaTheme="minorEastAsia"/>
          <w:lang w:eastAsia="zh-CN"/>
        </w:rPr>
      </w:pPr>
      <w:r>
        <w:rPr>
          <w:rFonts w:eastAsiaTheme="minorEastAsia"/>
          <w:lang w:eastAsia="zh-CN"/>
        </w:rPr>
        <w:t>[24] 尚天成, 高彬彬, 李翔鹏, 等. 基于层次分析法和熵权法的城市土地集约利用评价[J/OL]. 电子科技大学学报（社科版）, 2009, 11(6).</w:t>
      </w:r>
    </w:p>
    <w:p w14:paraId="32513868">
      <w:pPr>
        <w:pStyle w:val="42"/>
        <w:jc w:val="both"/>
        <w:rPr>
          <w:rFonts w:eastAsiaTheme="minorEastAsia"/>
          <w:lang w:eastAsia="zh-CN"/>
        </w:rPr>
      </w:pPr>
      <w:r>
        <w:rPr>
          <w:rFonts w:eastAsiaTheme="minorEastAsia"/>
          <w:lang w:eastAsia="zh-CN"/>
        </w:rPr>
        <w:t>[25] 侯国林, 黄震方. 旅游地社区参与度熵权层次分析评价模型与应用[J/OL]. 地理研究, 2010, 29(10). </w:t>
      </w:r>
      <w:r>
        <w:fldChar w:fldCharType="begin"/>
      </w:r>
      <w:r>
        <w:instrText xml:space="preserve"> HYPERLINK "https://kns.cnki.net/kcms2/article/abstract?v=3uoqIhG8C44YLTlOAiTRKibYlV5Vjs7i8oJR1HYAr80I8k3eX2JGebw7P2mFjHfRdW01M4nZmBs13fGIV-GbN8DXGvUZSwTc&amp;uniplatform=NZKPT" \t "_blank" </w:instrText>
      </w:r>
      <w:r>
        <w:fldChar w:fldCharType="separate"/>
      </w:r>
      <w:r>
        <w:rPr>
          <w:rStyle w:val="32"/>
          <w:rFonts w:asciiTheme="minorHAnsi" w:hAnsiTheme="minorHAnsi" w:eastAsiaTheme="minorEastAsia"/>
          <w:lang w:eastAsia="zh-CN"/>
        </w:rPr>
        <w:t>https://kns.cnki.net/kcms2/article/abstract?v=3uoqIhG8C44YLTlOAiTRKibYlV5Vjs7i8oJR1HYAr80I8k3eX2JGebw7P2mFjHfRdW01M4nZmBs13fGIV-GbN8DXGvUZSwTc&amp;uniplatform=NZKPT</w:t>
      </w:r>
      <w:r>
        <w:rPr>
          <w:rStyle w:val="32"/>
          <w:rFonts w:asciiTheme="minorHAnsi" w:hAnsiTheme="minorHAnsi" w:eastAsiaTheme="minorEastAsia"/>
          <w:lang w:eastAsia="zh-CN"/>
        </w:rPr>
        <w:fldChar w:fldCharType="end"/>
      </w:r>
      <w:r>
        <w:rPr>
          <w:rFonts w:eastAsiaTheme="minorEastAsia"/>
          <w:lang w:eastAsia="zh-CN"/>
        </w:rPr>
        <w:t>.</w:t>
      </w:r>
    </w:p>
    <w:p w14:paraId="70EDC914">
      <w:pPr>
        <w:pStyle w:val="42"/>
        <w:jc w:val="both"/>
        <w:rPr>
          <w:rFonts w:eastAsiaTheme="minorEastAsia"/>
          <w:lang w:eastAsia="zh-CN"/>
        </w:rPr>
      </w:pPr>
      <w:r>
        <w:rPr>
          <w:rFonts w:eastAsiaTheme="minorEastAsia"/>
          <w:lang w:eastAsia="zh-CN"/>
        </w:rPr>
        <w:t>[26] RICE S G, American Academy of Pediatrics Council on Sports Medicine and Fitness. Medical conditions affecting sports participation[J/OL]. Pediatrics, 2008, 121(4): 841-848.</w:t>
      </w:r>
    </w:p>
    <w:p w14:paraId="6D47FDE9">
      <w:pPr>
        <w:pStyle w:val="42"/>
        <w:jc w:val="both"/>
        <w:rPr>
          <w:rFonts w:eastAsiaTheme="minorEastAsia"/>
          <w:lang w:eastAsia="zh-CN"/>
        </w:rPr>
      </w:pPr>
      <w:r>
        <w:rPr>
          <w:rFonts w:eastAsiaTheme="minorEastAsia"/>
          <w:lang w:eastAsia="zh-CN"/>
        </w:rPr>
        <w:t>[27] PEARSON K. Note on regression and inheritance in the case of two parents[J/OL]. Proceedings of the Royal Society of London, 1895, 58: 240-242.</w:t>
      </w:r>
    </w:p>
    <w:p w14:paraId="7DE4BC9E">
      <w:pPr>
        <w:pStyle w:val="42"/>
        <w:jc w:val="both"/>
        <w:rPr>
          <w:rFonts w:eastAsiaTheme="minorEastAsia"/>
          <w:lang w:eastAsia="zh-CN"/>
        </w:rPr>
      </w:pPr>
      <w:r>
        <w:rPr>
          <w:rFonts w:eastAsiaTheme="minorEastAsia"/>
          <w:lang w:eastAsia="zh-CN"/>
        </w:rPr>
        <w:t>[28] SHESKIN D J. Handbook of parametric and nonparametric statistical procedures[M]. 5th ed. [S.l.]: CRC Press, 2011.</w:t>
      </w:r>
    </w:p>
    <w:p w14:paraId="4B24E5AB">
      <w:pPr>
        <w:pStyle w:val="42"/>
        <w:jc w:val="both"/>
        <w:rPr>
          <w:rFonts w:eastAsiaTheme="minorEastAsia"/>
          <w:lang w:eastAsia="zh-CN"/>
        </w:rPr>
      </w:pPr>
      <w:r>
        <w:rPr>
          <w:rFonts w:eastAsiaTheme="minorEastAsia"/>
          <w:lang w:eastAsia="zh-CN"/>
        </w:rPr>
        <w:t>[29] SHAPIRO S S, WILK M B. An analysis of variance test for normality (complete samples)[J/OL]. Biometrika, 1965, 52(3/4): 591-611.</w:t>
      </w:r>
    </w:p>
    <w:p w14:paraId="618BBD17">
      <w:pPr>
        <w:pStyle w:val="42"/>
        <w:jc w:val="both"/>
        <w:rPr>
          <w:rFonts w:eastAsiaTheme="minorEastAsia"/>
          <w:lang w:eastAsia="zh-CN"/>
        </w:rPr>
      </w:pPr>
      <w:r>
        <w:rPr>
          <w:rFonts w:eastAsiaTheme="minorEastAsia"/>
          <w:lang w:eastAsia="zh-CN"/>
        </w:rPr>
        <w:t>[30] 贾俊平. 统计学[M]. 第7版. 北京: 中国人民大学出版社, 2018.</w:t>
      </w:r>
    </w:p>
    <w:p w14:paraId="26CB8B47">
      <w:pPr>
        <w:pStyle w:val="42"/>
        <w:jc w:val="both"/>
        <w:rPr>
          <w:rFonts w:hint="eastAsia" w:eastAsiaTheme="minorEastAsia"/>
          <w:lang w:eastAsia="zh-CN"/>
        </w:rPr>
      </w:pPr>
    </w:p>
    <w:sectPr>
      <w:footerReference r:id="rId8" w:type="even"/>
      <w:footnotePr>
        <w:numRestart w:val="eachSect"/>
      </w:footnotePr>
      <w:pgSz w:w="12240" w:h="15840"/>
      <w:pgMar w:top="1440" w:right="1800" w:bottom="1440" w:left="180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ong">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2776"/>
      <w:docPartObj>
        <w:docPartGallery w:val="autotext"/>
      </w:docPartObj>
    </w:sdtPr>
    <w:sdtContent>
      <w:p w14:paraId="603458E4">
        <w:pPr>
          <w:pStyle w:val="20"/>
          <w:jc w:val="right"/>
        </w:pPr>
        <w:r>
          <w:fldChar w:fldCharType="begin"/>
        </w:r>
        <w:r>
          <w:instrText xml:space="preserve">PAGE   \* MERGEFORMAT</w:instrText>
        </w:r>
        <w:r>
          <w:fldChar w:fldCharType="separate"/>
        </w:r>
        <w:r>
          <w:rPr>
            <w:lang w:val="zh-CN" w:eastAsia="zh-CN"/>
          </w:rPr>
          <w:t>2</w:t>
        </w:r>
        <w:r>
          <w:fldChar w:fldCharType="end"/>
        </w:r>
      </w:p>
    </w:sdtContent>
  </w:sdt>
  <w:p w14:paraId="687E8EBE">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05211">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4014331"/>
      <w:docPartObj>
        <w:docPartGallery w:val="autotext"/>
      </w:docPartObj>
    </w:sdtPr>
    <w:sdtContent>
      <w:p w14:paraId="4DCD47F1">
        <w:pPr>
          <w:pStyle w:val="20"/>
        </w:pPr>
        <w:r>
          <w:fldChar w:fldCharType="begin"/>
        </w:r>
        <w:r>
          <w:instrText xml:space="preserve">PAGE   \* MERGEFORMAT</w:instrText>
        </w:r>
        <w:r>
          <w:fldChar w:fldCharType="separate"/>
        </w:r>
        <w:r>
          <w:rPr>
            <w:lang w:val="zh-CN" w:eastAsia="zh-CN"/>
          </w:rPr>
          <w:t>2</w:t>
        </w:r>
        <w:r>
          <w:fldChar w:fldCharType="end"/>
        </w:r>
      </w:p>
    </w:sdtContent>
  </w:sdt>
  <w:p w14:paraId="357CE79D">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F08C">
    <w:pPr>
      <w:pStyle w:val="21"/>
      <w:pBdr>
        <w:bottom w:val="single" w:color="auto" w:sz="4" w:space="1"/>
      </w:pBdr>
      <w:rPr>
        <w:lang w:eastAsia="zh-CN"/>
      </w:rPr>
    </w:pPr>
    <w:r>
      <w:rPr>
        <w:rFonts w:hint="eastAsia" w:ascii="宋体" w:hAnsi="宋体" w:eastAsia="宋体" w:cs="宋体"/>
        <w:lang w:eastAsia="zh-CN"/>
      </w:rPr>
      <w:t>中国地质大学学士学位论文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00AC2">
    <w:pPr>
      <w:pStyle w:val="21"/>
      <w:pBdr>
        <w:bottom w:val="single" w:color="auto" w:sz="4"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何艺鸣：基于混合权重模型的奥运项目评估与预测系统设计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2D4CAB"/>
    <w:rsid w:val="0002577E"/>
    <w:rsid w:val="00042836"/>
    <w:rsid w:val="000C4685"/>
    <w:rsid w:val="000D5380"/>
    <w:rsid w:val="000D606E"/>
    <w:rsid w:val="000F5F52"/>
    <w:rsid w:val="0013481F"/>
    <w:rsid w:val="00136CE5"/>
    <w:rsid w:val="001A77BE"/>
    <w:rsid w:val="001B3989"/>
    <w:rsid w:val="001C6951"/>
    <w:rsid w:val="001E1F1E"/>
    <w:rsid w:val="00277694"/>
    <w:rsid w:val="002D4CAB"/>
    <w:rsid w:val="00303F96"/>
    <w:rsid w:val="00325B81"/>
    <w:rsid w:val="0035778E"/>
    <w:rsid w:val="003F0A6A"/>
    <w:rsid w:val="004B02C9"/>
    <w:rsid w:val="005077C1"/>
    <w:rsid w:val="005734A5"/>
    <w:rsid w:val="00585CC3"/>
    <w:rsid w:val="005A1FD8"/>
    <w:rsid w:val="005A77AA"/>
    <w:rsid w:val="005C2351"/>
    <w:rsid w:val="005F5DD1"/>
    <w:rsid w:val="00674840"/>
    <w:rsid w:val="00676E8A"/>
    <w:rsid w:val="006D5DB7"/>
    <w:rsid w:val="006E7A15"/>
    <w:rsid w:val="00716BE9"/>
    <w:rsid w:val="0078145F"/>
    <w:rsid w:val="007C3B55"/>
    <w:rsid w:val="007C494C"/>
    <w:rsid w:val="007F201C"/>
    <w:rsid w:val="007F2812"/>
    <w:rsid w:val="008361B8"/>
    <w:rsid w:val="00891848"/>
    <w:rsid w:val="00895C93"/>
    <w:rsid w:val="008A4175"/>
    <w:rsid w:val="00915A46"/>
    <w:rsid w:val="0093414E"/>
    <w:rsid w:val="009459D3"/>
    <w:rsid w:val="00981979"/>
    <w:rsid w:val="009858A6"/>
    <w:rsid w:val="0099451B"/>
    <w:rsid w:val="009A4F0E"/>
    <w:rsid w:val="009B2952"/>
    <w:rsid w:val="009C41D7"/>
    <w:rsid w:val="009E036E"/>
    <w:rsid w:val="00A257AF"/>
    <w:rsid w:val="00A31979"/>
    <w:rsid w:val="00A73E93"/>
    <w:rsid w:val="00B47CA3"/>
    <w:rsid w:val="00B53C72"/>
    <w:rsid w:val="00C44955"/>
    <w:rsid w:val="00C53F6A"/>
    <w:rsid w:val="00C6732A"/>
    <w:rsid w:val="00CA0832"/>
    <w:rsid w:val="00D3735C"/>
    <w:rsid w:val="00D675ED"/>
    <w:rsid w:val="00D71F48"/>
    <w:rsid w:val="00D87E00"/>
    <w:rsid w:val="00DE45D5"/>
    <w:rsid w:val="00E00A77"/>
    <w:rsid w:val="00E00E18"/>
    <w:rsid w:val="00E7200A"/>
    <w:rsid w:val="00ED1004"/>
    <w:rsid w:val="00EE197E"/>
    <w:rsid w:val="00F356D9"/>
    <w:rsid w:val="00F7347D"/>
    <w:rsid w:val="00F73960"/>
    <w:rsid w:val="00FE17A8"/>
    <w:rsid w:val="00FE4AC9"/>
    <w:rsid w:val="07141E26"/>
    <w:rsid w:val="15604EDB"/>
    <w:rsid w:val="243C5947"/>
    <w:rsid w:val="27C052F3"/>
    <w:rsid w:val="30CB6739"/>
    <w:rsid w:val="329165D6"/>
    <w:rsid w:val="466B1BD8"/>
    <w:rsid w:val="47E45CA8"/>
    <w:rsid w:val="484F2050"/>
    <w:rsid w:val="4AC4795F"/>
    <w:rsid w:val="57376AD1"/>
    <w:rsid w:val="5C777377"/>
    <w:rsid w:val="5DAD5F04"/>
    <w:rsid w:val="6B4261F0"/>
    <w:rsid w:val="6B7A72C1"/>
    <w:rsid w:val="75A566D1"/>
    <w:rsid w:val="7AD65B35"/>
    <w:rsid w:val="7D312033"/>
    <w:rsid w:val="7E1F13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43"/>
    <w:qFormat/>
    <w:uiPriority w:val="9"/>
    <w:pPr>
      <w:keepNext/>
      <w:keepLines/>
      <w:spacing w:before="480" w:after="480"/>
      <w:jc w:val="center"/>
      <w:outlineLvl w:val="0"/>
    </w:pPr>
    <w:rPr>
      <w:rFonts w:eastAsia="黑体" w:asciiTheme="majorHAnsi" w:hAnsiTheme="majorHAnsi" w:cstheme="majorBidi"/>
      <w:b/>
      <w:sz w:val="32"/>
      <w:szCs w:val="40"/>
    </w:rPr>
  </w:style>
  <w:style w:type="paragraph" w:styleId="4">
    <w:name w:val="heading 2"/>
    <w:basedOn w:val="1"/>
    <w:next w:val="3"/>
    <w:link w:val="44"/>
    <w:unhideWhenUsed/>
    <w:qFormat/>
    <w:uiPriority w:val="9"/>
    <w:pPr>
      <w:keepNext/>
      <w:keepLines/>
      <w:spacing w:before="240" w:after="240"/>
      <w:outlineLvl w:val="1"/>
    </w:pPr>
    <w:rPr>
      <w:rFonts w:ascii="黑体" w:hAnsi="黑体" w:eastAsia="黑体" w:cs="黑体"/>
      <w:color w:val="000000" w:themeColor="text1"/>
      <w:sz w:val="28"/>
      <w:szCs w:val="28"/>
    </w:rPr>
  </w:style>
  <w:style w:type="paragraph" w:styleId="5">
    <w:name w:val="heading 3"/>
    <w:basedOn w:val="1"/>
    <w:next w:val="3"/>
    <w:link w:val="45"/>
    <w:unhideWhenUsed/>
    <w:qFormat/>
    <w:uiPriority w:val="9"/>
    <w:pPr>
      <w:keepNext/>
      <w:keepLines/>
      <w:spacing w:before="160" w:after="80"/>
      <w:outlineLvl w:val="2"/>
    </w:pPr>
    <w:rPr>
      <w:rFonts w:ascii="黑体" w:hAnsi="黑体" w:eastAsia="黑体" w:cs="黑体"/>
      <w:color w:val="000000" w:themeColor="text1"/>
    </w:rPr>
  </w:style>
  <w:style w:type="paragraph" w:styleId="6">
    <w:name w:val="heading 4"/>
    <w:basedOn w:val="1"/>
    <w:next w:val="3"/>
    <w:link w:val="4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5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5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31">
    <w:name w:val="Default Paragraph Font"/>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3">
    <w:name w:val="Body Text"/>
    <w:basedOn w:val="1"/>
    <w:link w:val="33"/>
    <w:qFormat/>
    <w:uiPriority w:val="0"/>
    <w:pPr>
      <w:spacing w:before="180" w:after="180" w:line="400" w:lineRule="exact"/>
    </w:pPr>
    <w:rPr>
      <w:rFonts w:ascii="Times New Roman" w:hAnsi="Times New Roman" w:eastAsia="仿宋"/>
    </w:rPr>
  </w:style>
  <w:style w:type="paragraph" w:styleId="12">
    <w:name w:val="toc 7"/>
    <w:basedOn w:val="1"/>
    <w:next w:val="1"/>
    <w:autoRedefine/>
    <w:unhideWhenUsed/>
    <w:uiPriority w:val="39"/>
    <w:pPr>
      <w:widowControl w:val="0"/>
      <w:spacing w:after="160" w:line="278" w:lineRule="auto"/>
      <w:ind w:left="2520" w:leftChars="1200"/>
    </w:pPr>
    <w:rPr>
      <w:rFonts w:eastAsiaTheme="minorEastAsia"/>
      <w:kern w:val="2"/>
      <w:sz w:val="22"/>
      <w:lang w:eastAsia="zh-CN"/>
    </w:rPr>
  </w:style>
  <w:style w:type="paragraph" w:styleId="13">
    <w:name w:val="caption"/>
    <w:basedOn w:val="1"/>
    <w:link w:val="105"/>
    <w:qFormat/>
    <w:uiPriority w:val="0"/>
    <w:pPr>
      <w:spacing w:after="120"/>
    </w:pPr>
    <w:rPr>
      <w:i/>
    </w:rPr>
  </w:style>
  <w:style w:type="paragraph" w:styleId="14">
    <w:name w:val="Block Text"/>
    <w:basedOn w:val="3"/>
    <w:next w:val="3"/>
    <w:unhideWhenUsed/>
    <w:qFormat/>
    <w:uiPriority w:val="9"/>
    <w:pPr>
      <w:spacing w:before="100" w:after="100"/>
      <w:ind w:left="480" w:right="480"/>
    </w:pPr>
  </w:style>
  <w:style w:type="paragraph" w:styleId="15">
    <w:name w:val="toc 5"/>
    <w:basedOn w:val="1"/>
    <w:next w:val="1"/>
    <w:autoRedefine/>
    <w:unhideWhenUsed/>
    <w:uiPriority w:val="39"/>
    <w:pPr>
      <w:widowControl w:val="0"/>
      <w:spacing w:after="160" w:line="278" w:lineRule="auto"/>
      <w:ind w:left="1680" w:leftChars="800"/>
    </w:pPr>
    <w:rPr>
      <w:rFonts w:eastAsiaTheme="minorEastAsia"/>
      <w:kern w:val="2"/>
      <w:sz w:val="22"/>
      <w:lang w:eastAsia="zh-CN"/>
    </w:rPr>
  </w:style>
  <w:style w:type="paragraph" w:styleId="16">
    <w:name w:val="toc 3"/>
    <w:basedOn w:val="1"/>
    <w:next w:val="1"/>
    <w:uiPriority w:val="39"/>
    <w:pPr>
      <w:ind w:left="840" w:leftChars="400"/>
    </w:pPr>
  </w:style>
  <w:style w:type="paragraph" w:styleId="17">
    <w:name w:val="toc 8"/>
    <w:basedOn w:val="1"/>
    <w:next w:val="1"/>
    <w:autoRedefine/>
    <w:unhideWhenUsed/>
    <w:uiPriority w:val="39"/>
    <w:pPr>
      <w:widowControl w:val="0"/>
      <w:spacing w:after="160" w:line="278" w:lineRule="auto"/>
      <w:ind w:left="2940" w:leftChars="1400"/>
    </w:pPr>
    <w:rPr>
      <w:rFonts w:eastAsiaTheme="minorEastAsia"/>
      <w:kern w:val="2"/>
      <w:sz w:val="22"/>
      <w:lang w:eastAsia="zh-CN"/>
    </w:rPr>
  </w:style>
  <w:style w:type="paragraph" w:styleId="18">
    <w:name w:val="Date"/>
    <w:basedOn w:val="19"/>
    <w:next w:val="3"/>
    <w:qFormat/>
    <w:uiPriority w:val="0"/>
    <w:pPr>
      <w:keepNext/>
      <w:keepLines/>
    </w:pPr>
    <w:rPr>
      <w:rFonts w:ascii="Times New Roman" w:hAnsi="Times New Roman" w:eastAsia="仿宋"/>
      <w:sz w:val="24"/>
      <w:szCs w:val="24"/>
    </w:rPr>
  </w:style>
  <w:style w:type="paragraph" w:styleId="19">
    <w:name w:val="Title"/>
    <w:basedOn w:val="1"/>
    <w:next w:val="3"/>
    <w:link w:val="37"/>
    <w:qFormat/>
    <w:uiPriority w:val="10"/>
    <w:pPr>
      <w:spacing w:after="80"/>
      <w:contextualSpacing/>
      <w:jc w:val="center"/>
    </w:pPr>
    <w:rPr>
      <w:rFonts w:asciiTheme="majorHAnsi" w:hAnsiTheme="majorHAnsi" w:eastAsiaTheme="majorEastAsia" w:cstheme="majorBidi"/>
      <w:sz w:val="44"/>
      <w:szCs w:val="56"/>
    </w:rPr>
  </w:style>
  <w:style w:type="paragraph" w:styleId="20">
    <w:name w:val="footer"/>
    <w:basedOn w:val="1"/>
    <w:link w:val="101"/>
    <w:uiPriority w:val="99"/>
    <w:pPr>
      <w:tabs>
        <w:tab w:val="center" w:pos="4153"/>
        <w:tab w:val="right" w:pos="8306"/>
      </w:tabs>
      <w:snapToGrid w:val="0"/>
    </w:pPr>
    <w:rPr>
      <w:sz w:val="18"/>
      <w:szCs w:val="18"/>
    </w:rPr>
  </w:style>
  <w:style w:type="paragraph" w:styleId="21">
    <w:name w:val="header"/>
    <w:basedOn w:val="1"/>
    <w:link w:val="100"/>
    <w:uiPriority w:val="99"/>
    <w:pPr>
      <w:tabs>
        <w:tab w:val="center" w:pos="4153"/>
        <w:tab w:val="right" w:pos="8306"/>
      </w:tabs>
      <w:snapToGrid w:val="0"/>
      <w:jc w:val="center"/>
    </w:pPr>
    <w:rPr>
      <w:sz w:val="18"/>
      <w:szCs w:val="18"/>
    </w:rPr>
  </w:style>
  <w:style w:type="paragraph" w:styleId="22">
    <w:name w:val="toc 1"/>
    <w:basedOn w:val="1"/>
    <w:next w:val="1"/>
    <w:uiPriority w:val="39"/>
  </w:style>
  <w:style w:type="paragraph" w:styleId="23">
    <w:name w:val="toc 4"/>
    <w:basedOn w:val="1"/>
    <w:next w:val="1"/>
    <w:autoRedefine/>
    <w:unhideWhenUsed/>
    <w:qFormat/>
    <w:uiPriority w:val="39"/>
    <w:pPr>
      <w:widowControl w:val="0"/>
      <w:spacing w:after="160" w:line="278" w:lineRule="auto"/>
      <w:ind w:left="1260" w:leftChars="600"/>
    </w:pPr>
    <w:rPr>
      <w:rFonts w:eastAsiaTheme="minorEastAsia"/>
      <w:kern w:val="2"/>
      <w:sz w:val="22"/>
      <w:lang w:eastAsia="zh-CN"/>
    </w:rPr>
  </w:style>
  <w:style w:type="paragraph" w:styleId="24">
    <w:name w:val="Subtitle"/>
    <w:basedOn w:val="19"/>
    <w:next w:val="3"/>
    <w:link w:val="38"/>
    <w:qFormat/>
    <w:uiPriority w:val="11"/>
    <w:rPr>
      <w:spacing w:val="15"/>
      <w:sz w:val="28"/>
      <w:szCs w:val="28"/>
    </w:rPr>
  </w:style>
  <w:style w:type="paragraph" w:styleId="25">
    <w:name w:val="footnote text"/>
    <w:basedOn w:val="1"/>
    <w:unhideWhenUsed/>
    <w:qFormat/>
    <w:uiPriority w:val="9"/>
  </w:style>
  <w:style w:type="paragraph" w:styleId="26">
    <w:name w:val="toc 6"/>
    <w:basedOn w:val="1"/>
    <w:next w:val="1"/>
    <w:autoRedefine/>
    <w:unhideWhenUsed/>
    <w:uiPriority w:val="39"/>
    <w:pPr>
      <w:widowControl w:val="0"/>
      <w:spacing w:after="160" w:line="278" w:lineRule="auto"/>
      <w:ind w:left="2100" w:leftChars="1000"/>
    </w:pPr>
    <w:rPr>
      <w:rFonts w:eastAsiaTheme="minorEastAsia"/>
      <w:kern w:val="2"/>
      <w:sz w:val="22"/>
      <w:lang w:eastAsia="zh-CN"/>
    </w:rPr>
  </w:style>
  <w:style w:type="paragraph" w:styleId="27">
    <w:name w:val="toc 2"/>
    <w:basedOn w:val="1"/>
    <w:next w:val="1"/>
    <w:qFormat/>
    <w:uiPriority w:val="39"/>
    <w:pPr>
      <w:ind w:left="420" w:leftChars="200"/>
    </w:pPr>
  </w:style>
  <w:style w:type="paragraph" w:styleId="28">
    <w:name w:val="toc 9"/>
    <w:basedOn w:val="1"/>
    <w:next w:val="1"/>
    <w:autoRedefine/>
    <w:unhideWhenUsed/>
    <w:uiPriority w:val="39"/>
    <w:pPr>
      <w:widowControl w:val="0"/>
      <w:spacing w:after="160" w:line="278" w:lineRule="auto"/>
      <w:ind w:left="3360" w:leftChars="1600"/>
    </w:pPr>
    <w:rPr>
      <w:rFonts w:eastAsiaTheme="minorEastAsia"/>
      <w:kern w:val="2"/>
      <w:sz w:val="22"/>
      <w:lang w:eastAsia="zh-CN"/>
    </w:rPr>
  </w:style>
  <w:style w:type="paragraph" w:styleId="29">
    <w:name w:val="Normal (Web)"/>
    <w:basedOn w:val="1"/>
    <w:uiPriority w:val="0"/>
    <w:pPr>
      <w:spacing w:before="0" w:beforeAutospacing="1" w:after="0" w:afterAutospacing="1"/>
      <w:ind w:left="0" w:right="0"/>
      <w:jc w:val="left"/>
    </w:pPr>
    <w:rPr>
      <w:kern w:val="0"/>
      <w:sz w:val="24"/>
      <w:lang w:val="en-US" w:eastAsia="zh-CN" w:bidi="ar"/>
    </w:rPr>
  </w:style>
  <w:style w:type="character" w:styleId="32">
    <w:name w:val="Hyperlink"/>
    <w:basedOn w:val="33"/>
    <w:qFormat/>
    <w:uiPriority w:val="99"/>
    <w:rPr>
      <w:rFonts w:ascii="Times New Roman" w:hAnsi="Times New Roman" w:eastAsia="仿宋"/>
      <w:color w:val="156082" w:themeColor="accent1"/>
      <w:sz w:val="24"/>
      <w:szCs w:val="24"/>
      <w:lang w:eastAsia="en-US"/>
    </w:rPr>
  </w:style>
  <w:style w:type="character" w:customStyle="1" w:styleId="33">
    <w:name w:val="正文文本 字符"/>
    <w:basedOn w:val="31"/>
    <w:link w:val="3"/>
    <w:qFormat/>
    <w:uiPriority w:val="0"/>
    <w:rPr>
      <w:rFonts w:ascii="Times New Roman" w:hAnsi="Times New Roman" w:eastAsia="仿宋"/>
      <w:sz w:val="24"/>
      <w:szCs w:val="24"/>
      <w:lang w:eastAsia="en-US"/>
    </w:rPr>
  </w:style>
  <w:style w:type="character" w:styleId="34">
    <w:name w:val="footnote reference"/>
    <w:basedOn w:val="33"/>
    <w:qFormat/>
    <w:uiPriority w:val="0"/>
    <w:rPr>
      <w:rFonts w:ascii="Times New Roman" w:hAnsi="Times New Roman" w:eastAsia="仿宋"/>
      <w:sz w:val="24"/>
      <w:szCs w:val="24"/>
      <w:vertAlign w:val="superscript"/>
      <w:lang w:eastAsia="en-US"/>
    </w:rPr>
  </w:style>
  <w:style w:type="paragraph" w:customStyle="1" w:styleId="35">
    <w:name w:val="First Paragraph"/>
    <w:basedOn w:val="3"/>
    <w:next w:val="3"/>
    <w:link w:val="109"/>
    <w:qFormat/>
    <w:uiPriority w:val="0"/>
    <w:pPr>
      <w:spacing w:before="0" w:after="0"/>
      <w:ind w:firstLine="200" w:firstLineChars="200"/>
      <w:jc w:val="both"/>
    </w:pPr>
    <w:rPr>
      <w:rFonts w:eastAsia="宋体"/>
    </w:rPr>
  </w:style>
  <w:style w:type="paragraph" w:customStyle="1" w:styleId="36">
    <w:name w:val="Compact"/>
    <w:basedOn w:val="3"/>
    <w:qFormat/>
    <w:uiPriority w:val="0"/>
    <w:pPr>
      <w:spacing w:before="36" w:after="36"/>
    </w:pPr>
  </w:style>
  <w:style w:type="character" w:customStyle="1" w:styleId="37">
    <w:name w:val="标题 字符"/>
    <w:basedOn w:val="31"/>
    <w:link w:val="19"/>
    <w:qFormat/>
    <w:uiPriority w:val="10"/>
    <w:rPr>
      <w:rFonts w:asciiTheme="majorHAnsi" w:hAnsiTheme="majorHAnsi" w:eastAsiaTheme="majorEastAsia" w:cstheme="majorBidi"/>
      <w:sz w:val="56"/>
      <w:szCs w:val="56"/>
    </w:rPr>
  </w:style>
  <w:style w:type="character" w:customStyle="1" w:styleId="38">
    <w:name w:val="副标题 字符"/>
    <w:basedOn w:val="31"/>
    <w:link w:val="24"/>
    <w:qFormat/>
    <w:uiPriority w:val="11"/>
    <w:rPr>
      <w:rFonts w:eastAsiaTheme="majorEastAsia" w:cstheme="majorBidi"/>
      <w:color w:val="585858" w:themeColor="text1" w:themeTint="A6"/>
      <w:spacing w:val="15"/>
      <w:sz w:val="28"/>
      <w:szCs w:val="28"/>
    </w:rPr>
  </w:style>
  <w:style w:type="paragraph" w:customStyle="1" w:styleId="39">
    <w:name w:val="Author"/>
    <w:basedOn w:val="19"/>
    <w:next w:val="3"/>
    <w:qFormat/>
    <w:uiPriority w:val="0"/>
    <w:pPr>
      <w:keepNext/>
      <w:keepLines/>
    </w:pPr>
    <w:rPr>
      <w:rFonts w:ascii="Times New Roman" w:hAnsi="Times New Roman" w:eastAsia="仿宋"/>
      <w:sz w:val="32"/>
      <w:szCs w:val="24"/>
    </w:rPr>
  </w:style>
  <w:style w:type="paragraph" w:customStyle="1" w:styleId="40">
    <w:name w:val="Abstract Title"/>
    <w:basedOn w:val="1"/>
    <w:next w:val="41"/>
    <w:qFormat/>
    <w:uiPriority w:val="0"/>
    <w:pPr>
      <w:keepNext/>
      <w:keepLines/>
      <w:spacing w:before="300" w:after="0"/>
      <w:jc w:val="center"/>
    </w:pPr>
    <w:rPr>
      <w:b/>
      <w:sz w:val="20"/>
      <w:szCs w:val="20"/>
    </w:rPr>
  </w:style>
  <w:style w:type="paragraph" w:customStyle="1" w:styleId="41">
    <w:name w:val="Abstract"/>
    <w:basedOn w:val="1"/>
    <w:next w:val="3"/>
    <w:qFormat/>
    <w:uiPriority w:val="0"/>
    <w:pPr>
      <w:keepNext/>
      <w:keepLines/>
      <w:spacing w:before="100" w:after="300"/>
    </w:pPr>
    <w:rPr>
      <w:sz w:val="20"/>
      <w:szCs w:val="20"/>
    </w:rPr>
  </w:style>
  <w:style w:type="paragraph" w:customStyle="1" w:styleId="42">
    <w:name w:val="书目1"/>
    <w:basedOn w:val="1"/>
    <w:qFormat/>
    <w:uiPriority w:val="0"/>
  </w:style>
  <w:style w:type="character" w:customStyle="1" w:styleId="43">
    <w:name w:val="标题 1 字符"/>
    <w:basedOn w:val="31"/>
    <w:link w:val="2"/>
    <w:qFormat/>
    <w:uiPriority w:val="9"/>
    <w:rPr>
      <w:rFonts w:eastAsia="黑体" w:asciiTheme="majorHAnsi" w:hAnsiTheme="majorHAnsi" w:cstheme="majorBidi"/>
      <w:b/>
      <w:sz w:val="32"/>
      <w:szCs w:val="40"/>
      <w:lang w:eastAsia="en-US"/>
    </w:rPr>
  </w:style>
  <w:style w:type="character" w:customStyle="1" w:styleId="44">
    <w:name w:val="标题 2 字符"/>
    <w:basedOn w:val="31"/>
    <w:link w:val="4"/>
    <w:qFormat/>
    <w:uiPriority w:val="9"/>
    <w:rPr>
      <w:rFonts w:ascii="黑体" w:hAnsi="黑体" w:eastAsia="黑体" w:cs="黑体"/>
      <w:color w:val="000000" w:themeColor="text1"/>
      <w:sz w:val="28"/>
      <w:szCs w:val="28"/>
      <w:lang w:eastAsia="en-US"/>
    </w:rPr>
  </w:style>
  <w:style w:type="character" w:customStyle="1" w:styleId="45">
    <w:name w:val="标题 3 字符"/>
    <w:basedOn w:val="31"/>
    <w:link w:val="5"/>
    <w:qFormat/>
    <w:uiPriority w:val="9"/>
    <w:rPr>
      <w:rFonts w:ascii="黑体" w:hAnsi="黑体" w:eastAsia="黑体" w:cs="黑体"/>
      <w:color w:val="000000" w:themeColor="text1"/>
      <w:sz w:val="24"/>
      <w:szCs w:val="24"/>
      <w:lang w:eastAsia="en-US"/>
    </w:rPr>
  </w:style>
  <w:style w:type="character" w:customStyle="1" w:styleId="46">
    <w:name w:val="标题 4 字符"/>
    <w:basedOn w:val="31"/>
    <w:link w:val="6"/>
    <w:semiHidden/>
    <w:qFormat/>
    <w:uiPriority w:val="9"/>
    <w:rPr>
      <w:rFonts w:eastAsiaTheme="majorEastAsia" w:cstheme="majorBidi"/>
      <w:i/>
      <w:iCs/>
      <w:color w:val="0F4761" w:themeColor="accent1" w:themeShade="BF"/>
    </w:rPr>
  </w:style>
  <w:style w:type="character" w:customStyle="1" w:styleId="47">
    <w:name w:val="标题 5 字符"/>
    <w:basedOn w:val="31"/>
    <w:link w:val="7"/>
    <w:semiHidden/>
    <w:qFormat/>
    <w:uiPriority w:val="9"/>
    <w:rPr>
      <w:rFonts w:eastAsiaTheme="majorEastAsia" w:cstheme="majorBidi"/>
      <w:color w:val="0F4761" w:themeColor="accent1" w:themeShade="BF"/>
    </w:rPr>
  </w:style>
  <w:style w:type="character" w:customStyle="1" w:styleId="48">
    <w:name w:val="标题 6 字符"/>
    <w:basedOn w:val="31"/>
    <w:link w:val="8"/>
    <w:semiHidden/>
    <w:qFormat/>
    <w:uiPriority w:val="9"/>
    <w:rPr>
      <w:rFonts w:eastAsiaTheme="majorEastAsia" w:cstheme="majorBidi"/>
      <w:i/>
      <w:iCs/>
      <w:color w:val="585858" w:themeColor="text1" w:themeTint="A6"/>
    </w:rPr>
  </w:style>
  <w:style w:type="character" w:customStyle="1" w:styleId="49">
    <w:name w:val="标题 7 字符"/>
    <w:basedOn w:val="31"/>
    <w:link w:val="9"/>
    <w:semiHidden/>
    <w:qFormat/>
    <w:uiPriority w:val="9"/>
    <w:rPr>
      <w:rFonts w:eastAsiaTheme="majorEastAsia" w:cstheme="majorBidi"/>
      <w:color w:val="585858" w:themeColor="text1" w:themeTint="A6"/>
    </w:rPr>
  </w:style>
  <w:style w:type="character" w:customStyle="1" w:styleId="50">
    <w:name w:val="标题 8 字符"/>
    <w:basedOn w:val="31"/>
    <w:link w:val="10"/>
    <w:semiHidden/>
    <w:qFormat/>
    <w:uiPriority w:val="9"/>
    <w:rPr>
      <w:rFonts w:eastAsiaTheme="majorEastAsia" w:cstheme="majorBidi"/>
      <w:i/>
      <w:iCs/>
      <w:color w:val="262626" w:themeColor="text1" w:themeTint="D8"/>
    </w:rPr>
  </w:style>
  <w:style w:type="character" w:customStyle="1" w:styleId="51">
    <w:name w:val="标题 9 字符"/>
    <w:basedOn w:val="31"/>
    <w:link w:val="11"/>
    <w:semiHidden/>
    <w:qFormat/>
    <w:uiPriority w:val="9"/>
    <w:rPr>
      <w:rFonts w:eastAsiaTheme="majorEastAsia" w:cstheme="majorBidi"/>
      <w:color w:val="262626" w:themeColor="text1" w:themeTint="D8"/>
    </w:rPr>
  </w:style>
  <w:style w:type="paragraph" w:customStyle="1" w:styleId="52">
    <w:name w:val="Footnote Block Text"/>
    <w:basedOn w:val="25"/>
    <w:next w:val="25"/>
    <w:unhideWhenUsed/>
    <w:qFormat/>
    <w:uiPriority w:val="9"/>
    <w:pPr>
      <w:spacing w:before="100" w:after="100"/>
      <w:ind w:left="480" w:right="480"/>
    </w:pPr>
  </w:style>
  <w:style w:type="table" w:customStyle="1" w:styleId="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4">
    <w:name w:val="Definition Term"/>
    <w:basedOn w:val="1"/>
    <w:next w:val="55"/>
    <w:qFormat/>
    <w:uiPriority w:val="0"/>
    <w:pPr>
      <w:keepNext/>
      <w:keepLines/>
      <w:spacing w:after="0"/>
    </w:pPr>
    <w:rPr>
      <w:b/>
    </w:rPr>
  </w:style>
  <w:style w:type="paragraph" w:customStyle="1" w:styleId="55">
    <w:name w:val="Definition"/>
    <w:basedOn w:val="1"/>
    <w:qFormat/>
    <w:uiPriority w:val="0"/>
  </w:style>
  <w:style w:type="paragraph" w:customStyle="1" w:styleId="56">
    <w:name w:val="Table Caption"/>
    <w:basedOn w:val="13"/>
    <w:qFormat/>
    <w:uiPriority w:val="0"/>
    <w:pPr>
      <w:keepNext/>
    </w:pPr>
  </w:style>
  <w:style w:type="paragraph" w:customStyle="1" w:styleId="57">
    <w:name w:val="Image Caption"/>
    <w:basedOn w:val="13"/>
    <w:link w:val="106"/>
    <w:qFormat/>
    <w:uiPriority w:val="0"/>
  </w:style>
  <w:style w:type="paragraph" w:customStyle="1" w:styleId="58">
    <w:name w:val="Figure"/>
    <w:basedOn w:val="1"/>
    <w:qFormat/>
    <w:uiPriority w:val="0"/>
  </w:style>
  <w:style w:type="paragraph" w:customStyle="1" w:styleId="59">
    <w:name w:val="Captioned Figure"/>
    <w:basedOn w:val="58"/>
    <w:qFormat/>
    <w:uiPriority w:val="0"/>
    <w:pPr>
      <w:keepNext/>
    </w:pPr>
  </w:style>
  <w:style w:type="character" w:customStyle="1" w:styleId="60">
    <w:name w:val="Verbatim Char"/>
    <w:basedOn w:val="33"/>
    <w:link w:val="61"/>
    <w:qFormat/>
    <w:uiPriority w:val="0"/>
    <w:rPr>
      <w:rFonts w:ascii="Consolas" w:hAnsi="Consolas" w:eastAsia="仿宋"/>
      <w:sz w:val="22"/>
      <w:szCs w:val="24"/>
      <w:lang w:eastAsia="en-US"/>
    </w:rPr>
  </w:style>
  <w:style w:type="paragraph" w:customStyle="1" w:styleId="61">
    <w:name w:val="Source Code"/>
    <w:basedOn w:val="1"/>
    <w:link w:val="60"/>
    <w:qFormat/>
    <w:uiPriority w:val="0"/>
    <w:pPr>
      <w:wordWrap w:val="0"/>
    </w:pPr>
  </w:style>
  <w:style w:type="character" w:customStyle="1" w:styleId="62">
    <w:name w:val="Section Number"/>
    <w:basedOn w:val="33"/>
    <w:qFormat/>
    <w:uiPriority w:val="0"/>
    <w:rPr>
      <w:rFonts w:ascii="Times New Roman" w:hAnsi="Times New Roman" w:eastAsia="仿宋"/>
      <w:sz w:val="24"/>
      <w:szCs w:val="24"/>
      <w:lang w:eastAsia="en-US"/>
    </w:rPr>
  </w:style>
  <w:style w:type="paragraph" w:customStyle="1" w:styleId="63">
    <w:name w:val="TOC 标题1"/>
    <w:basedOn w:val="2"/>
    <w:next w:val="3"/>
    <w:unhideWhenUsed/>
    <w:qFormat/>
    <w:uiPriority w:val="39"/>
    <w:pPr>
      <w:spacing w:before="240" w:line="259" w:lineRule="auto"/>
      <w:outlineLvl w:val="9"/>
    </w:pPr>
    <w:rPr>
      <w:rFonts w:eastAsiaTheme="majorEastAsia"/>
      <w:color w:val="0F4761" w:themeColor="accent1" w:themeShade="BF"/>
    </w:rPr>
  </w:style>
  <w:style w:type="character" w:customStyle="1" w:styleId="64">
    <w:name w:val="KeywordTok"/>
    <w:basedOn w:val="60"/>
    <w:qFormat/>
    <w:uiPriority w:val="0"/>
    <w:rPr>
      <w:rFonts w:ascii="Consolas" w:hAnsi="Consolas" w:eastAsia="仿宋"/>
      <w:b/>
      <w:color w:val="007020"/>
      <w:sz w:val="22"/>
      <w:szCs w:val="24"/>
      <w:lang w:eastAsia="en-US"/>
    </w:rPr>
  </w:style>
  <w:style w:type="character" w:customStyle="1" w:styleId="65">
    <w:name w:val="DataTypeTok"/>
    <w:basedOn w:val="60"/>
    <w:qFormat/>
    <w:uiPriority w:val="0"/>
    <w:rPr>
      <w:rFonts w:ascii="Consolas" w:hAnsi="Consolas" w:eastAsia="仿宋"/>
      <w:color w:val="902000"/>
      <w:sz w:val="22"/>
      <w:szCs w:val="24"/>
      <w:lang w:eastAsia="en-US"/>
    </w:rPr>
  </w:style>
  <w:style w:type="character" w:customStyle="1" w:styleId="66">
    <w:name w:val="DecValTok"/>
    <w:basedOn w:val="60"/>
    <w:qFormat/>
    <w:uiPriority w:val="0"/>
    <w:rPr>
      <w:rFonts w:ascii="Consolas" w:hAnsi="Consolas" w:eastAsia="仿宋"/>
      <w:color w:val="40A070"/>
      <w:sz w:val="22"/>
      <w:szCs w:val="24"/>
      <w:lang w:eastAsia="en-US"/>
    </w:rPr>
  </w:style>
  <w:style w:type="character" w:customStyle="1" w:styleId="67">
    <w:name w:val="BaseNTok"/>
    <w:basedOn w:val="60"/>
    <w:qFormat/>
    <w:uiPriority w:val="0"/>
    <w:rPr>
      <w:rFonts w:ascii="Consolas" w:hAnsi="Consolas" w:eastAsia="仿宋"/>
      <w:color w:val="40A070"/>
      <w:sz w:val="22"/>
      <w:szCs w:val="24"/>
      <w:lang w:eastAsia="en-US"/>
    </w:rPr>
  </w:style>
  <w:style w:type="character" w:customStyle="1" w:styleId="68">
    <w:name w:val="FloatTok"/>
    <w:basedOn w:val="60"/>
    <w:qFormat/>
    <w:uiPriority w:val="0"/>
    <w:rPr>
      <w:rFonts w:ascii="Consolas" w:hAnsi="Consolas" w:eastAsia="仿宋"/>
      <w:color w:val="40A070"/>
      <w:sz w:val="22"/>
      <w:szCs w:val="24"/>
      <w:lang w:eastAsia="en-US"/>
    </w:rPr>
  </w:style>
  <w:style w:type="character" w:customStyle="1" w:styleId="69">
    <w:name w:val="ConstantTok"/>
    <w:basedOn w:val="60"/>
    <w:qFormat/>
    <w:uiPriority w:val="0"/>
    <w:rPr>
      <w:rFonts w:ascii="Consolas" w:hAnsi="Consolas" w:eastAsia="仿宋"/>
      <w:color w:val="880000"/>
      <w:sz w:val="22"/>
      <w:szCs w:val="24"/>
      <w:lang w:eastAsia="en-US"/>
    </w:rPr>
  </w:style>
  <w:style w:type="character" w:customStyle="1" w:styleId="70">
    <w:name w:val="CharTok"/>
    <w:basedOn w:val="60"/>
    <w:qFormat/>
    <w:uiPriority w:val="0"/>
    <w:rPr>
      <w:rFonts w:ascii="Consolas" w:hAnsi="Consolas" w:eastAsia="仿宋"/>
      <w:color w:val="4070A0"/>
      <w:sz w:val="22"/>
      <w:szCs w:val="24"/>
      <w:lang w:eastAsia="en-US"/>
    </w:rPr>
  </w:style>
  <w:style w:type="character" w:customStyle="1" w:styleId="71">
    <w:name w:val="SpecialCharTok"/>
    <w:basedOn w:val="60"/>
    <w:qFormat/>
    <w:uiPriority w:val="0"/>
    <w:rPr>
      <w:rFonts w:ascii="Consolas" w:hAnsi="Consolas" w:eastAsia="仿宋"/>
      <w:color w:val="4070A0"/>
      <w:sz w:val="22"/>
      <w:szCs w:val="24"/>
      <w:lang w:eastAsia="en-US"/>
    </w:rPr>
  </w:style>
  <w:style w:type="character" w:customStyle="1" w:styleId="72">
    <w:name w:val="StringTok"/>
    <w:basedOn w:val="60"/>
    <w:qFormat/>
    <w:uiPriority w:val="0"/>
    <w:rPr>
      <w:rFonts w:ascii="Consolas" w:hAnsi="Consolas" w:eastAsia="仿宋"/>
      <w:color w:val="4070A0"/>
      <w:sz w:val="22"/>
      <w:szCs w:val="24"/>
      <w:lang w:eastAsia="en-US"/>
    </w:rPr>
  </w:style>
  <w:style w:type="character" w:customStyle="1" w:styleId="73">
    <w:name w:val="VerbatimStringTok"/>
    <w:basedOn w:val="60"/>
    <w:qFormat/>
    <w:uiPriority w:val="0"/>
    <w:rPr>
      <w:rFonts w:ascii="Consolas" w:hAnsi="Consolas" w:eastAsia="仿宋"/>
      <w:color w:val="4070A0"/>
      <w:sz w:val="22"/>
      <w:szCs w:val="24"/>
      <w:lang w:eastAsia="en-US"/>
    </w:rPr>
  </w:style>
  <w:style w:type="character" w:customStyle="1" w:styleId="74">
    <w:name w:val="SpecialStringTok"/>
    <w:basedOn w:val="60"/>
    <w:qFormat/>
    <w:uiPriority w:val="0"/>
    <w:rPr>
      <w:rFonts w:ascii="Consolas" w:hAnsi="Consolas" w:eastAsia="仿宋"/>
      <w:color w:val="BB6688"/>
      <w:sz w:val="22"/>
      <w:szCs w:val="24"/>
      <w:lang w:eastAsia="en-US"/>
    </w:rPr>
  </w:style>
  <w:style w:type="character" w:customStyle="1" w:styleId="75">
    <w:name w:val="ImportTok"/>
    <w:basedOn w:val="60"/>
    <w:qFormat/>
    <w:uiPriority w:val="0"/>
    <w:rPr>
      <w:rFonts w:ascii="Consolas" w:hAnsi="Consolas" w:eastAsia="仿宋"/>
      <w:b/>
      <w:color w:val="008000"/>
      <w:sz w:val="22"/>
      <w:szCs w:val="24"/>
      <w:lang w:eastAsia="en-US"/>
    </w:rPr>
  </w:style>
  <w:style w:type="character" w:customStyle="1" w:styleId="76">
    <w:name w:val="CommentTok"/>
    <w:basedOn w:val="60"/>
    <w:qFormat/>
    <w:uiPriority w:val="0"/>
    <w:rPr>
      <w:rFonts w:ascii="Consolas" w:hAnsi="Consolas" w:eastAsia="仿宋"/>
      <w:i/>
      <w:color w:val="60A0B0"/>
      <w:sz w:val="22"/>
      <w:szCs w:val="24"/>
      <w:lang w:eastAsia="en-US"/>
    </w:rPr>
  </w:style>
  <w:style w:type="character" w:customStyle="1" w:styleId="77">
    <w:name w:val="DocumentationTok"/>
    <w:basedOn w:val="60"/>
    <w:qFormat/>
    <w:uiPriority w:val="0"/>
    <w:rPr>
      <w:rFonts w:ascii="Consolas" w:hAnsi="Consolas" w:eastAsia="仿宋"/>
      <w:i/>
      <w:color w:val="BA2121"/>
      <w:sz w:val="22"/>
      <w:szCs w:val="24"/>
      <w:lang w:eastAsia="en-US"/>
    </w:rPr>
  </w:style>
  <w:style w:type="character" w:customStyle="1" w:styleId="78">
    <w:name w:val="AnnotationTok"/>
    <w:basedOn w:val="60"/>
    <w:qFormat/>
    <w:uiPriority w:val="0"/>
    <w:rPr>
      <w:rFonts w:ascii="Consolas" w:hAnsi="Consolas" w:eastAsia="仿宋"/>
      <w:b/>
      <w:i/>
      <w:color w:val="60A0B0"/>
      <w:sz w:val="22"/>
      <w:szCs w:val="24"/>
      <w:lang w:eastAsia="en-US"/>
    </w:rPr>
  </w:style>
  <w:style w:type="character" w:customStyle="1" w:styleId="79">
    <w:name w:val="CommentVarTok"/>
    <w:basedOn w:val="60"/>
    <w:qFormat/>
    <w:uiPriority w:val="0"/>
    <w:rPr>
      <w:rFonts w:ascii="Consolas" w:hAnsi="Consolas" w:eastAsia="仿宋"/>
      <w:b/>
      <w:i/>
      <w:color w:val="60A0B0"/>
      <w:sz w:val="22"/>
      <w:szCs w:val="24"/>
      <w:lang w:eastAsia="en-US"/>
    </w:rPr>
  </w:style>
  <w:style w:type="character" w:customStyle="1" w:styleId="80">
    <w:name w:val="OtherTok"/>
    <w:basedOn w:val="60"/>
    <w:qFormat/>
    <w:uiPriority w:val="0"/>
    <w:rPr>
      <w:rFonts w:ascii="Consolas" w:hAnsi="Consolas" w:eastAsia="仿宋"/>
      <w:color w:val="007020"/>
      <w:sz w:val="22"/>
      <w:szCs w:val="24"/>
      <w:lang w:eastAsia="en-US"/>
    </w:rPr>
  </w:style>
  <w:style w:type="character" w:customStyle="1" w:styleId="81">
    <w:name w:val="FunctionTok"/>
    <w:basedOn w:val="60"/>
    <w:qFormat/>
    <w:uiPriority w:val="0"/>
    <w:rPr>
      <w:rFonts w:ascii="Consolas" w:hAnsi="Consolas" w:eastAsia="仿宋"/>
      <w:color w:val="06287E"/>
      <w:sz w:val="22"/>
      <w:szCs w:val="24"/>
      <w:lang w:eastAsia="en-US"/>
    </w:rPr>
  </w:style>
  <w:style w:type="character" w:customStyle="1" w:styleId="82">
    <w:name w:val="VariableTok"/>
    <w:basedOn w:val="60"/>
    <w:qFormat/>
    <w:uiPriority w:val="0"/>
    <w:rPr>
      <w:rFonts w:ascii="Consolas" w:hAnsi="Consolas" w:eastAsia="仿宋"/>
      <w:color w:val="19177C"/>
      <w:sz w:val="22"/>
      <w:szCs w:val="24"/>
      <w:lang w:eastAsia="en-US"/>
    </w:rPr>
  </w:style>
  <w:style w:type="character" w:customStyle="1" w:styleId="83">
    <w:name w:val="ControlFlowTok"/>
    <w:basedOn w:val="60"/>
    <w:qFormat/>
    <w:uiPriority w:val="0"/>
    <w:rPr>
      <w:rFonts w:ascii="Consolas" w:hAnsi="Consolas" w:eastAsia="仿宋"/>
      <w:b/>
      <w:color w:val="007020"/>
      <w:sz w:val="22"/>
      <w:szCs w:val="24"/>
      <w:lang w:eastAsia="en-US"/>
    </w:rPr>
  </w:style>
  <w:style w:type="character" w:customStyle="1" w:styleId="84">
    <w:name w:val="OperatorTok"/>
    <w:basedOn w:val="60"/>
    <w:qFormat/>
    <w:uiPriority w:val="0"/>
    <w:rPr>
      <w:rFonts w:ascii="Consolas" w:hAnsi="Consolas" w:eastAsia="仿宋"/>
      <w:color w:val="666666"/>
      <w:sz w:val="22"/>
      <w:szCs w:val="24"/>
      <w:lang w:eastAsia="en-US"/>
    </w:rPr>
  </w:style>
  <w:style w:type="character" w:customStyle="1" w:styleId="85">
    <w:name w:val="BuiltInTok"/>
    <w:basedOn w:val="60"/>
    <w:qFormat/>
    <w:uiPriority w:val="0"/>
    <w:rPr>
      <w:rFonts w:ascii="Consolas" w:hAnsi="Consolas" w:eastAsia="仿宋"/>
      <w:color w:val="008000"/>
      <w:sz w:val="22"/>
      <w:szCs w:val="24"/>
      <w:lang w:eastAsia="en-US"/>
    </w:rPr>
  </w:style>
  <w:style w:type="character" w:customStyle="1" w:styleId="86">
    <w:name w:val="ExtensionTok"/>
    <w:basedOn w:val="60"/>
    <w:qFormat/>
    <w:uiPriority w:val="0"/>
    <w:rPr>
      <w:rFonts w:ascii="Consolas" w:hAnsi="Consolas" w:eastAsia="仿宋"/>
      <w:sz w:val="22"/>
      <w:szCs w:val="24"/>
      <w:lang w:eastAsia="en-US"/>
    </w:rPr>
  </w:style>
  <w:style w:type="character" w:customStyle="1" w:styleId="87">
    <w:name w:val="PreprocessorTok"/>
    <w:basedOn w:val="60"/>
    <w:qFormat/>
    <w:uiPriority w:val="0"/>
    <w:rPr>
      <w:rFonts w:ascii="Consolas" w:hAnsi="Consolas" w:eastAsia="仿宋"/>
      <w:color w:val="BC7A00"/>
      <w:sz w:val="22"/>
      <w:szCs w:val="24"/>
      <w:lang w:eastAsia="en-US"/>
    </w:rPr>
  </w:style>
  <w:style w:type="character" w:customStyle="1" w:styleId="88">
    <w:name w:val="AttributeTok"/>
    <w:basedOn w:val="60"/>
    <w:qFormat/>
    <w:uiPriority w:val="0"/>
    <w:rPr>
      <w:rFonts w:ascii="Consolas" w:hAnsi="Consolas" w:eastAsia="仿宋"/>
      <w:color w:val="7D9029"/>
      <w:sz w:val="22"/>
      <w:szCs w:val="24"/>
      <w:lang w:eastAsia="en-US"/>
    </w:rPr>
  </w:style>
  <w:style w:type="character" w:customStyle="1" w:styleId="89">
    <w:name w:val="RegionMarkerTok"/>
    <w:basedOn w:val="60"/>
    <w:qFormat/>
    <w:uiPriority w:val="0"/>
    <w:rPr>
      <w:rFonts w:ascii="Consolas" w:hAnsi="Consolas" w:eastAsia="仿宋"/>
      <w:sz w:val="22"/>
      <w:szCs w:val="24"/>
      <w:lang w:eastAsia="en-US"/>
    </w:rPr>
  </w:style>
  <w:style w:type="character" w:customStyle="1" w:styleId="90">
    <w:name w:val="InformationTok"/>
    <w:basedOn w:val="60"/>
    <w:qFormat/>
    <w:uiPriority w:val="0"/>
    <w:rPr>
      <w:rFonts w:ascii="Consolas" w:hAnsi="Consolas" w:eastAsia="仿宋"/>
      <w:b/>
      <w:i/>
      <w:color w:val="60A0B0"/>
      <w:sz w:val="22"/>
      <w:szCs w:val="24"/>
      <w:lang w:eastAsia="en-US"/>
    </w:rPr>
  </w:style>
  <w:style w:type="character" w:customStyle="1" w:styleId="91">
    <w:name w:val="WarningTok"/>
    <w:basedOn w:val="60"/>
    <w:qFormat/>
    <w:uiPriority w:val="0"/>
    <w:rPr>
      <w:rFonts w:ascii="Consolas" w:hAnsi="Consolas" w:eastAsia="仿宋"/>
      <w:b/>
      <w:i/>
      <w:color w:val="60A0B0"/>
      <w:sz w:val="22"/>
      <w:szCs w:val="24"/>
      <w:lang w:eastAsia="en-US"/>
    </w:rPr>
  </w:style>
  <w:style w:type="character" w:customStyle="1" w:styleId="92">
    <w:name w:val="AlertTok"/>
    <w:basedOn w:val="60"/>
    <w:qFormat/>
    <w:uiPriority w:val="0"/>
    <w:rPr>
      <w:rFonts w:ascii="Consolas" w:hAnsi="Consolas" w:eastAsia="仿宋"/>
      <w:b/>
      <w:color w:val="FF0000"/>
      <w:sz w:val="22"/>
      <w:szCs w:val="24"/>
      <w:lang w:eastAsia="en-US"/>
    </w:rPr>
  </w:style>
  <w:style w:type="character" w:customStyle="1" w:styleId="93">
    <w:name w:val="ErrorTok"/>
    <w:basedOn w:val="60"/>
    <w:qFormat/>
    <w:uiPriority w:val="0"/>
    <w:rPr>
      <w:rFonts w:ascii="Consolas" w:hAnsi="Consolas" w:eastAsia="仿宋"/>
      <w:b/>
      <w:color w:val="FF0000"/>
      <w:sz w:val="22"/>
      <w:szCs w:val="24"/>
      <w:lang w:eastAsia="en-US"/>
    </w:rPr>
  </w:style>
  <w:style w:type="character" w:customStyle="1" w:styleId="94">
    <w:name w:val="NormalTok"/>
    <w:basedOn w:val="60"/>
    <w:qFormat/>
    <w:uiPriority w:val="0"/>
    <w:rPr>
      <w:rFonts w:ascii="Consolas" w:hAnsi="Consolas" w:eastAsia="仿宋"/>
      <w:sz w:val="22"/>
      <w:szCs w:val="24"/>
      <w:lang w:eastAsia="en-US"/>
    </w:rPr>
  </w:style>
  <w:style w:type="paragraph" w:customStyle="1" w:styleId="95">
    <w:name w:val="公式样式"/>
    <w:basedOn w:val="1"/>
    <w:link w:val="96"/>
    <w:qFormat/>
    <w:uiPriority w:val="0"/>
    <w:pPr>
      <w:tabs>
        <w:tab w:val="center" w:pos="4536"/>
        <w:tab w:val="right" w:pos="8112"/>
        <w:tab w:val="right" w:pos="8400"/>
      </w:tabs>
      <w:spacing w:before="200"/>
      <w:textAlignment w:val="center"/>
    </w:pPr>
    <w:rPr>
      <w:rFonts w:ascii="Times New Roman" w:hAnsi="Times New Roman" w:eastAsia="Times New Roman" w:cs="Times New Roman"/>
      <w:sz w:val="21"/>
      <w:szCs w:val="32"/>
      <w:lang w:eastAsia="zh-CN"/>
    </w:rPr>
  </w:style>
  <w:style w:type="character" w:customStyle="1" w:styleId="96">
    <w:name w:val="公式样式 字符"/>
    <w:basedOn w:val="31"/>
    <w:link w:val="95"/>
    <w:uiPriority w:val="0"/>
    <w:rPr>
      <w:rFonts w:ascii="Times New Roman" w:hAnsi="Times New Roman" w:eastAsia="Times New Roman" w:cs="Times New Roman"/>
      <w:sz w:val="21"/>
      <w:szCs w:val="32"/>
    </w:rPr>
  </w:style>
  <w:style w:type="character" w:styleId="97">
    <w:name w:val="Placeholder Text"/>
    <w:basedOn w:val="31"/>
    <w:unhideWhenUsed/>
    <w:uiPriority w:val="99"/>
    <w:rPr>
      <w:color w:val="666666"/>
    </w:rPr>
  </w:style>
  <w:style w:type="paragraph" w:customStyle="1" w:styleId="98">
    <w:name w:val="TOC Heading"/>
    <w:basedOn w:val="2"/>
    <w:next w:val="1"/>
    <w:unhideWhenUsed/>
    <w:qFormat/>
    <w:uiPriority w:val="39"/>
    <w:pPr>
      <w:spacing w:before="240" w:after="0" w:line="259" w:lineRule="auto"/>
      <w:outlineLvl w:val="9"/>
    </w:pPr>
    <w:rPr>
      <w:szCs w:val="32"/>
      <w:lang w:eastAsia="zh-CN"/>
    </w:rPr>
  </w:style>
  <w:style w:type="character" w:customStyle="1" w:styleId="99">
    <w:name w:val="Unresolved Mention"/>
    <w:basedOn w:val="31"/>
    <w:semiHidden/>
    <w:unhideWhenUsed/>
    <w:uiPriority w:val="99"/>
    <w:rPr>
      <w:color w:val="605E5C"/>
      <w:shd w:val="clear" w:color="auto" w:fill="E1DFDD"/>
    </w:rPr>
  </w:style>
  <w:style w:type="character" w:customStyle="1" w:styleId="100">
    <w:name w:val="页眉 字符"/>
    <w:basedOn w:val="31"/>
    <w:link w:val="21"/>
    <w:uiPriority w:val="99"/>
    <w:rPr>
      <w:rFonts w:eastAsiaTheme="minorHAnsi"/>
      <w:sz w:val="18"/>
      <w:szCs w:val="18"/>
      <w:lang w:eastAsia="en-US"/>
    </w:rPr>
  </w:style>
  <w:style w:type="character" w:customStyle="1" w:styleId="101">
    <w:name w:val="页脚 字符"/>
    <w:basedOn w:val="31"/>
    <w:link w:val="20"/>
    <w:uiPriority w:val="99"/>
    <w:rPr>
      <w:rFonts w:eastAsiaTheme="minorHAnsi"/>
      <w:sz w:val="18"/>
      <w:szCs w:val="18"/>
      <w:lang w:eastAsia="en-US"/>
    </w:rPr>
  </w:style>
  <w:style w:type="paragraph" w:customStyle="1" w:styleId="102">
    <w:name w:val="表名"/>
    <w:basedOn w:val="1"/>
    <w:link w:val="103"/>
    <w:qFormat/>
    <w:uiPriority w:val="0"/>
    <w:pPr>
      <w:spacing w:before="200" w:after="0"/>
      <w:jc w:val="center"/>
    </w:pPr>
    <w:rPr>
      <w:rFonts w:ascii="Times New Roman" w:eastAsia="宋体"/>
      <w:bCs/>
      <w:sz w:val="21"/>
      <w:lang w:eastAsia="zh-CN"/>
    </w:rPr>
  </w:style>
  <w:style w:type="character" w:customStyle="1" w:styleId="103">
    <w:name w:val="表名 字符"/>
    <w:basedOn w:val="31"/>
    <w:link w:val="102"/>
    <w:uiPriority w:val="0"/>
    <w:rPr>
      <w:rFonts w:ascii="Times New Roman" w:eastAsia="宋体"/>
      <w:bCs/>
      <w:sz w:val="21"/>
      <w:szCs w:val="24"/>
    </w:rPr>
  </w:style>
  <w:style w:type="paragraph" w:customStyle="1" w:styleId="104">
    <w:name w:val="图名"/>
    <w:basedOn w:val="57"/>
    <w:link w:val="107"/>
    <w:qFormat/>
    <w:uiPriority w:val="0"/>
    <w:pPr>
      <w:spacing w:after="0"/>
      <w:jc w:val="both"/>
      <w:textAlignment w:val="center"/>
    </w:pPr>
    <w:rPr>
      <w:rFonts w:eastAsia="宋体"/>
      <w:sz w:val="21"/>
      <w:lang w:eastAsia="zh-CN"/>
    </w:rPr>
  </w:style>
  <w:style w:type="character" w:customStyle="1" w:styleId="105">
    <w:name w:val="题注 字符"/>
    <w:basedOn w:val="31"/>
    <w:link w:val="13"/>
    <w:uiPriority w:val="0"/>
    <w:rPr>
      <w:rFonts w:eastAsiaTheme="minorHAnsi"/>
      <w:i/>
      <w:sz w:val="24"/>
      <w:szCs w:val="24"/>
      <w:lang w:eastAsia="en-US"/>
    </w:rPr>
  </w:style>
  <w:style w:type="character" w:customStyle="1" w:styleId="106">
    <w:name w:val="Image Caption 字符"/>
    <w:basedOn w:val="105"/>
    <w:link w:val="57"/>
    <w:uiPriority w:val="0"/>
    <w:rPr>
      <w:rFonts w:eastAsiaTheme="minorHAnsi"/>
      <w:sz w:val="24"/>
      <w:szCs w:val="24"/>
      <w:lang w:eastAsia="en-US"/>
    </w:rPr>
  </w:style>
  <w:style w:type="character" w:customStyle="1" w:styleId="107">
    <w:name w:val="图名 字符"/>
    <w:basedOn w:val="106"/>
    <w:link w:val="104"/>
    <w:uiPriority w:val="0"/>
    <w:rPr>
      <w:rFonts w:eastAsia="宋体"/>
      <w:sz w:val="21"/>
      <w:szCs w:val="24"/>
      <w:lang w:eastAsia="en-US"/>
    </w:rPr>
  </w:style>
  <w:style w:type="paragraph" w:customStyle="1" w:styleId="108">
    <w:name w:val="表内容"/>
    <w:basedOn w:val="35"/>
    <w:link w:val="110"/>
    <w:qFormat/>
    <w:uiPriority w:val="0"/>
    <w:pPr>
      <w:spacing w:line="240" w:lineRule="atLeast"/>
      <w:ind w:firstLine="0" w:firstLineChars="0"/>
      <w:jc w:val="left"/>
    </w:pPr>
    <w:rPr>
      <w:sz w:val="21"/>
      <w:szCs w:val="22"/>
    </w:rPr>
  </w:style>
  <w:style w:type="character" w:customStyle="1" w:styleId="109">
    <w:name w:val="First Paragraph 字符"/>
    <w:basedOn w:val="33"/>
    <w:link w:val="35"/>
    <w:uiPriority w:val="0"/>
    <w:rPr>
      <w:rFonts w:ascii="Times New Roman" w:hAnsi="Times New Roman" w:eastAsia="宋体"/>
      <w:sz w:val="24"/>
      <w:szCs w:val="24"/>
      <w:lang w:eastAsia="en-US"/>
    </w:rPr>
  </w:style>
  <w:style w:type="character" w:customStyle="1" w:styleId="110">
    <w:name w:val="表内容 字符"/>
    <w:basedOn w:val="109"/>
    <w:link w:val="108"/>
    <w:uiPriority w:val="0"/>
    <w:rPr>
      <w:rFonts w:ascii="Times New Roman" w:hAnsi="Times New Roman" w:eastAsia="宋体"/>
      <w:sz w:val="21"/>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E8C7-D25B-4627-A6DA-0B84E2E134D1}">
  <ds:schemaRefs/>
</ds:datastoreItem>
</file>

<file path=docProps/app.xml><?xml version="1.0" encoding="utf-8"?>
<Properties xmlns="http://schemas.openxmlformats.org/officeDocument/2006/extended-properties" xmlns:vt="http://schemas.openxmlformats.org/officeDocument/2006/docPropsVTypes">
  <Template>Normal.dotm</Template>
  <Pages>70</Pages>
  <Words>5761</Words>
  <Characters>8269</Characters>
  <Lines>429</Lines>
  <Paragraphs>121</Paragraphs>
  <TotalTime>6</TotalTime>
  <ScaleCrop>false</ScaleCrop>
  <LinksUpToDate>false</LinksUpToDate>
  <CharactersWithSpaces>9054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2026-05-14T10:20:19Z</dcterms:modified>
  <dc:title>基于混合权重模型的奥运项目评估与预测系统设计</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