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553DBC6B">
      <w:pPr>
        <w:pStyle w:val="000002"/>
        <w:keepNext w:val="1"/>
        <w:keepLines w:val="1"/>
        <w:spacing w:before="100" w:beforeAutospacing="1" w:after="100" w:afterAutospacing="1"/>
        <w:outlineLvl w:val="0"/>
        <w:rPr>
          <w:kern w:val="44"/>
          <w:sz w:val="44"/>
          <w:szCs w:val="44"/>
        </w:rPr>
      </w:pPr>
      <w:r>
        <w:rPr>
          <w:rFonts w:hint="eastAsia"/>
          <w:b w:val="1"/>
          <w:sz w:val="44"/>
        </w:rPr>
        <w:t>曲靖郎鹰金属构件有限公司数字化转型现状分析报告</w:t>
      </w:r>
    </w:p>
    <w:p w14:paraId="7DCADB54">
      <w:r>
        <w:rPr>
          <w:rFonts w:hint="eastAsia"/>
        </w:rPr>
        <w:t>面向二级（两化融合/智能制造能力等级二级）改造的企业全景分析</w:t>
      </w:r>
    </w:p>
    <w:p w14:paraId="5BD76593">
      <w:r>
        <w:rPr>
          <w:rFonts w:hint="eastAsia"/>
        </w:rPr>
        <w:t>编制：策言（AI 工作搭档）｜2026 年 10 月 21 日｜V1.0</w:t>
      </w:r>
    </w:p>
    <w:p w14:paraId="144AEB58">
      <w:r>
        <w:rPr>
          <w:rFonts w:hint="eastAsia"/>
        </w:rPr>
        <w:t>主要依据：《曲靖郎鹰金属构件有限公司数字化转型改造实施方案（0909 版）》，并结合金属构件/装配式建筑行业通行模式与同类中小企业数字化转型实施经验展开。按当前约定，财务模块不在本报告展开范围，仅在数据贯通处作衔接性提示。</w:t>
      </w:r>
    </w:p>
    <w:p w14:paraId="2BCB4B43">
      <w:pPr>
        <w:pStyle w:val="000003"/>
        <w:keepNext w:val="1"/>
        <w:keepLines w:val="1"/>
        <w:spacing w:before="100" w:beforeAutospacing="1" w:after="100" w:afterAutospacing="1"/>
        <w:outlineLvl w:val="1"/>
        <w:rPr>
          <w:sz w:val="32"/>
          <w:szCs w:val="32"/>
        </w:rPr>
      </w:pPr>
      <w:r>
        <w:rPr>
          <w:rFonts w:hint="eastAsia"/>
          <w:b w:val="1"/>
          <w:sz w:val="32"/>
        </w:rPr>
        <w:t>报告说明</w:t>
      </w:r>
    </w:p>
    <w:p w14:paraId="3A64D945">
      <w:r>
        <w:rPr>
          <w:rFonts w:hint="eastAsia"/>
        </w:rPr>
        <w:t>本报告面向郎鹰公司数字化转型二级（规范级）改造项目编制，旨在为营销管理、质量管理、安全生产、采购管理、仓储物流等模块落地提供业务侧现状分析、短板诊断与改进建议。</w:t>
      </w:r>
    </w:p>
    <w:p w14:paraId="7ACAC7A1">
      <w:r>
        <w:rPr>
          <w:rFonts w:hint="eastAsia"/>
        </w:rPr>
        <w:t>说明：实施方案以改造需求与系统部署为主，未系统披露公司内部组织架构、岗位分工、客户与供应商明细。本报告中相关内容系基于实施方案人员配置信息与金属构件/装配式建筑行业通行模式的合理推断，正式实施前须与企业方逐项确认。</w:t>
      </w:r>
    </w:p>
    <w:p w14:paraId="11AD8F6F">
      <w:pPr>
        <w:pStyle w:val="000003"/>
        <w:keepNext w:val="1"/>
        <w:keepLines w:val="1"/>
        <w:spacing w:before="100" w:beforeAutospacing="1" w:after="100" w:afterAutospacing="1"/>
        <w:outlineLvl w:val="1"/>
        <w:rPr>
          <w:sz w:val="32"/>
          <w:szCs w:val="32"/>
        </w:rPr>
      </w:pPr>
      <w:r>
        <w:rPr>
          <w:rFonts w:hint="eastAsia"/>
          <w:b w:val="1"/>
          <w:sz w:val="32"/>
        </w:rPr>
        <w:t>执行摘要</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vAlign w:val="center"/>
          </w:tcPr>
          <w:p w14:paraId="0AC90F2D">
            <w:pPr>
              <w:rPr>
                <w:b w:val="1"/>
                <w:bCs w:val="1"/>
              </w:rPr>
            </w:pPr>
            <w:r>
              <w:rPr>
                <w:rFonts w:hint="eastAsia"/>
                <w:b w:val="1"/>
              </w:rPr>
              <w:t>维度</w:t>
            </w:r>
          </w:p>
        </w:tc>
        <w:tc>
          <w:tcPr>
            <w:tcW w:w="4153" w:type="dxa"/>
            <w:vAlign w:val="center"/>
          </w:tcPr>
          <w:p w14:paraId="3F80600A">
            <w:pPr>
              <w:rPr>
                <w:b w:val="1"/>
                <w:bCs w:val="1"/>
              </w:rPr>
            </w:pPr>
            <w:r>
              <w:rPr>
                <w:rFonts w:hint="eastAsia"/>
                <w:b w:val="1"/>
              </w:rPr>
              <w:t>郎鹰现状</w:t>
            </w:r>
          </w:p>
        </w:tc>
      </w:tr>
      <w:tr>
        <w:trPr/>
        <w:tc>
          <w:tcPr>
            <w:tcW w:w="4153" w:type="dxa"/>
            <w:vAlign w:val="center"/>
          </w:tcPr>
          <w:p w14:paraId="12002087">
            <w:r>
              <w:rPr>
                <w:rFonts w:hint="eastAsia"/>
              </w:rPr>
              <w:t>所属行业</w:t>
            </w:r>
          </w:p>
        </w:tc>
        <w:tc>
          <w:tcPr>
            <w:tcW w:w="4153" w:type="dxa"/>
            <w:vAlign w:val="center"/>
          </w:tcPr>
          <w:p w14:paraId="53C90358">
            <w:r>
              <w:rPr>
                <w:rFonts w:hint="eastAsia"/>
              </w:rPr>
              <w:t>先进装备制造（金属构件加工），细分：非标钢构配套 + 装配式轻钢房屋</w:t>
            </w:r>
          </w:p>
        </w:tc>
      </w:tr>
      <w:tr>
        <w:trPr/>
        <w:tc>
          <w:tcPr>
            <w:tcW w:w="4153" w:type="dxa"/>
            <w:vAlign w:val="center"/>
          </w:tcPr>
          <w:p w14:paraId="274B03C2">
            <w:r>
              <w:rPr>
                <w:rFonts w:hint="eastAsia"/>
              </w:rPr>
              <w:t>企业画像</w:t>
            </w:r>
          </w:p>
        </w:tc>
        <w:tc>
          <w:tcPr>
            <w:tcW w:w="4153" w:type="dxa"/>
            <w:vAlign w:val="center"/>
          </w:tcPr>
          <w:p w14:paraId="13ADFD11">
            <w:r>
              <w:rPr>
                <w:rFonts w:hint="eastAsia"/>
              </w:rPr>
              <w:t>民营高新技术企业，深耕行业十余年，小型企业，扁平化管理</w:t>
            </w:r>
          </w:p>
        </w:tc>
      </w:tr>
      <w:tr>
        <w:trPr/>
        <w:tc>
          <w:tcPr>
            <w:tcW w:w="4153" w:type="dxa"/>
            <w:vAlign w:val="center"/>
          </w:tcPr>
          <w:p w14:paraId="5E36F57F">
            <w:r>
              <w:rPr>
                <w:rFonts w:hint="eastAsia"/>
              </w:rPr>
              <w:t>改造前数字化水平</w:t>
            </w:r>
          </w:p>
        </w:tc>
        <w:tc>
          <w:tcPr>
            <w:tcW w:w="4153" w:type="dxa"/>
            <w:vAlign w:val="center"/>
          </w:tcPr>
          <w:p w14:paraId="36CB09F8">
            <w:r>
              <w:rPr>
                <w:rFonts w:hint="eastAsia"/>
              </w:rPr>
              <w:t>无等级，综合得分 24.95 分；仅产品设计、能耗管理、人力资源达一级，财务管理达二级，其余约束性场景均为无等级</w:t>
            </w:r>
          </w:p>
        </w:tc>
      </w:tr>
      <w:tr>
        <w:trPr/>
        <w:tc>
          <w:tcPr>
            <w:tcW w:w="4153" w:type="dxa"/>
            <w:vAlign w:val="center"/>
          </w:tcPr>
          <w:p w14:paraId="46E5426F">
            <w:r>
              <w:rPr>
                <w:rFonts w:hint="eastAsia"/>
              </w:rPr>
              <w:t>本次改造范围</w:t>
            </w:r>
          </w:p>
        </w:tc>
        <w:tc>
          <w:tcPr>
            <w:tcW w:w="4153" w:type="dxa"/>
            <w:vAlign w:val="center"/>
          </w:tcPr>
          <w:p w14:paraId="1F1E1AEC">
            <w:r>
              <w:rPr>
                <w:rFonts w:hint="eastAsia"/>
              </w:rPr>
              <w:t>营销管理、质量管理、安全生产、采购管理、仓储物流（财务模块按当前约定暂缓展开）</w:t>
            </w:r>
          </w:p>
        </w:tc>
      </w:tr>
      <w:tr>
        <w:trPr/>
        <w:tc>
          <w:tcPr>
            <w:tcW w:w="4153" w:type="dxa"/>
            <w:vAlign w:val="center"/>
          </w:tcPr>
          <w:p w14:paraId="70962971">
            <w:r>
              <w:rPr>
                <w:rFonts w:hint="eastAsia"/>
              </w:rPr>
              <w:t>改造目标</w:t>
            </w:r>
          </w:p>
        </w:tc>
        <w:tc>
          <w:tcPr>
            <w:tcW w:w="4153" w:type="dxa"/>
            <w:vAlign w:val="center"/>
          </w:tcPr>
          <w:p w14:paraId="24807C8C">
            <w:r>
              <w:rPr>
                <w:rFonts w:hint="eastAsia"/>
              </w:rPr>
              <w:t>数字化水平二级（规范级），综合得分 ≥45 分；6 大场景线上化率 100%，设备联网率 80%，账实相符率 ≥98%</w:t>
            </w:r>
          </w:p>
        </w:tc>
      </w:tr>
      <w:tr>
        <w:trPr/>
        <w:tc>
          <w:tcPr>
            <w:tcW w:w="4153" w:type="dxa"/>
            <w:vAlign w:val="center"/>
          </w:tcPr>
          <w:p w14:paraId="52E749A7">
            <w:r>
              <w:rPr>
                <w:rFonts w:hint="eastAsia"/>
              </w:rPr>
              <w:t>实施周期/预算</w:t>
            </w:r>
          </w:p>
        </w:tc>
        <w:tc>
          <w:tcPr>
            <w:tcW w:w="4153" w:type="dxa"/>
            <w:vAlign w:val="center"/>
          </w:tcPr>
          <w:p w14:paraId="193DA44E">
            <w:r>
              <w:rPr>
                <w:rFonts w:hint="eastAsia"/>
              </w:rPr>
              <w:t>8 周，总预算 56 万元</w:t>
            </w:r>
          </w:p>
        </w:tc>
      </w:tr>
    </w:tbl>
    <w:p w14:paraId="293AACC3">
      <w:r>
        <w:rPr>
          <w:rFonts w:hint="eastAsia"/>
        </w:rPr>
        <w:t>核心结论：</w:t>
      </w:r>
    </w:p>
    <w:p w14:paraId="235B1EDF">
      <w:pPr>
        <w:numPr>
          <w:ilvl w:val="0"/>
          <w:numId w:val="1"/>
        </w:numPr>
      </w:pPr>
      <w:r>
        <w:rPr>
          <w:rFonts w:hint="eastAsia"/>
        </w:rPr>
        <w:t>郎鹰处于"国企项目定制配套为基本盘、装配式轻钢民用市场拓展初期"的双业务阶段，传统粗放式管理（纸质台账 + Excel + 口头通知）已成为制约规模化发展与国企项目合规交付的核心瓶颈。</w:t>
      </w:r>
    </w:p>
    <w:p w14:paraId="11DCD5B9">
      <w:pPr>
        <w:numPr>
          <w:ilvl w:val="0"/>
          <w:numId w:val="1"/>
        </w:numPr>
      </w:pPr>
      <w:r>
        <w:rPr>
          <w:rFonts w:hint="eastAsia"/>
        </w:rPr>
        <w:t>六大业务环节的短板集中表现为"三无三低"：营销、采购、仓储无专业系统支撑；设备联网率低（不足 10%）、质量管控规范性低、数据贯通度低（业务与财务完全割裂）。</w:t>
      </w:r>
    </w:p>
    <w:p w14:paraId="7548EACF">
      <w:pPr>
        <w:numPr>
          <w:ilvl w:val="0"/>
          <w:numId w:val="1"/>
        </w:numPr>
      </w:pPr>
      <w:r>
        <w:rPr>
          <w:rFonts w:hint="eastAsia"/>
        </w:rPr>
        <w:t>本次改造方案将生产管控、计划排程、设备管理、工艺设计等生产执行核心场景明确排除在外，存在"业务前端上线、生产执行仍线下"的断层风险，建议以手工衔接规范管理并预留二期升级空间。</w:t>
      </w:r>
    </w:p>
    <w:p w14:paraId="5D16A6DC">
      <w:pPr>
        <w:numPr>
          <w:ilvl w:val="0"/>
          <w:numId w:val="1"/>
        </w:numPr>
      </w:pPr>
      <w:r>
        <w:rPr>
          <w:rFonts w:hint="eastAsia"/>
        </w:rPr>
        <w:t>组织呈小企业扁平结构，一人多岗是常态，系统权限须支持一人多角色；一线员工数字化基础偏弱，易用性设计 + 分岗位培训是落地成败的关键。</w:t>
      </w:r>
    </w:p>
    <w:p w14:paraId="319DFE42">
      <w:pPr>
        <w:pStyle w:val="000003"/>
        <w:keepNext w:val="1"/>
        <w:keepLines w:val="1"/>
        <w:spacing w:before="100" w:beforeAutospacing="1" w:after="100" w:afterAutospacing="1"/>
        <w:outlineLvl w:val="1"/>
        <w:rPr>
          <w:sz w:val="32"/>
          <w:szCs w:val="32"/>
        </w:rPr>
      </w:pPr>
      <w:r>
        <w:rPr>
          <w:rFonts w:hint="eastAsia"/>
          <w:b w:val="1"/>
          <w:sz w:val="32"/>
        </w:rPr>
        <w:t>一、企业概况</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vAlign w:val="center"/>
          </w:tcPr>
          <w:p w14:paraId="29721FC4">
            <w:pPr>
              <w:rPr>
                <w:b w:val="1"/>
                <w:bCs w:val="1"/>
              </w:rPr>
            </w:pPr>
            <w:r>
              <w:rPr>
                <w:rFonts w:hint="eastAsia"/>
                <w:b w:val="1"/>
              </w:rPr>
              <w:t>项目</w:t>
            </w:r>
          </w:p>
        </w:tc>
        <w:tc>
          <w:tcPr>
            <w:tcW w:w="4153" w:type="dxa"/>
            <w:vAlign w:val="center"/>
          </w:tcPr>
          <w:p w14:paraId="265ABFF6">
            <w:pPr>
              <w:rPr>
                <w:b w:val="1"/>
                <w:bCs w:val="1"/>
              </w:rPr>
            </w:pPr>
            <w:r>
              <w:rPr>
                <w:rFonts w:hint="eastAsia"/>
                <w:b w:val="1"/>
              </w:rPr>
              <w:t>内容</w:t>
            </w:r>
          </w:p>
        </w:tc>
      </w:tr>
      <w:tr>
        <w:trPr/>
        <w:tc>
          <w:tcPr>
            <w:tcW w:w="4153" w:type="dxa"/>
            <w:vAlign w:val="center"/>
          </w:tcPr>
          <w:p w14:paraId="7ACA9775">
            <w:r>
              <w:rPr>
                <w:rFonts w:hint="eastAsia"/>
              </w:rPr>
              <w:t>企业名称</w:t>
            </w:r>
          </w:p>
        </w:tc>
        <w:tc>
          <w:tcPr>
            <w:tcW w:w="4153" w:type="dxa"/>
            <w:vAlign w:val="center"/>
          </w:tcPr>
          <w:p w14:paraId="1DFA882E">
            <w:r>
              <w:rPr>
                <w:rFonts w:hint="eastAsia"/>
              </w:rPr>
              <w:t>曲靖郎鹰金属构件有限公司</w:t>
            </w:r>
          </w:p>
        </w:tc>
      </w:tr>
      <w:tr>
        <w:trPr/>
        <w:tc>
          <w:tcPr>
            <w:tcW w:w="4153" w:type="dxa"/>
            <w:vAlign w:val="center"/>
          </w:tcPr>
          <w:p w14:paraId="707A99BB">
            <w:r>
              <w:rPr>
                <w:rFonts w:hint="eastAsia"/>
              </w:rPr>
              <w:t>所属行业</w:t>
            </w:r>
          </w:p>
        </w:tc>
        <w:tc>
          <w:tcPr>
            <w:tcW w:w="4153" w:type="dxa"/>
            <w:vAlign w:val="center"/>
          </w:tcPr>
          <w:p w14:paraId="54F8D0B3">
            <w:r>
              <w:rPr>
                <w:rFonts w:hint="eastAsia"/>
              </w:rPr>
              <w:t>先进装备制造（金属构件加工）</w:t>
            </w:r>
          </w:p>
        </w:tc>
      </w:tr>
      <w:tr>
        <w:trPr/>
        <w:tc>
          <w:tcPr>
            <w:tcW w:w="4153" w:type="dxa"/>
            <w:vAlign w:val="center"/>
          </w:tcPr>
          <w:p w14:paraId="2B4F7318">
            <w:r>
              <w:rPr>
                <w:rFonts w:hint="eastAsia"/>
              </w:rPr>
              <w:t>企业性质</w:t>
            </w:r>
          </w:p>
        </w:tc>
        <w:tc>
          <w:tcPr>
            <w:tcW w:w="4153" w:type="dxa"/>
            <w:vAlign w:val="center"/>
          </w:tcPr>
          <w:p w14:paraId="4B7EA034">
            <w:r>
              <w:rPr>
                <w:rFonts w:hint="eastAsia"/>
              </w:rPr>
              <w:t>民营高新技术企业，深耕行业十余年</w:t>
            </w:r>
          </w:p>
        </w:tc>
      </w:tr>
      <w:tr>
        <w:trPr/>
        <w:tc>
          <w:tcPr>
            <w:tcW w:w="4153" w:type="dxa"/>
            <w:vAlign w:val="center"/>
          </w:tcPr>
          <w:p w14:paraId="1FF5A342">
            <w:r>
              <w:rPr>
                <w:rFonts w:hint="eastAsia"/>
              </w:rPr>
              <w:t>试点身份</w:t>
            </w:r>
          </w:p>
        </w:tc>
        <w:tc>
          <w:tcPr>
            <w:tcW w:w="4153" w:type="dxa"/>
            <w:vAlign w:val="center"/>
          </w:tcPr>
          <w:p w14:paraId="127231A4">
            <w:r>
              <w:rPr>
                <w:rFonts w:hint="eastAsia"/>
              </w:rPr>
              <w:t>曲靖市中小企业数字化转型试点企业（第 1 批）</w:t>
            </w:r>
          </w:p>
        </w:tc>
      </w:tr>
      <w:tr>
        <w:trPr/>
        <w:tc>
          <w:tcPr>
            <w:tcW w:w="4153" w:type="dxa"/>
            <w:vAlign w:val="center"/>
          </w:tcPr>
          <w:p w14:paraId="66F21111">
            <w:r>
              <w:rPr>
                <w:rFonts w:hint="eastAsia"/>
              </w:rPr>
              <w:t>主营业务</w:t>
            </w:r>
          </w:p>
        </w:tc>
        <w:tc>
          <w:tcPr>
            <w:tcW w:w="4153" w:type="dxa"/>
            <w:vAlign w:val="center"/>
          </w:tcPr>
          <w:p w14:paraId="2E366D4E">
            <w:r>
              <w:rPr>
                <w:rFonts w:hint="eastAsia"/>
              </w:rPr>
              <w:t>① 非标金属结构件定制（服务红云红河烟草集团等大型国企）；② 超低能耗装配式轻钢房屋研发与生产</w:t>
            </w:r>
          </w:p>
        </w:tc>
      </w:tr>
      <w:tr>
        <w:trPr/>
        <w:tc>
          <w:tcPr>
            <w:tcW w:w="4153" w:type="dxa"/>
            <w:vAlign w:val="center"/>
          </w:tcPr>
          <w:p w14:paraId="029215C4">
            <w:r>
              <w:rPr>
                <w:rFonts w:hint="eastAsia"/>
              </w:rPr>
              <w:t>竞争态势</w:t>
            </w:r>
          </w:p>
        </w:tc>
        <w:tc>
          <w:tcPr>
            <w:tcW w:w="4153" w:type="dxa"/>
            <w:vAlign w:val="center"/>
          </w:tcPr>
          <w:p w14:paraId="5980E477">
            <w:r>
              <w:rPr>
                <w:rFonts w:hint="eastAsia"/>
              </w:rPr>
              <w:t>区域非标钢构配套领域凭定制化能力与国企合作口碑具备差异化优势；装配式建筑民用市场处于拓展初期，面临标准化产品缺失、营销渠道单一、数字化管理滞后短板</w:t>
            </w:r>
          </w:p>
        </w:tc>
      </w:tr>
      <w:tr>
        <w:trPr/>
        <w:tc>
          <w:tcPr>
            <w:tcW w:w="4153" w:type="dxa"/>
            <w:vAlign w:val="center"/>
          </w:tcPr>
          <w:p w14:paraId="2D01BCC3">
            <w:r>
              <w:rPr>
                <w:rFonts w:hint="eastAsia"/>
              </w:rPr>
              <w:t>核心设备</w:t>
            </w:r>
          </w:p>
        </w:tc>
        <w:tc>
          <w:tcPr>
            <w:tcW w:w="4153" w:type="dxa"/>
            <w:vAlign w:val="center"/>
          </w:tcPr>
          <w:p w14:paraId="6613E7A4">
            <w:r>
              <w:rPr>
                <w:rFonts w:hint="eastAsia"/>
              </w:rPr>
              <w:t>激光切割机、等离子切割机、轻钢龙骨成型机等</w:t>
            </w:r>
          </w:p>
        </w:tc>
      </w:tr>
      <w:tr>
        <w:trPr/>
        <w:tc>
          <w:tcPr>
            <w:tcW w:w="4153" w:type="dxa"/>
            <w:vAlign w:val="center"/>
          </w:tcPr>
          <w:p w14:paraId="762C3F12">
            <w:r>
              <w:rPr>
                <w:rFonts w:hint="eastAsia"/>
              </w:rPr>
              <w:t>现有财务系统</w:t>
            </w:r>
          </w:p>
        </w:tc>
        <w:tc>
          <w:tcPr>
            <w:tcW w:w="4153" w:type="dxa"/>
            <w:vAlign w:val="center"/>
          </w:tcPr>
          <w:p w14:paraId="15E7F8F8">
            <w:r>
              <w:rPr>
                <w:rFonts w:hint="eastAsia"/>
              </w:rPr>
              <w:t>用友 T+ 云财税（仅启用总账、往来、固定资产、财务报表基础模块）</w:t>
            </w:r>
          </w:p>
        </w:tc>
      </w:tr>
    </w:tbl>
    <w:p w14:paraId="6058CA48">
      <w:pPr>
        <w:pStyle w:val="000003"/>
        <w:keepNext w:val="1"/>
        <w:keepLines w:val="1"/>
        <w:spacing w:before="100" w:beforeAutospacing="1" w:after="100" w:afterAutospacing="1"/>
        <w:outlineLvl w:val="1"/>
        <w:rPr>
          <w:sz w:val="32"/>
          <w:szCs w:val="32"/>
        </w:rPr>
      </w:pPr>
      <w:r>
        <w:rPr>
          <w:rFonts w:hint="eastAsia"/>
          <w:b w:val="1"/>
          <w:sz w:val="32"/>
        </w:rPr>
        <w:t>二、组织与人员</w:t>
      </w:r>
    </w:p>
    <w:p w14:paraId="4EF99055">
      <w:pPr>
        <w:pStyle w:val="000007"/>
        <w:keepNext w:val="1"/>
        <w:keepLines w:val="1"/>
        <w:spacing w:before="100" w:beforeAutospacing="1" w:after="100" w:afterAutospacing="1"/>
        <w:outlineLvl w:val="2"/>
        <w:rPr>
          <w:sz w:val="32"/>
          <w:szCs w:val="32"/>
        </w:rPr>
      </w:pPr>
      <w:r>
        <w:rPr>
          <w:rFonts w:hint="eastAsia"/>
          <w:b w:val="1"/>
          <w:sz w:val="32"/>
        </w:rPr>
        <w:t>（一）组织架构（推断）</w:t>
      </w:r>
    </w:p>
    <w:p w14:paraId="74009B0E">
      <w:r>
        <w:rPr>
          <w:rFonts w:hint="eastAsia"/>
        </w:rPr>
        <w:t>郎鹰为小型民营企业，决策高度集中。结合实施方案中"企业方协同人员"配置（项目总负责人 1 人、专职对接人 1 人、关键用户 5 人，覆盖财务岗、仓储岗、采购/销售岗）与行业通行模式推断，现行组织呈"总经理统筹 + 少数职能线"的扁平结构：</w:t>
      </w:r>
    </w:p>
    <w:p w14:paraId="3D2C1D5E">
      <w:pPr>
        <w:numPr>
          <w:ilvl w:val="0"/>
          <w:numId w:val="2"/>
        </w:numPr>
      </w:pPr>
      <w:r>
        <w:rPr>
          <w:rFonts w:hint="eastAsia"/>
        </w:rPr>
        <w:t>决策层：总经理，负责战略决策、重大项目与招投标决策、重大审批；</w:t>
      </w:r>
    </w:p>
    <w:p w14:paraId="03C95707">
      <w:pPr>
        <w:numPr>
          <w:ilvl w:val="0"/>
          <w:numId w:val="2"/>
        </w:numPr>
      </w:pPr>
      <w:r>
        <w:rPr>
          <w:rFonts w:hint="eastAsia"/>
        </w:rPr>
        <w:t>技术设计线：设计人员（非标钢构图纸、装配式轻钢房屋研发），设计资料目前以本地电脑分散存储与纸质归档为主；</w:t>
      </w:r>
    </w:p>
    <w:p w14:paraId="4B49EBCE">
      <w:pPr>
        <w:numPr>
          <w:ilvl w:val="0"/>
          <w:numId w:val="2"/>
        </w:numPr>
      </w:pPr>
      <w:r>
        <w:rPr>
          <w:rFonts w:hint="eastAsia"/>
        </w:rPr>
        <w:t>生产制造线：车间班组（切割、焊接、成型、装配等工序作业），班组长承担进度口头汇报与手工台账记录；</w:t>
      </w:r>
    </w:p>
    <w:p w14:paraId="50C9A8AA">
      <w:pPr>
        <w:numPr>
          <w:ilvl w:val="0"/>
          <w:numId w:val="2"/>
        </w:numPr>
      </w:pPr>
      <w:r>
        <w:rPr>
          <w:rFonts w:hint="eastAsia"/>
        </w:rPr>
        <w:t>采购销售线：采购/销售人员（实施方案中采购岗与销售岗合计约 2 人，存在一人兼两岗的可能）；</w:t>
      </w:r>
    </w:p>
    <w:p w14:paraId="2FEDD0D4">
      <w:pPr>
        <w:numPr>
          <w:ilvl w:val="0"/>
          <w:numId w:val="2"/>
        </w:numPr>
      </w:pPr>
      <w:r>
        <w:rPr>
          <w:rFonts w:hint="eastAsia"/>
        </w:rPr>
        <w:t>仓储线：库管员，负责物料出入库、台账与盘点（目前以 Excel/纸质台账为主）；</w:t>
      </w:r>
    </w:p>
    <w:p w14:paraId="702D331F">
      <w:pPr>
        <w:numPr>
          <w:ilvl w:val="0"/>
          <w:numId w:val="2"/>
        </w:numPr>
      </w:pPr>
      <w:r>
        <w:rPr>
          <w:rFonts w:hint="eastAsia"/>
        </w:rPr>
        <w:t>质量与安全线：兼职或专职质检/安全人员，承担现场巡查、检验记录（目前以人工现场巡查与抄录为主）；</w:t>
      </w:r>
    </w:p>
    <w:p w14:paraId="6396CD5B">
      <w:pPr>
        <w:numPr>
          <w:ilvl w:val="0"/>
          <w:numId w:val="2"/>
        </w:numPr>
      </w:pPr>
      <w:r>
        <w:rPr>
          <w:rFonts w:hint="eastAsia"/>
        </w:rPr>
        <w:t>财务线：财务人员，使用用友 T+ 基础模块记账。</w:t>
      </w:r>
    </w:p>
    <w:p w14:paraId="218096A2">
      <w:pPr>
        <w:pStyle w:val="000007"/>
        <w:keepNext w:val="1"/>
        <w:keepLines w:val="1"/>
        <w:spacing w:before="100" w:beforeAutospacing="1" w:after="100" w:afterAutospacing="1"/>
        <w:outlineLvl w:val="2"/>
        <w:rPr>
          <w:sz w:val="32"/>
          <w:szCs w:val="32"/>
        </w:rPr>
      </w:pPr>
      <w:r>
        <w:rPr>
          <w:rFonts w:hint="eastAsia"/>
          <w:b w:val="1"/>
          <w:sz w:val="32"/>
        </w:rPr>
        <w:t>（二）岗位职责与系统角色映射（建议）</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vAlign w:val="center"/>
          </w:tcPr>
          <w:p w14:paraId="1AAC04E8">
            <w:pPr>
              <w:rPr>
                <w:b w:val="1"/>
                <w:bCs w:val="1"/>
              </w:rPr>
            </w:pPr>
            <w:r>
              <w:rPr>
                <w:rFonts w:hint="eastAsia"/>
                <w:b w:val="1"/>
              </w:rPr>
              <w:t>岗位</w:t>
            </w:r>
          </w:p>
        </w:tc>
        <w:tc>
          <w:tcPr>
            <w:tcW w:w="2076" w:type="dxa"/>
            <w:vAlign w:val="center"/>
          </w:tcPr>
          <w:p w14:paraId="4883979B">
            <w:pPr>
              <w:rPr>
                <w:b w:val="1"/>
                <w:bCs w:val="1"/>
              </w:rPr>
            </w:pPr>
            <w:r>
              <w:rPr>
                <w:rFonts w:hint="eastAsia"/>
                <w:b w:val="1"/>
              </w:rPr>
              <w:t>核心职责（现状）</w:t>
            </w:r>
          </w:p>
        </w:tc>
        <w:tc>
          <w:tcPr>
            <w:tcW w:w="2076" w:type="dxa"/>
            <w:vAlign w:val="center"/>
          </w:tcPr>
          <w:p w14:paraId="1D2C0F08">
            <w:pPr>
              <w:rPr>
                <w:b w:val="1"/>
                <w:bCs w:val="1"/>
              </w:rPr>
            </w:pPr>
            <w:r>
              <w:rPr>
                <w:rFonts w:hint="eastAsia"/>
                <w:b w:val="1"/>
              </w:rPr>
              <w:t>建议 ERP 角色</w:t>
            </w:r>
          </w:p>
        </w:tc>
        <w:tc>
          <w:tcPr>
            <w:tcW w:w="2076" w:type="dxa"/>
            <w:vAlign w:val="center"/>
          </w:tcPr>
          <w:p w14:paraId="0F6DEF34">
            <w:pPr>
              <w:rPr>
                <w:b w:val="1"/>
                <w:bCs w:val="1"/>
              </w:rPr>
            </w:pPr>
            <w:r>
              <w:rPr>
                <w:rFonts w:hint="eastAsia"/>
                <w:b w:val="1"/>
              </w:rPr>
              <w:t>主要操作模块</w:t>
            </w:r>
          </w:p>
        </w:tc>
      </w:tr>
      <w:tr>
        <w:trPr/>
        <w:tc>
          <w:tcPr>
            <w:tcW w:w="2076" w:type="dxa"/>
            <w:vAlign w:val="center"/>
          </w:tcPr>
          <w:p w14:paraId="44DC7E27">
            <w:r>
              <w:rPr>
                <w:rFonts w:hint="eastAsia"/>
              </w:rPr>
              <w:t>总经理</w:t>
            </w:r>
          </w:p>
        </w:tc>
        <w:tc>
          <w:tcPr>
            <w:tcW w:w="2076" w:type="dxa"/>
            <w:vAlign w:val="center"/>
          </w:tcPr>
          <w:p w14:paraId="468791CF">
            <w:r>
              <w:rPr>
                <w:rFonts w:hint="eastAsia"/>
              </w:rPr>
              <w:t>战略决策、重大审批、招投标决策</w:t>
            </w:r>
          </w:p>
        </w:tc>
        <w:tc>
          <w:tcPr>
            <w:tcW w:w="2076" w:type="dxa"/>
            <w:vAlign w:val="center"/>
          </w:tcPr>
          <w:p w14:paraId="4E4E48F5">
            <w:r>
              <w:rPr>
                <w:rFonts w:hint="eastAsia"/>
              </w:rPr>
              <w:t>系统管理员 + 审批人</w:t>
            </w:r>
          </w:p>
        </w:tc>
        <w:tc>
          <w:tcPr>
            <w:tcW w:w="2076" w:type="dxa"/>
            <w:vAlign w:val="center"/>
          </w:tcPr>
          <w:p w14:paraId="13A52A24">
            <w:r>
              <w:rPr>
                <w:rFonts w:hint="eastAsia"/>
              </w:rPr>
              <w:t>全模块（审批视角）</w:t>
            </w:r>
          </w:p>
        </w:tc>
      </w:tr>
      <w:tr>
        <w:trPr/>
        <w:tc>
          <w:tcPr>
            <w:tcW w:w="2076" w:type="dxa"/>
            <w:vAlign w:val="center"/>
          </w:tcPr>
          <w:p w14:paraId="0C640218">
            <w:r>
              <w:rPr>
                <w:rFonts w:hint="eastAsia"/>
              </w:rPr>
              <w:t>专职对接人</w:t>
            </w:r>
          </w:p>
        </w:tc>
        <w:tc>
          <w:tcPr>
            <w:tcW w:w="2076" w:type="dxa"/>
            <w:vAlign w:val="center"/>
          </w:tcPr>
          <w:p w14:paraId="51FB908B">
            <w:r>
              <w:rPr>
                <w:rFonts w:hint="eastAsia"/>
              </w:rPr>
              <w:t>项目协调、数据收集</w:t>
            </w:r>
          </w:p>
        </w:tc>
        <w:tc>
          <w:tcPr>
            <w:tcW w:w="2076" w:type="dxa"/>
            <w:vAlign w:val="center"/>
          </w:tcPr>
          <w:p w14:paraId="256D2109">
            <w:r>
              <w:rPr>
                <w:rFonts w:hint="eastAsia"/>
              </w:rPr>
              <w:t>企业 IT 协调员</w:t>
            </w:r>
          </w:p>
        </w:tc>
        <w:tc>
          <w:tcPr>
            <w:tcW w:w="2076" w:type="dxa"/>
            <w:vAlign w:val="center"/>
          </w:tcPr>
          <w:p w14:paraId="6A91D59E">
            <w:r>
              <w:rPr>
                <w:rFonts w:hint="eastAsia"/>
              </w:rPr>
              <w:t>全模块（运维视角）</w:t>
            </w:r>
          </w:p>
        </w:tc>
      </w:tr>
      <w:tr>
        <w:trPr/>
        <w:tc>
          <w:tcPr>
            <w:tcW w:w="2076" w:type="dxa"/>
            <w:vAlign w:val="center"/>
          </w:tcPr>
          <w:p w14:paraId="0180996E">
            <w:r>
              <w:rPr>
                <w:rFonts w:hint="eastAsia"/>
              </w:rPr>
              <w:t>销售</w:t>
            </w:r>
          </w:p>
        </w:tc>
        <w:tc>
          <w:tcPr>
            <w:tcW w:w="2076" w:type="dxa"/>
            <w:vAlign w:val="center"/>
          </w:tcPr>
          <w:p w14:paraId="7B076742">
            <w:r>
              <w:rPr>
                <w:rFonts w:hint="eastAsia"/>
              </w:rPr>
              <w:t>客户维护、投标配合、订单获取、回款跟催</w:t>
            </w:r>
          </w:p>
        </w:tc>
        <w:tc>
          <w:tcPr>
            <w:tcW w:w="2076" w:type="dxa"/>
            <w:vAlign w:val="center"/>
          </w:tcPr>
          <w:p w14:paraId="121EEFFA">
            <w:r>
              <w:rPr>
                <w:rFonts w:hint="eastAsia"/>
              </w:rPr>
              <w:t>销售员</w:t>
            </w:r>
          </w:p>
        </w:tc>
        <w:tc>
          <w:tcPr>
            <w:tcW w:w="2076" w:type="dxa"/>
            <w:vAlign w:val="center"/>
          </w:tcPr>
          <w:p w14:paraId="48EC1F5F">
            <w:r>
              <w:rPr>
                <w:rFonts w:hint="eastAsia"/>
              </w:rPr>
              <w:t>营销管理</w:t>
            </w:r>
          </w:p>
        </w:tc>
      </w:tr>
      <w:tr>
        <w:trPr/>
        <w:tc>
          <w:tcPr>
            <w:tcW w:w="2076" w:type="dxa"/>
            <w:vAlign w:val="center"/>
          </w:tcPr>
          <w:p w14:paraId="67F1D72A">
            <w:r>
              <w:rPr>
                <w:rFonts w:hint="eastAsia"/>
              </w:rPr>
              <w:t>采购</w:t>
            </w:r>
          </w:p>
        </w:tc>
        <w:tc>
          <w:tcPr>
            <w:tcW w:w="2076" w:type="dxa"/>
            <w:vAlign w:val="center"/>
          </w:tcPr>
          <w:p w14:paraId="0E925670">
            <w:r>
              <w:rPr>
                <w:rFonts w:hint="eastAsia"/>
              </w:rPr>
              <w:t>供应商对接、询比价、下单</w:t>
            </w:r>
          </w:p>
        </w:tc>
        <w:tc>
          <w:tcPr>
            <w:tcW w:w="2076" w:type="dxa"/>
            <w:vAlign w:val="center"/>
          </w:tcPr>
          <w:p w14:paraId="25839D8B">
            <w:r>
              <w:rPr>
                <w:rFonts w:hint="eastAsia"/>
              </w:rPr>
              <w:t>采购员</w:t>
            </w:r>
          </w:p>
        </w:tc>
        <w:tc>
          <w:tcPr>
            <w:tcW w:w="2076" w:type="dxa"/>
            <w:vAlign w:val="center"/>
          </w:tcPr>
          <w:p w14:paraId="527A4180">
            <w:r>
              <w:rPr>
                <w:rFonts w:hint="eastAsia"/>
              </w:rPr>
              <w:t>采购管理</w:t>
            </w:r>
          </w:p>
        </w:tc>
      </w:tr>
      <w:tr>
        <w:trPr/>
        <w:tc>
          <w:tcPr>
            <w:tcW w:w="2076" w:type="dxa"/>
            <w:vAlign w:val="center"/>
          </w:tcPr>
          <w:p w14:paraId="0F12FA8E">
            <w:r>
              <w:rPr>
                <w:rFonts w:hint="eastAsia"/>
              </w:rPr>
              <w:t>库管员</w:t>
            </w:r>
          </w:p>
        </w:tc>
        <w:tc>
          <w:tcPr>
            <w:tcW w:w="2076" w:type="dxa"/>
            <w:vAlign w:val="center"/>
          </w:tcPr>
          <w:p w14:paraId="55DE4260">
            <w:r>
              <w:rPr>
                <w:rFonts w:hint="eastAsia"/>
              </w:rPr>
              <w:t>出入库作业、库存台账、盘点</w:t>
            </w:r>
          </w:p>
        </w:tc>
        <w:tc>
          <w:tcPr>
            <w:tcW w:w="2076" w:type="dxa"/>
            <w:vAlign w:val="center"/>
          </w:tcPr>
          <w:p w14:paraId="2056C3DB">
            <w:r>
              <w:rPr>
                <w:rFonts w:hint="eastAsia"/>
              </w:rPr>
              <w:t>仓库操作员</w:t>
            </w:r>
          </w:p>
        </w:tc>
        <w:tc>
          <w:tcPr>
            <w:tcW w:w="2076" w:type="dxa"/>
            <w:vAlign w:val="center"/>
          </w:tcPr>
          <w:p w14:paraId="5EF71BBC">
            <w:r>
              <w:rPr>
                <w:rFonts w:hint="eastAsia"/>
              </w:rPr>
              <w:t>仓储物流</w:t>
            </w:r>
          </w:p>
        </w:tc>
      </w:tr>
      <w:tr>
        <w:trPr/>
        <w:tc>
          <w:tcPr>
            <w:tcW w:w="2076" w:type="dxa"/>
            <w:vAlign w:val="center"/>
          </w:tcPr>
          <w:p w14:paraId="6D0F60C2">
            <w:r>
              <w:rPr>
                <w:rFonts w:hint="eastAsia"/>
              </w:rPr>
              <w:t>质检/安全员</w:t>
            </w:r>
          </w:p>
        </w:tc>
        <w:tc>
          <w:tcPr>
            <w:tcW w:w="2076" w:type="dxa"/>
            <w:vAlign w:val="center"/>
          </w:tcPr>
          <w:p w14:paraId="4871E9BA">
            <w:r>
              <w:rPr>
                <w:rFonts w:hint="eastAsia"/>
              </w:rPr>
              <w:t>检验记录、巡查与隐患整改记录</w:t>
            </w:r>
          </w:p>
        </w:tc>
        <w:tc>
          <w:tcPr>
            <w:tcW w:w="2076" w:type="dxa"/>
            <w:vAlign w:val="center"/>
          </w:tcPr>
          <w:p w14:paraId="5348856E">
            <w:r>
              <w:rPr>
                <w:rFonts w:hint="eastAsia"/>
              </w:rPr>
              <w:t>质量管理员 + 安全员</w:t>
            </w:r>
          </w:p>
        </w:tc>
        <w:tc>
          <w:tcPr>
            <w:tcW w:w="2076" w:type="dxa"/>
            <w:vAlign w:val="center"/>
          </w:tcPr>
          <w:p w14:paraId="27B32C81">
            <w:r>
              <w:rPr>
                <w:rFonts w:hint="eastAsia"/>
              </w:rPr>
              <w:t>质量管理、安全生产</w:t>
            </w:r>
          </w:p>
        </w:tc>
      </w:tr>
      <w:tr>
        <w:trPr/>
        <w:tc>
          <w:tcPr>
            <w:tcW w:w="2076" w:type="dxa"/>
            <w:vAlign w:val="center"/>
          </w:tcPr>
          <w:p w14:paraId="114ACFB5">
            <w:r>
              <w:rPr>
                <w:rFonts w:hint="eastAsia"/>
              </w:rPr>
              <w:t>车间班组长</w:t>
            </w:r>
          </w:p>
        </w:tc>
        <w:tc>
          <w:tcPr>
            <w:tcW w:w="2076" w:type="dxa"/>
            <w:vAlign w:val="center"/>
          </w:tcPr>
          <w:p w14:paraId="182D177F">
            <w:r>
              <w:rPr>
                <w:rFonts w:hint="eastAsia"/>
              </w:rPr>
              <w:t>工序作业、进度手工台账</w:t>
            </w:r>
          </w:p>
        </w:tc>
        <w:tc>
          <w:tcPr>
            <w:tcW w:w="2076" w:type="dxa"/>
            <w:vAlign w:val="center"/>
          </w:tcPr>
          <w:p w14:paraId="058FA577">
            <w:r>
              <w:rPr>
                <w:rFonts w:hint="eastAsia"/>
              </w:rPr>
              <w:t>（一期线下，二期报工操作员）</w:t>
            </w:r>
          </w:p>
        </w:tc>
        <w:tc>
          <w:tcPr>
            <w:tcW w:w="2076" w:type="dxa"/>
            <w:vAlign w:val="center"/>
          </w:tcPr>
          <w:p w14:paraId="2BFF49CB">
            <w:r>
              <w:rPr>
                <w:rFonts w:hint="eastAsia"/>
              </w:rPr>
              <w:t>生产管控（预留）</w:t>
            </w:r>
          </w:p>
        </w:tc>
      </w:tr>
      <w:tr>
        <w:trPr/>
        <w:tc>
          <w:tcPr>
            <w:tcW w:w="2076" w:type="dxa"/>
            <w:vAlign w:val="center"/>
          </w:tcPr>
          <w:p w14:paraId="40D8825E">
            <w:r>
              <w:rPr>
                <w:rFonts w:hint="eastAsia"/>
              </w:rPr>
              <w:t>财务</w:t>
            </w:r>
          </w:p>
        </w:tc>
        <w:tc>
          <w:tcPr>
            <w:tcW w:w="2076" w:type="dxa"/>
            <w:vAlign w:val="center"/>
          </w:tcPr>
          <w:p w14:paraId="7125FCE3">
            <w:r>
              <w:rPr>
                <w:rFonts w:hint="eastAsia"/>
              </w:rPr>
              <w:t>总账、往来、报表</w:t>
            </w:r>
          </w:p>
        </w:tc>
        <w:tc>
          <w:tcPr>
            <w:tcW w:w="2076" w:type="dxa"/>
            <w:vAlign w:val="center"/>
          </w:tcPr>
          <w:p w14:paraId="3773A39A">
            <w:r>
              <w:rPr>
                <w:rFonts w:hint="eastAsia"/>
              </w:rPr>
              <w:t>（财务模块暂缓，预留财务会计角色）</w:t>
            </w:r>
          </w:p>
        </w:tc>
        <w:tc>
          <w:tcPr>
            <w:tcW w:w="2076" w:type="dxa"/>
            <w:vAlign w:val="center"/>
          </w:tcPr>
          <w:p w14:paraId="651332BE">
            <w:r>
              <w:rPr>
                <w:rFonts w:hint="eastAsia"/>
              </w:rPr>
              <w:t>财务管理（预留）</w:t>
            </w:r>
          </w:p>
        </w:tc>
      </w:tr>
    </w:tbl>
    <w:p w14:paraId="4681ADA6">
      <w:pPr>
        <w:pStyle w:val="000007"/>
        <w:keepNext w:val="1"/>
        <w:keepLines w:val="1"/>
        <w:spacing w:before="100" w:beforeAutospacing="1" w:after="100" w:afterAutospacing="1"/>
        <w:outlineLvl w:val="2"/>
        <w:rPr>
          <w:sz w:val="32"/>
          <w:szCs w:val="32"/>
        </w:rPr>
      </w:pPr>
      <w:r>
        <w:rPr>
          <w:rFonts w:hint="eastAsia"/>
          <w:b w:val="1"/>
          <w:sz w:val="32"/>
        </w:rPr>
        <w:t>（三）人员数字化能力现状</w:t>
      </w:r>
    </w:p>
    <w:p w14:paraId="0380B1F5">
      <w:pPr>
        <w:numPr>
          <w:ilvl w:val="0"/>
          <w:numId w:val="2"/>
        </w:numPr>
      </w:pPr>
      <w:r>
        <w:rPr>
          <w:rFonts w:hint="eastAsia"/>
        </w:rPr>
        <w:t>一线员工（车间、仓储、质检）数字化操作能力偏弱，实施方案已明确"员工操作能力有限"并配套图文操作卡、短视频教程、一对一实操培训等缓解措施；</w:t>
      </w:r>
    </w:p>
    <w:p w14:paraId="34FE38DE">
      <w:pPr>
        <w:numPr>
          <w:ilvl w:val="0"/>
          <w:numId w:val="2"/>
        </w:numPr>
      </w:pPr>
      <w:r>
        <w:rPr>
          <w:rFonts w:hint="eastAsia"/>
        </w:rPr>
        <w:t>企业无专职 IT 人员，方案以"企业 IT 协调员（兼职）+ 服务商远程/驻场支持"模式补位；</w:t>
      </w:r>
    </w:p>
    <w:p w14:paraId="3173008E">
      <w:pPr>
        <w:numPr>
          <w:ilvl w:val="0"/>
          <w:numId w:val="2"/>
        </w:numPr>
      </w:pPr>
      <w:r>
        <w:rPr>
          <w:rFonts w:hint="eastAsia"/>
        </w:rPr>
        <w:t>管理层数字化决策能力待建立：目前依赖人工汇总报表，无经营数据看板。</w:t>
      </w:r>
    </w:p>
    <w:p w14:paraId="04926E65">
      <w:pPr>
        <w:pStyle w:val="000007"/>
        <w:keepNext w:val="1"/>
        <w:keepLines w:val="1"/>
        <w:spacing w:before="100" w:beforeAutospacing="1" w:after="100" w:afterAutospacing="1"/>
        <w:outlineLvl w:val="2"/>
        <w:rPr>
          <w:sz w:val="32"/>
          <w:szCs w:val="32"/>
        </w:rPr>
      </w:pPr>
      <w:r>
        <w:rPr>
          <w:rFonts w:hint="eastAsia"/>
          <w:b w:val="1"/>
          <w:sz w:val="32"/>
        </w:rPr>
        <w:t>（四）短板与改进建议</w:t>
      </w:r>
    </w:p>
    <w:p w14:paraId="601EB9C7">
      <w:r>
        <w:rPr>
          <w:rFonts w:hint="eastAsia"/>
        </w:rPr>
        <w:t>短板：① 无专职 IT 岗，系统上线后的日常运维与数据治理存在断档风险；② 一人多岗与关键用户仅 5 人的配置，存在"关键用户离职/请假即流程断链"风险；③ 设计、工艺等知识资产依附于个人经验，人员依赖度高。</w:t>
      </w:r>
    </w:p>
    <w:p w14:paraId="1ECFAD44">
      <w:r>
        <w:rPr>
          <w:rFonts w:hint="eastAsia"/>
        </w:rPr>
        <w:t>改进建议：</w:t>
      </w:r>
    </w:p>
    <w:p w14:paraId="0800DBA8">
      <w:pPr>
        <w:numPr>
          <w:ilvl w:val="0"/>
          <w:numId w:val="3"/>
        </w:numPr>
      </w:pPr>
      <w:r>
        <w:rPr>
          <w:rFonts w:hint="eastAsia"/>
        </w:rPr>
        <w:t>按上表建立"岗位—角色—权限"映射（RBAC），支持一人多角色与岗位代理，切忌照搬集团企业多级审批模板——全公司实质审批层级建议按两级（经办人 → 总经理）配置，大额采购付款可增设总经理终审；</w:t>
      </w:r>
    </w:p>
    <w:p w14:paraId="7B8137C8">
      <w:pPr>
        <w:numPr>
          <w:ilvl w:val="0"/>
          <w:numId w:val="3"/>
        </w:numPr>
      </w:pPr>
      <w:r>
        <w:rPr>
          <w:rFonts w:hint="eastAsia"/>
        </w:rPr>
        <w:t>明确专职对接人为内部数字化第一责任人，并从关键用户中培养 1—2 名"内部运维骨干"（方案已含兼职运维岗培训，应落实到人）；</w:t>
      </w:r>
    </w:p>
    <w:p w14:paraId="7D4A0B1C">
      <w:pPr>
        <w:numPr>
          <w:ilvl w:val="0"/>
          <w:numId w:val="3"/>
        </w:numPr>
      </w:pPr>
      <w:r>
        <w:rPr>
          <w:rFonts w:hint="eastAsia"/>
        </w:rPr>
        <w:t>让日后真正使用系统的岗位（生产、品控、仓储）在配置阶段拥有充分话语权、参与业务规则确认，避免"上线即弃用"。</w:t>
      </w:r>
    </w:p>
    <w:p w14:paraId="49CA0BAA">
      <w:pPr>
        <w:pStyle w:val="000003"/>
        <w:keepNext w:val="1"/>
        <w:keepLines w:val="1"/>
        <w:spacing w:before="100" w:beforeAutospacing="1" w:after="100" w:afterAutospacing="1"/>
        <w:outlineLvl w:val="1"/>
        <w:rPr>
          <w:sz w:val="32"/>
          <w:szCs w:val="32"/>
        </w:rPr>
      </w:pPr>
      <w:r>
        <w:rPr>
          <w:rFonts w:hint="eastAsia"/>
          <w:b w:val="1"/>
          <w:sz w:val="32"/>
        </w:rPr>
        <w:t>三、主营业务</w:t>
      </w:r>
    </w:p>
    <w:p w14:paraId="3F644079">
      <w:pPr>
        <w:pStyle w:val="000007"/>
        <w:keepNext w:val="1"/>
        <w:keepLines w:val="1"/>
        <w:spacing w:before="100" w:beforeAutospacing="1" w:after="100" w:afterAutospacing="1"/>
        <w:outlineLvl w:val="2"/>
        <w:rPr>
          <w:sz w:val="32"/>
          <w:szCs w:val="32"/>
        </w:rPr>
      </w:pPr>
      <w:r>
        <w:rPr>
          <w:rFonts w:hint="eastAsia"/>
          <w:b w:val="1"/>
          <w:sz w:val="32"/>
        </w:rPr>
        <w:t>（一）核心产品与业务线</w:t>
      </w:r>
    </w:p>
    <w:p w14:paraId="00D8B2CF">
      <w:r>
        <w:rPr>
          <w:rFonts w:hint="eastAsia"/>
        </w:rPr>
        <w:t>郎鹰为双业务线并行：</w:t>
      </w:r>
    </w:p>
    <w:p w14:paraId="7F9F2ACD">
      <w:pPr>
        <w:numPr>
          <w:ilvl w:val="0"/>
          <w:numId w:val="4"/>
        </w:numPr>
      </w:pPr>
      <w:r>
        <w:rPr>
          <w:rFonts w:hint="eastAsia"/>
        </w:rPr>
        <w:t>非标金属结构件定制：面向红云红河烟草集团等大型国企的项目制配套，按招投标获取订单、按项目定制生产，对设计资料规范化移交、质量追溯、合规审计要求高（国企项目设计资料须规范化移交是明确合规要求）；</w:t>
      </w:r>
    </w:p>
    <w:p w14:paraId="71CA0D67">
      <w:pPr>
        <w:numPr>
          <w:ilvl w:val="0"/>
          <w:numId w:val="4"/>
        </w:numPr>
      </w:pPr>
      <w:r>
        <w:rPr>
          <w:rFonts w:hint="eastAsia"/>
        </w:rPr>
        <w:t>超低能耗装配式轻钢房屋：研发 + 生产一体，瞄准绿色建筑市场，处于民用市场拓展初期，标准化产品体系尚未建立。</w:t>
      </w:r>
    </w:p>
    <w:p w14:paraId="556D2F40">
      <w:pPr>
        <w:pStyle w:val="000007"/>
        <w:keepNext w:val="1"/>
        <w:keepLines w:val="1"/>
        <w:spacing w:before="100" w:beforeAutospacing="1" w:after="100" w:afterAutospacing="1"/>
        <w:outlineLvl w:val="2"/>
        <w:rPr>
          <w:sz w:val="32"/>
          <w:szCs w:val="32"/>
        </w:rPr>
      </w:pPr>
      <w:r>
        <w:rPr>
          <w:rFonts w:hint="eastAsia"/>
          <w:b w:val="1"/>
          <w:sz w:val="32"/>
        </w:rPr>
        <w:t>（二）核心业务流程梳理（现状，端到端）</w:t>
      </w:r>
    </w:p>
    <w:p w14:paraId="5EB3D41B">
      <w:r>
        <w:rPr>
          <w:rFonts w:hint="eastAsia"/>
        </w:rPr>
        <w:t>现状主线（以非标定制为例）：投标/商务洽谈 → 签订合同 → 设计出图（本地存储/纸质归档）→ 编制纸质工艺卡 → 纸质排程 + 口头通知车间 → 采购（线下询价、电话/微信沟通）→ 车间按经验生产（手工台账记录进度）→ 人工现场巡查质检 → 成品交付 → 人工电话/微信售后。</w:t>
      </w:r>
    </w:p>
    <w:p w14:paraId="3EEE8299">
      <w:r>
        <w:rPr>
          <w:rFonts w:hint="eastAsia"/>
        </w:rPr>
        <w:t>装配式轻钢房屋线增加轻钢龙骨成型等专用工序，现场安装环节依赖项目协调，流程与非标线共用同一套人工管理模式。</w:t>
      </w:r>
    </w:p>
    <w:p w14:paraId="0281F008">
      <w:pPr>
        <w:pStyle w:val="000007"/>
        <w:keepNext w:val="1"/>
        <w:keepLines w:val="1"/>
        <w:spacing w:before="100" w:beforeAutospacing="1" w:after="100" w:afterAutospacing="1"/>
        <w:outlineLvl w:val="2"/>
        <w:rPr>
          <w:sz w:val="32"/>
          <w:szCs w:val="32"/>
        </w:rPr>
      </w:pPr>
      <w:r>
        <w:rPr>
          <w:rFonts w:hint="eastAsia"/>
          <w:b w:val="1"/>
          <w:sz w:val="32"/>
        </w:rPr>
        <w:t>（三）短板与改进建议</w:t>
      </w:r>
    </w:p>
    <w:p w14:paraId="529CC2DA">
      <w:r>
        <w:rPr>
          <w:rFonts w:hint="eastAsia"/>
        </w:rPr>
        <w:t>短板：① 全流程以线下/人工方式衔接，单据不连续、数据不可追溯，无法满足国企项目审计合规要求；② 设计与工艺环节（本次不纳入改造）仍为分散电子文档 + 纸质，与业务系统形成断点；③ 缺少标准化产品与标准化流程沉淀，交付依赖个人经验。</w:t>
      </w:r>
    </w:p>
    <w:p w14:paraId="0D6C7B7C">
      <w:r>
        <w:rPr>
          <w:rFonts w:hint="eastAsia"/>
        </w:rPr>
        <w:t>改进建议：</w:t>
      </w:r>
    </w:p>
    <w:p w14:paraId="7E810152">
      <w:pPr>
        <w:numPr>
          <w:ilvl w:val="0"/>
          <w:numId w:val="5"/>
        </w:numPr>
      </w:pPr>
      <w:r>
        <w:rPr>
          <w:rFonts w:hint="eastAsia"/>
        </w:rPr>
        <w:t>以营销管理模块为流程起点，建立"客户 → 线索 → 商机 → 报价 → 合同 → 订单"的线上链路，把国企招投标过程档案（投标文件、中标通知、框架合同、分批订单）作为结构化数据留存，直接支撑合规审计；</w:t>
      </w:r>
    </w:p>
    <w:p w14:paraId="7FECBEF7">
      <w:pPr>
        <w:numPr>
          <w:ilvl w:val="0"/>
          <w:numId w:val="5"/>
        </w:numPr>
      </w:pPr>
      <w:r>
        <w:rPr>
          <w:rFonts w:hint="eastAsia"/>
        </w:rPr>
        <w:t>对本次不纳入改造的设计、工艺环节，先以"最小规范"衔接：统一图纸/工艺文件命名与目录规范、在营销/采购单据中以附件形式挂接，为二期"设计资料集中管理 + 工艺知识库"预留接口；</w:t>
      </w:r>
    </w:p>
    <w:p w14:paraId="2DE6E3FE">
      <w:pPr>
        <w:numPr>
          <w:ilvl w:val="0"/>
          <w:numId w:val="5"/>
        </w:numPr>
      </w:pPr>
      <w:r>
        <w:rPr>
          <w:rFonts w:hint="eastAsia"/>
        </w:rPr>
        <w:t>遵循"先主数据、后流程"的实施路径，优先统一物料、客户、供应商、项目四大主数据编码规则——非标定制业务中"项目"应作为一级主数据，贯穿合同、采购、生产、交付全程。</w:t>
      </w:r>
    </w:p>
    <w:p w14:paraId="3DFFB860">
      <w:pPr>
        <w:pStyle w:val="000003"/>
        <w:keepNext w:val="1"/>
        <w:keepLines w:val="1"/>
        <w:spacing w:before="100" w:beforeAutospacing="1" w:after="100" w:afterAutospacing="1"/>
        <w:outlineLvl w:val="1"/>
        <w:rPr>
          <w:sz w:val="32"/>
          <w:szCs w:val="32"/>
        </w:rPr>
      </w:pPr>
      <w:r>
        <w:rPr>
          <w:rFonts w:hint="eastAsia"/>
          <w:b w:val="1"/>
          <w:sz w:val="32"/>
        </w:rPr>
        <w:t>四、客户与供应商</w:t>
      </w:r>
    </w:p>
    <w:p w14:paraId="36248214">
      <w:pPr>
        <w:pStyle w:val="000007"/>
        <w:keepNext w:val="1"/>
        <w:keepLines w:val="1"/>
        <w:spacing w:before="100" w:beforeAutospacing="1" w:after="100" w:afterAutospacing="1"/>
        <w:outlineLvl w:val="2"/>
        <w:rPr>
          <w:sz w:val="32"/>
          <w:szCs w:val="32"/>
        </w:rPr>
      </w:pPr>
      <w:r>
        <w:rPr>
          <w:rFonts w:hint="eastAsia"/>
          <w:b w:val="1"/>
          <w:sz w:val="32"/>
        </w:rPr>
        <w:t>（一）客户结构与订单来源</w:t>
      </w:r>
    </w:p>
    <w:p w14:paraId="54872E23">
      <w:pPr>
        <w:numPr>
          <w:ilvl w:val="0"/>
          <w:numId w:val="2"/>
        </w:numPr>
      </w:pPr>
      <w:r>
        <w:rPr>
          <w:rFonts w:hint="eastAsia"/>
        </w:rPr>
        <w:t>客户结构：以红云红河烟草集团等大型国企为核心客户（B 端大客户），订单来源以招投标/框架合作为主，单笔金额较大、合规与追溯要求高、账期相对规范；</w:t>
      </w:r>
    </w:p>
    <w:p w14:paraId="1564B8F4">
      <w:pPr>
        <w:numPr>
          <w:ilvl w:val="0"/>
          <w:numId w:val="2"/>
        </w:numPr>
      </w:pPr>
      <w:r>
        <w:rPr>
          <w:rFonts w:hint="eastAsia"/>
        </w:rPr>
        <w:t>新业务客户：装配式轻钢民用市场客户尚在拓展期，渠道单一（缺乏线上/渠道营销体系），客户获取依赖既有口碑；</w:t>
      </w:r>
    </w:p>
    <w:p w14:paraId="58117691">
      <w:pPr>
        <w:numPr>
          <w:ilvl w:val="0"/>
          <w:numId w:val="2"/>
        </w:numPr>
      </w:pPr>
      <w:r>
        <w:rPr>
          <w:rFonts w:hint="eastAsia"/>
        </w:rPr>
        <w:t>客户管理现状：无 CRM 系统，客户档案、跟进记录、报价历史散落在个人电脑与 Excel 中，客户资产依附于经办人个人。</w:t>
      </w:r>
    </w:p>
    <w:p w14:paraId="7F133966">
      <w:pPr>
        <w:pStyle w:val="000007"/>
        <w:keepNext w:val="1"/>
        <w:keepLines w:val="1"/>
        <w:spacing w:before="100" w:beforeAutospacing="1" w:after="100" w:afterAutospacing="1"/>
        <w:outlineLvl w:val="2"/>
        <w:rPr>
          <w:sz w:val="32"/>
          <w:szCs w:val="32"/>
        </w:rPr>
      </w:pPr>
      <w:r>
        <w:rPr>
          <w:rFonts w:hint="eastAsia"/>
          <w:b w:val="1"/>
          <w:sz w:val="32"/>
        </w:rPr>
        <w:t>（二）供应商管理与协同方式</w:t>
      </w:r>
    </w:p>
    <w:p w14:paraId="5964B203">
      <w:pPr>
        <w:numPr>
          <w:ilvl w:val="0"/>
          <w:numId w:val="2"/>
        </w:numPr>
      </w:pPr>
      <w:r>
        <w:rPr>
          <w:rFonts w:hint="eastAsia"/>
        </w:rPr>
        <w:t>供应品类：钢材等主材、五金辅材、轻钢龙骨成型设备备件等；推断存在少量合格供应商、以长期合作关系为主（须现场确认）；</w:t>
      </w:r>
    </w:p>
    <w:p w14:paraId="1AEFB8A9">
      <w:pPr>
        <w:numPr>
          <w:ilvl w:val="0"/>
          <w:numId w:val="2"/>
        </w:numPr>
      </w:pPr>
      <w:r>
        <w:rPr>
          <w:rFonts w:hint="eastAsia"/>
        </w:rPr>
        <w:t>管理方式：无供应商准入评审、分级评价的线上流程，供应商资质档案、价格历史以纸质/Excel 保存；询比价多通过电话/微信完成，过程不留痕；</w:t>
      </w:r>
    </w:p>
    <w:p w14:paraId="7559FA51">
      <w:pPr>
        <w:numPr>
          <w:ilvl w:val="0"/>
          <w:numId w:val="2"/>
        </w:numPr>
      </w:pPr>
      <w:r>
        <w:rPr>
          <w:rFonts w:hint="eastAsia"/>
        </w:rPr>
        <w:t>协同方式：与上下游的数据协同基本为零——方案提出未来通过营销与采购模块与上游钢材供应商及下游国企客户进行数据对接，目前均靠人工沟通。</w:t>
      </w:r>
    </w:p>
    <w:p w14:paraId="41F489E0">
      <w:pPr>
        <w:pStyle w:val="000007"/>
        <w:keepNext w:val="1"/>
        <w:keepLines w:val="1"/>
        <w:spacing w:before="100" w:beforeAutospacing="1" w:after="100" w:afterAutospacing="1"/>
        <w:outlineLvl w:val="2"/>
        <w:rPr>
          <w:sz w:val="32"/>
          <w:szCs w:val="32"/>
        </w:rPr>
      </w:pPr>
      <w:r>
        <w:rPr>
          <w:rFonts w:hint="eastAsia"/>
          <w:b w:val="1"/>
          <w:sz w:val="32"/>
        </w:rPr>
        <w:t>（三）短板与改进建议</w:t>
      </w:r>
    </w:p>
    <w:p w14:paraId="51B11CEC">
      <w:r>
        <w:rPr>
          <w:rFonts w:hint="eastAsia"/>
        </w:rPr>
        <w:t>短板：① 客户资产个人化，人员变动即客户流失；② 供应商无准入—评价—退出闭环，质量与价格数据无法沉淀；③ 采购过程不留痕，国企项目配套的合规审计存在风险敞口。</w:t>
      </w:r>
    </w:p>
    <w:p w14:paraId="04C8122B">
      <w:r>
        <w:rPr>
          <w:rFonts w:hint="eastAsia"/>
        </w:rPr>
        <w:t>改进建议：</w:t>
      </w:r>
    </w:p>
    <w:p w14:paraId="35370D0C">
      <w:pPr>
        <w:numPr>
          <w:ilvl w:val="0"/>
          <w:numId w:val="6"/>
        </w:numPr>
      </w:pPr>
      <w:r>
        <w:rPr>
          <w:rFonts w:hint="eastAsia"/>
        </w:rPr>
        <w:t>上线客户/供应商主数据档案：客户按"国企项目客户/民用市场客户"分类管理，供应商建立"准入评审 → 合格名录 → 年度评价分级"工作流（准入 → 审批 → 启用 → 年度复评，审核通过自动启用）；</w:t>
      </w:r>
    </w:p>
    <w:p w14:paraId="1D074C16">
      <w:pPr>
        <w:numPr>
          <w:ilvl w:val="0"/>
          <w:numId w:val="6"/>
        </w:numPr>
      </w:pPr>
      <w:r>
        <w:rPr>
          <w:rFonts w:hint="eastAsia"/>
        </w:rPr>
        <w:t>采购模块固化"需求提报 → 询比价（留痕）→ 采购订单 → 收货验收 → 对账"链路，询比价记录与供应商资质附件强制归档，满足国企项目配套审计要求；</w:t>
      </w:r>
    </w:p>
    <w:p w14:paraId="54254C21">
      <w:pPr>
        <w:numPr>
          <w:ilvl w:val="0"/>
          <w:numId w:val="6"/>
        </w:numPr>
      </w:pPr>
      <w:r>
        <w:rPr>
          <w:rFonts w:hint="eastAsia"/>
        </w:rPr>
        <w:t>营销模块建立客户归属与跟进记录机制，降低客户资产对个人的依赖。</w:t>
      </w:r>
    </w:p>
    <w:p w14:paraId="45F49035">
      <w:pPr>
        <w:pStyle w:val="000003"/>
        <w:keepNext w:val="1"/>
        <w:keepLines w:val="1"/>
        <w:spacing w:before="100" w:beforeAutospacing="1" w:after="100" w:afterAutospacing="1"/>
        <w:outlineLvl w:val="1"/>
        <w:rPr>
          <w:sz w:val="32"/>
          <w:szCs w:val="32"/>
        </w:rPr>
      </w:pPr>
      <w:r>
        <w:rPr>
          <w:rFonts w:hint="eastAsia"/>
          <w:b w:val="1"/>
          <w:sz w:val="32"/>
        </w:rPr>
        <w:t>五、合同与订单</w:t>
      </w:r>
    </w:p>
    <w:p w14:paraId="4BBBEC39">
      <w:pPr>
        <w:pStyle w:val="000007"/>
        <w:keepNext w:val="1"/>
        <w:keepLines w:val="1"/>
        <w:spacing w:before="100" w:beforeAutospacing="1" w:after="100" w:afterAutospacing="1"/>
        <w:outlineLvl w:val="2"/>
        <w:rPr>
          <w:sz w:val="32"/>
          <w:szCs w:val="32"/>
        </w:rPr>
      </w:pPr>
      <w:r>
        <w:rPr>
          <w:rFonts w:hint="eastAsia"/>
          <w:b w:val="1"/>
          <w:sz w:val="32"/>
        </w:rPr>
        <w:t>（一）现状流程</w:t>
      </w:r>
    </w:p>
    <w:p w14:paraId="67F9F82A">
      <w:pPr>
        <w:numPr>
          <w:ilvl w:val="0"/>
          <w:numId w:val="2"/>
        </w:numPr>
      </w:pPr>
      <w:r>
        <w:rPr>
          <w:rFonts w:hint="eastAsia"/>
        </w:rPr>
        <w:t>合同签订：以招投标中标后签约为主，合同文本、中标通知等资料纸质/分散存储保管；合同评审、交期承诺、付款条款主要依赖线下沟通确认；</w:t>
      </w:r>
    </w:p>
    <w:p w14:paraId="1EADEDE2">
      <w:pPr>
        <w:numPr>
          <w:ilvl w:val="0"/>
          <w:numId w:val="2"/>
        </w:numPr>
      </w:pPr>
      <w:r>
        <w:rPr>
          <w:rFonts w:hint="eastAsia"/>
        </w:rPr>
        <w:t>订单流转：销售订单 →（纸质排程 + 口头通知）→ 车间；采购订单 →（电话/微信）→ 供应商；订单执行进度依赖人工现场巡查与手工台账，临近交货期靠经验判断，无自动预警；</w:t>
      </w:r>
    </w:p>
    <w:p w14:paraId="01BF8C79">
      <w:pPr>
        <w:numPr>
          <w:ilvl w:val="0"/>
          <w:numId w:val="2"/>
        </w:numPr>
      </w:pPr>
      <w:r>
        <w:rPr>
          <w:rFonts w:hint="eastAsia"/>
        </w:rPr>
        <w:t>变更管理：非标定制常见设计变更与合同变更，目前变更传导靠口头通知，版本记录分散（国企项目对设计变更记录有合规要求）。</w:t>
      </w:r>
    </w:p>
    <w:p w14:paraId="4AEFA183">
      <w:pPr>
        <w:pStyle w:val="000007"/>
        <w:keepNext w:val="1"/>
        <w:keepLines w:val="1"/>
        <w:spacing w:before="100" w:beforeAutospacing="1" w:after="100" w:afterAutospacing="1"/>
        <w:outlineLvl w:val="2"/>
        <w:rPr>
          <w:sz w:val="32"/>
          <w:szCs w:val="32"/>
        </w:rPr>
      </w:pPr>
      <w:r>
        <w:rPr>
          <w:rFonts w:hint="eastAsia"/>
          <w:b w:val="1"/>
          <w:sz w:val="32"/>
        </w:rPr>
        <w:t>（二）痛点</w:t>
      </w:r>
    </w:p>
    <w:p w14:paraId="1DE3F747">
      <w:pPr>
        <w:numPr>
          <w:ilvl w:val="0"/>
          <w:numId w:val="7"/>
        </w:numPr>
      </w:pPr>
      <w:r>
        <w:rPr>
          <w:rFonts w:hint="eastAsia"/>
        </w:rPr>
        <w:t>订单信息在"销售—车间—采购—仓库"之间靠人传递，错传、漏传与口径不一致风险高；</w:t>
      </w:r>
    </w:p>
    <w:p w14:paraId="54C8C9B0">
      <w:pPr>
        <w:numPr>
          <w:ilvl w:val="0"/>
          <w:numId w:val="7"/>
        </w:numPr>
      </w:pPr>
      <w:r>
        <w:rPr>
          <w:rFonts w:hint="eastAsia"/>
        </w:rPr>
        <w:t>交期风险无预判手段：无工单进度可视化，临近交期才被动发现延误；</w:t>
      </w:r>
    </w:p>
    <w:p w14:paraId="26E4D0FB">
      <w:pPr>
        <w:numPr>
          <w:ilvl w:val="0"/>
          <w:numId w:val="7"/>
        </w:numPr>
      </w:pPr>
      <w:r>
        <w:rPr>
          <w:rFonts w:hint="eastAsia"/>
        </w:rPr>
        <w:t>合同—订单—生产—交付之间无法对账，项目级收入与成本口径不清（业财割裂的直接根源之一）；</w:t>
      </w:r>
    </w:p>
    <w:p w14:paraId="4DBCB456">
      <w:pPr>
        <w:numPr>
          <w:ilvl w:val="0"/>
          <w:numId w:val="7"/>
        </w:numPr>
      </w:pPr>
      <w:r>
        <w:rPr>
          <w:rFonts w:hint="eastAsia"/>
        </w:rPr>
        <w:t>变更无留痕，追溯困难，与国企合规要求冲突。</w:t>
      </w:r>
    </w:p>
    <w:p w14:paraId="337DF8A2">
      <w:pPr>
        <w:pStyle w:val="000007"/>
        <w:keepNext w:val="1"/>
        <w:keepLines w:val="1"/>
        <w:spacing w:before="100" w:beforeAutospacing="1" w:after="100" w:afterAutospacing="1"/>
        <w:outlineLvl w:val="2"/>
        <w:rPr>
          <w:sz w:val="32"/>
          <w:szCs w:val="32"/>
        </w:rPr>
      </w:pPr>
      <w:r>
        <w:rPr>
          <w:rFonts w:hint="eastAsia"/>
          <w:b w:val="1"/>
          <w:sz w:val="32"/>
        </w:rPr>
        <w:t>（三）改进建议</w:t>
      </w:r>
    </w:p>
    <w:p w14:paraId="6F3BCCC5">
      <w:pPr>
        <w:numPr>
          <w:ilvl w:val="0"/>
          <w:numId w:val="8"/>
        </w:numPr>
      </w:pPr>
      <w:r>
        <w:rPr>
          <w:rFonts w:hint="eastAsia"/>
        </w:rPr>
        <w:t>营销模块上线"合同 → 销售订单"结构化管理：合同关键条款（交期、质保、付款节点）字段化，订单关联项目编号，作为全链路追溯锚点；</w:t>
      </w:r>
    </w:p>
    <w:p w14:paraId="4CF447DB">
      <w:pPr>
        <w:numPr>
          <w:ilvl w:val="0"/>
          <w:numId w:val="8"/>
        </w:numPr>
      </w:pPr>
      <w:r>
        <w:rPr>
          <w:rFonts w:hint="eastAsia"/>
        </w:rPr>
        <w:t>在仓储物流与采购模块中，订单驱动"采购申请 → 采购订单 → 收货入库 → 领料出库"单据链，每张单据强制携带项目号，实现"合同—订单—采购—领料—交付"正向可查、反向可溯；</w:t>
      </w:r>
    </w:p>
    <w:p w14:paraId="45EA1B33">
      <w:pPr>
        <w:numPr>
          <w:ilvl w:val="0"/>
          <w:numId w:val="8"/>
        </w:numPr>
      </w:pPr>
      <w:r>
        <w:rPr>
          <w:rFonts w:hint="eastAsia"/>
        </w:rPr>
        <w:t>交期预警在一期以"订单交期字段 + 到期前自动提醒"轻量方式实现（不依赖生产排程模块），弥补本次生产管控不纳入改造带来的交期管理空档；</w:t>
      </w:r>
    </w:p>
    <w:p w14:paraId="0D485C90">
      <w:pPr>
        <w:numPr>
          <w:ilvl w:val="0"/>
          <w:numId w:val="8"/>
        </w:numPr>
      </w:pPr>
      <w:r>
        <w:rPr>
          <w:rFonts w:hint="eastAsia"/>
        </w:rPr>
        <w:t>建立"合同/设计变更登记"轻流程（哪怕先以 OA 附件流形式），保障变更留痕。</w:t>
      </w:r>
    </w:p>
    <w:p w14:paraId="51C8F405">
      <w:pPr>
        <w:pStyle w:val="000003"/>
        <w:keepNext w:val="1"/>
        <w:keepLines w:val="1"/>
        <w:spacing w:before="100" w:beforeAutospacing="1" w:after="100" w:afterAutospacing="1"/>
        <w:outlineLvl w:val="1"/>
        <w:rPr>
          <w:sz w:val="32"/>
          <w:szCs w:val="32"/>
        </w:rPr>
      </w:pPr>
      <w:r>
        <w:rPr>
          <w:rFonts w:hint="eastAsia"/>
          <w:b w:val="1"/>
          <w:sz w:val="32"/>
        </w:rPr>
        <w:t>六、生产管理</w:t>
      </w:r>
    </w:p>
    <w:p w14:paraId="468780F7">
      <w:r>
        <w:rPr>
          <w:rFonts w:hint="eastAsia"/>
        </w:rPr>
        <w:t>本章按生产计划、工艺流程、设备管理、质量管控、库存与物料五个维度诊断。需特别注意：生产管控、计划排程、设备管理、能耗管理四个约束性/指导性场景本次均不纳入改造范围，形成生产执行侧的系统性空档。</w:t>
      </w:r>
    </w:p>
    <w:p w14:paraId="15DD11A1">
      <w:pPr>
        <w:pStyle w:val="000007"/>
        <w:keepNext w:val="1"/>
        <w:keepLines w:val="1"/>
        <w:spacing w:before="100" w:beforeAutospacing="1" w:after="100" w:afterAutospacing="1"/>
        <w:outlineLvl w:val="2"/>
        <w:rPr>
          <w:sz w:val="32"/>
          <w:szCs w:val="32"/>
        </w:rPr>
      </w:pPr>
      <w:r>
        <w:rPr>
          <w:rFonts w:hint="eastAsia"/>
          <w:b w:val="1"/>
          <w:sz w:val="32"/>
        </w:rPr>
        <w:t>（一）生产计划与排程</w:t>
      </w:r>
    </w:p>
    <w:p w14:paraId="70C89CE6">
      <w:r>
        <w:rPr>
          <w:rFonts w:hint="eastAsia"/>
        </w:rPr>
        <w:t>现状：纸质排程 + 口头通知，按项目/订单组织生产，无系统工单；生产进度依赖人工现场巡查与抄录，滞后性与误差率高。本次"计划排程（指导性）"与"生产管控（约束性）"均不改造。</w:t>
      </w:r>
    </w:p>
    <w:p w14:paraId="1D01B2F1">
      <w:r>
        <w:rPr>
          <w:rFonts w:hint="eastAsia"/>
        </w:rPr>
        <w:t>建议：一期以营销订单 + 仓储物料数据支撑人工排程决策；建立"销售订单 → 生产计划（线下台账但编号与系统项目号一致）"的对照规范；将工单进度以周报形式录入系统（哪怕手工录入），保证管理层在系统中可见交付风险；二期优先补齐轻量化生产执行（工单下达、领用、报工）。</w:t>
      </w:r>
    </w:p>
    <w:p w14:paraId="0FC87205">
      <w:pPr>
        <w:pStyle w:val="000007"/>
        <w:keepNext w:val="1"/>
        <w:keepLines w:val="1"/>
        <w:spacing w:before="100" w:beforeAutospacing="1" w:after="100" w:afterAutospacing="1"/>
        <w:outlineLvl w:val="2"/>
        <w:rPr>
          <w:sz w:val="32"/>
          <w:szCs w:val="32"/>
        </w:rPr>
      </w:pPr>
      <w:r>
        <w:rPr>
          <w:rFonts w:hint="eastAsia"/>
          <w:b w:val="1"/>
          <w:sz w:val="32"/>
        </w:rPr>
        <w:t>（二）工艺流程</w:t>
      </w:r>
    </w:p>
    <w:p w14:paraId="176F3896">
      <w:r>
        <w:rPr>
          <w:rFonts w:hint="eastAsia"/>
        </w:rPr>
        <w:t>现状：切割（激光/等离子）、焊接、成型（轻钢龙骨）、装配等工序，工艺参数以纸质工艺卡与分散电子文档保存，典型工艺参数未沉淀复用，非标产品工艺设计依赖个人经验。本次"工艺设计"不纳入改造。</w:t>
      </w:r>
    </w:p>
    <w:p w14:paraId="4B4D4C95">
      <w:r>
        <w:rPr>
          <w:rFonts w:hint="eastAsia"/>
        </w:rPr>
        <w:t>建议：先建立工艺文件电子化归档规范（统一目录、版本命名），在系统单据中以附件挂接；为二期"工艺知识库 + 典型组件库"预留规划。</w:t>
      </w:r>
    </w:p>
    <w:p w14:paraId="3581E186">
      <w:pPr>
        <w:pStyle w:val="000007"/>
        <w:keepNext w:val="1"/>
        <w:keepLines w:val="1"/>
        <w:spacing w:before="100" w:beforeAutospacing="1" w:after="100" w:afterAutospacing="1"/>
        <w:outlineLvl w:val="2"/>
        <w:rPr>
          <w:sz w:val="32"/>
          <w:szCs w:val="32"/>
        </w:rPr>
      </w:pPr>
      <w:r>
        <w:rPr>
          <w:rFonts w:hint="eastAsia"/>
          <w:b w:val="1"/>
          <w:sz w:val="32"/>
        </w:rPr>
        <w:t>（三）设备管理</w:t>
      </w:r>
    </w:p>
    <w:p w14:paraId="61027A44">
      <w:r>
        <w:rPr>
          <w:rFonts w:hint="eastAsia"/>
        </w:rPr>
        <w:t>现状：激光切割机、等离子切割机、轻钢龙骨成型机等核心设备数字化率低、联网率不足 10%，运行参数仅能本地查看；设备基础档案、备件、维保履历为人工纸质台账。本次"设备管理"不纳入改造，但方案承诺"核心生产设备联网率达到 80%"，两者存在口径冲突，须在验收阶段澄清。</w:t>
      </w:r>
    </w:p>
    <w:p w14:paraId="70025366">
      <w:r>
        <w:rPr>
          <w:rFonts w:hint="eastAsia"/>
        </w:rPr>
        <w:t>建议：与实施方书面确认设备联网率指标的考核口径（是否随基础网络改造部分实现）；一期至少完成设备台账电子化（Excel → 系统基础档案），点巡检与维保先用轻量表单线上化；二期再议 IoT 数采。</w:t>
      </w:r>
    </w:p>
    <w:p w14:paraId="62CB93EA">
      <w:pPr>
        <w:pStyle w:val="000007"/>
        <w:keepNext w:val="1"/>
        <w:keepLines w:val="1"/>
        <w:spacing w:before="100" w:beforeAutospacing="1" w:after="100" w:afterAutospacing="1"/>
        <w:outlineLvl w:val="2"/>
        <w:rPr>
          <w:sz w:val="32"/>
          <w:szCs w:val="32"/>
        </w:rPr>
      </w:pPr>
      <w:r>
        <w:rPr>
          <w:rFonts w:hint="eastAsia"/>
          <w:b w:val="1"/>
          <w:sz w:val="32"/>
        </w:rPr>
        <w:t>（四）质量管控</w:t>
      </w:r>
    </w:p>
    <w:p w14:paraId="10BBE4ED">
      <w:r>
        <w:rPr>
          <w:rFonts w:hint="eastAsia"/>
        </w:rPr>
        <w:t>现状：人工现场巡查与抄录，检验记录纸质化，质量数据无法统计分析；不合格品处置、供应商质量、客诉管理均线下进行。本次"质量管理（约束性）"纳入改造，是重点补强场景。</w:t>
      </w:r>
    </w:p>
    <w:p w14:paraId="48918208">
      <w:r>
        <w:rPr>
          <w:rFonts w:hint="eastAsia"/>
        </w:rPr>
        <w:t>建议：按方案部署质量管理模块，落地"质量检验（进货/过程/出厂）→ 不合格品控制 → CAPA → 供应商质量 → 客诉 → 质量追溯"闭环；针对国企客户验收与审计要求，优先保证检验记录电子化留痕与不可篡改（审计痕迹），并按批次建立"原料批次 → 工单/项目 → 成品交付客户"的正反向追溯链——这是郎鹰区别于一般机加工企业的合规刚需（本节展开分析详见第七章《质量管理专项分析》）。</w:t>
      </w:r>
    </w:p>
    <w:p w14:paraId="1D3EEC99">
      <w:pPr>
        <w:pStyle w:val="000007"/>
        <w:keepNext w:val="1"/>
        <w:keepLines w:val="1"/>
        <w:spacing w:before="100" w:beforeAutospacing="1" w:after="100" w:afterAutospacing="1"/>
        <w:outlineLvl w:val="2"/>
        <w:rPr>
          <w:sz w:val="32"/>
          <w:szCs w:val="32"/>
        </w:rPr>
      </w:pPr>
      <w:r>
        <w:rPr>
          <w:rFonts w:hint="eastAsia"/>
          <w:b w:val="1"/>
          <w:sz w:val="32"/>
        </w:rPr>
        <w:t>（五）库存与物料管理</w:t>
      </w:r>
    </w:p>
    <w:p w14:paraId="1366624C">
      <w:r>
        <w:rPr>
          <w:rFonts w:hint="eastAsia"/>
        </w:rPr>
        <w:t>现状：无专业仓储系统，Excel/纸质台账为主要工具，账实不符导致错发漏发（方案明确将其列为痛点），现场物料管控失控、呆滞料与盲目采购并存；库存预警、盘点均人工完成。本次"仓储物流（约束性）"纳入改造。</w:t>
      </w:r>
    </w:p>
    <w:p w14:paraId="59DB029F">
      <w:r>
        <w:rPr>
          <w:rFonts w:hint="eastAsia"/>
        </w:rPr>
        <w:t>建议：按方案落地"入库/出库/调拨/盘点/库存查询/库存预警"全流程线上化；物料主数据区分原材料/半成品/成品并统一编码；上线前完成现存库存全面盘点与期初数据清洗（期初库存初始化是仓储模块最常见的失败点）；建立库存账实相符率 ≥98% 的月度盘点考核机制。</w:t>
      </w:r>
    </w:p>
    <w:p w14:paraId="78299274">
      <w:pPr>
        <w:pStyle w:val="000007"/>
        <w:keepNext w:val="1"/>
        <w:keepLines w:val="1"/>
        <w:spacing w:before="100" w:beforeAutospacing="1" w:after="100" w:afterAutospacing="1"/>
        <w:outlineLvl w:val="2"/>
        <w:rPr>
          <w:sz w:val="32"/>
          <w:szCs w:val="32"/>
        </w:rPr>
      </w:pPr>
      <w:r>
        <w:rPr>
          <w:rFonts w:hint="eastAsia"/>
          <w:b w:val="1"/>
          <w:sz w:val="32"/>
        </w:rPr>
        <w:t>（六）生产侧短板汇总与二级达标风险</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vAlign w:val="center"/>
          </w:tcPr>
          <w:p w14:paraId="610E24AA">
            <w:pPr>
              <w:rPr>
                <w:b w:val="1"/>
                <w:bCs w:val="1"/>
              </w:rPr>
            </w:pPr>
            <w:r>
              <w:rPr>
                <w:rFonts w:hint="eastAsia"/>
                <w:b w:val="1"/>
              </w:rPr>
              <w:t>环节</w:t>
            </w:r>
          </w:p>
        </w:tc>
        <w:tc>
          <w:tcPr>
            <w:tcW w:w="2076" w:type="dxa"/>
            <w:vAlign w:val="center"/>
          </w:tcPr>
          <w:p w14:paraId="666EDAE0">
            <w:pPr>
              <w:rPr>
                <w:b w:val="1"/>
                <w:bCs w:val="1"/>
              </w:rPr>
            </w:pPr>
            <w:r>
              <w:rPr>
                <w:rFonts w:hint="eastAsia"/>
                <w:b w:val="1"/>
              </w:rPr>
              <w:t>现状</w:t>
            </w:r>
          </w:p>
        </w:tc>
        <w:tc>
          <w:tcPr>
            <w:tcW w:w="2076" w:type="dxa"/>
            <w:vAlign w:val="center"/>
          </w:tcPr>
          <w:p w14:paraId="54AFDA6C">
            <w:pPr>
              <w:rPr>
                <w:b w:val="1"/>
                <w:bCs w:val="1"/>
              </w:rPr>
            </w:pPr>
            <w:r>
              <w:rPr>
                <w:rFonts w:hint="eastAsia"/>
                <w:b w:val="1"/>
              </w:rPr>
              <w:t>是否本次改造</w:t>
            </w:r>
          </w:p>
        </w:tc>
        <w:tc>
          <w:tcPr>
            <w:tcW w:w="2076" w:type="dxa"/>
            <w:vAlign w:val="center"/>
          </w:tcPr>
          <w:p w14:paraId="42CF01CB">
            <w:pPr>
              <w:rPr>
                <w:b w:val="1"/>
                <w:bCs w:val="1"/>
              </w:rPr>
            </w:pPr>
            <w:r>
              <w:rPr>
                <w:rFonts w:hint="eastAsia"/>
                <w:b w:val="1"/>
              </w:rPr>
              <w:t>二级达标风险</w:t>
            </w:r>
          </w:p>
        </w:tc>
      </w:tr>
      <w:tr>
        <w:trPr/>
        <w:tc>
          <w:tcPr>
            <w:tcW w:w="2076" w:type="dxa"/>
            <w:vAlign w:val="center"/>
          </w:tcPr>
          <w:p w14:paraId="11553E47">
            <w:r>
              <w:rPr>
                <w:rFonts w:hint="eastAsia"/>
              </w:rPr>
              <w:t>计划排程</w:t>
            </w:r>
          </w:p>
        </w:tc>
        <w:tc>
          <w:tcPr>
            <w:tcW w:w="2076" w:type="dxa"/>
            <w:vAlign w:val="center"/>
          </w:tcPr>
          <w:p w14:paraId="266C78D9">
            <w:r>
              <w:rPr>
                <w:rFonts w:hint="eastAsia"/>
              </w:rPr>
              <w:t>纸质排程 + 口头通知</w:t>
            </w:r>
          </w:p>
        </w:tc>
        <w:tc>
          <w:tcPr>
            <w:tcW w:w="2076" w:type="dxa"/>
            <w:vAlign w:val="center"/>
          </w:tcPr>
          <w:p w14:paraId="14CB041D">
            <w:r>
              <w:rPr>
                <w:rFonts w:hint="eastAsia"/>
              </w:rPr>
              <w:t>否（指导性）</w:t>
            </w:r>
          </w:p>
        </w:tc>
        <w:tc>
          <w:tcPr>
            <w:tcW w:w="2076" w:type="dxa"/>
            <w:vAlign w:val="center"/>
          </w:tcPr>
          <w:p w14:paraId="51826086">
            <w:r>
              <w:rPr>
                <w:rFonts w:hint="eastAsia"/>
              </w:rPr>
              <w:t>中——需以订单交期预警弥补</w:t>
            </w:r>
          </w:p>
        </w:tc>
      </w:tr>
      <w:tr>
        <w:trPr/>
        <w:tc>
          <w:tcPr>
            <w:tcW w:w="2076" w:type="dxa"/>
            <w:vAlign w:val="center"/>
          </w:tcPr>
          <w:p w14:paraId="3C02270B">
            <w:r>
              <w:rPr>
                <w:rFonts w:hint="eastAsia"/>
              </w:rPr>
              <w:t>生产管控</w:t>
            </w:r>
          </w:p>
        </w:tc>
        <w:tc>
          <w:tcPr>
            <w:tcW w:w="2076" w:type="dxa"/>
            <w:vAlign w:val="center"/>
          </w:tcPr>
          <w:p w14:paraId="6755060E">
            <w:r>
              <w:rPr>
                <w:rFonts w:hint="eastAsia"/>
              </w:rPr>
              <w:t>手工台账</w:t>
            </w:r>
          </w:p>
        </w:tc>
        <w:tc>
          <w:tcPr>
            <w:tcW w:w="2076" w:type="dxa"/>
            <w:vAlign w:val="center"/>
          </w:tcPr>
          <w:p w14:paraId="5506662A">
            <w:r>
              <w:rPr>
                <w:rFonts w:hint="eastAsia"/>
              </w:rPr>
              <w:t>否（约束性）</w:t>
            </w:r>
          </w:p>
        </w:tc>
        <w:tc>
          <w:tcPr>
            <w:tcW w:w="2076" w:type="dxa"/>
            <w:vAlign w:val="center"/>
          </w:tcPr>
          <w:p w14:paraId="302C53CD">
            <w:r>
              <w:rPr>
                <w:rFonts w:hint="eastAsia"/>
              </w:rPr>
              <w:t>高——生产执行场景不达标，须靠其他 6 个约束性场景全达标对冲</w:t>
            </w:r>
          </w:p>
        </w:tc>
      </w:tr>
      <w:tr>
        <w:trPr/>
        <w:tc>
          <w:tcPr>
            <w:tcW w:w="2076" w:type="dxa"/>
            <w:vAlign w:val="center"/>
          </w:tcPr>
          <w:p w14:paraId="1D9453B9">
            <w:r>
              <w:rPr>
                <w:rFonts w:hint="eastAsia"/>
              </w:rPr>
              <w:t>工艺设计</w:t>
            </w:r>
          </w:p>
        </w:tc>
        <w:tc>
          <w:tcPr>
            <w:tcW w:w="2076" w:type="dxa"/>
            <w:vAlign w:val="center"/>
          </w:tcPr>
          <w:p w14:paraId="691CF326">
            <w:r>
              <w:rPr>
                <w:rFonts w:hint="eastAsia"/>
              </w:rPr>
              <w:t>纸质工艺卡</w:t>
            </w:r>
          </w:p>
        </w:tc>
        <w:tc>
          <w:tcPr>
            <w:tcW w:w="2076" w:type="dxa"/>
            <w:vAlign w:val="center"/>
          </w:tcPr>
          <w:p w14:paraId="58DB3512">
            <w:r>
              <w:rPr>
                <w:rFonts w:hint="eastAsia"/>
              </w:rPr>
              <w:t>否（指导性）</w:t>
            </w:r>
          </w:p>
        </w:tc>
        <w:tc>
          <w:tcPr>
            <w:tcW w:w="2076" w:type="dxa"/>
            <w:vAlign w:val="center"/>
          </w:tcPr>
          <w:p w14:paraId="3B745115">
            <w:r>
              <w:rPr>
                <w:rFonts w:hint="eastAsia"/>
              </w:rPr>
              <w:t>低——非核心计分项，但影响长期竞争力</w:t>
            </w:r>
          </w:p>
        </w:tc>
      </w:tr>
      <w:tr>
        <w:trPr/>
        <w:tc>
          <w:tcPr>
            <w:tcW w:w="2076" w:type="dxa"/>
            <w:vAlign w:val="center"/>
          </w:tcPr>
          <w:p w14:paraId="08EC3EB9">
            <w:r>
              <w:rPr>
                <w:rFonts w:hint="eastAsia"/>
              </w:rPr>
              <w:t>设备管理</w:t>
            </w:r>
          </w:p>
        </w:tc>
        <w:tc>
          <w:tcPr>
            <w:tcW w:w="2076" w:type="dxa"/>
            <w:vAlign w:val="center"/>
          </w:tcPr>
          <w:p w14:paraId="219C4F5F">
            <w:r>
              <w:rPr>
                <w:rFonts w:hint="eastAsia"/>
              </w:rPr>
              <w:t>纸质台账、联网率&lt;10%</w:t>
            </w:r>
          </w:p>
        </w:tc>
        <w:tc>
          <w:tcPr>
            <w:tcW w:w="2076" w:type="dxa"/>
            <w:vAlign w:val="center"/>
          </w:tcPr>
          <w:p w14:paraId="2FDF0FDB">
            <w:r>
              <w:rPr>
                <w:rFonts w:hint="eastAsia"/>
              </w:rPr>
              <w:t>否（约束性）</w:t>
            </w:r>
          </w:p>
        </w:tc>
        <w:tc>
          <w:tcPr>
            <w:tcW w:w="2076" w:type="dxa"/>
            <w:vAlign w:val="center"/>
          </w:tcPr>
          <w:p w14:paraId="58C9497C">
            <w:r>
              <w:rPr>
                <w:rFonts w:hint="eastAsia"/>
              </w:rPr>
              <w:t>中高——与"联网率 80%"承诺口径须澄清</w:t>
            </w:r>
          </w:p>
        </w:tc>
      </w:tr>
      <w:tr>
        <w:trPr/>
        <w:tc>
          <w:tcPr>
            <w:tcW w:w="2076" w:type="dxa"/>
            <w:vAlign w:val="center"/>
          </w:tcPr>
          <w:p w14:paraId="2448D9E9">
            <w:r>
              <w:rPr>
                <w:rFonts w:hint="eastAsia"/>
              </w:rPr>
              <w:t>质量管理</w:t>
            </w:r>
          </w:p>
        </w:tc>
        <w:tc>
          <w:tcPr>
            <w:tcW w:w="2076" w:type="dxa"/>
            <w:vAlign w:val="center"/>
          </w:tcPr>
          <w:p w14:paraId="13B3DC15">
            <w:r>
              <w:rPr>
                <w:rFonts w:hint="eastAsia"/>
              </w:rPr>
              <w:t>人工巡查抄录</w:t>
            </w:r>
          </w:p>
        </w:tc>
        <w:tc>
          <w:tcPr>
            <w:tcW w:w="2076" w:type="dxa"/>
            <w:vAlign w:val="center"/>
          </w:tcPr>
          <w:p w14:paraId="01EA8001">
            <w:r>
              <w:rPr>
                <w:rFonts w:hint="eastAsia"/>
              </w:rPr>
              <w:t>是（约束性）</w:t>
            </w:r>
          </w:p>
        </w:tc>
        <w:tc>
          <w:tcPr>
            <w:tcW w:w="2076" w:type="dxa"/>
            <w:vAlign w:val="center"/>
          </w:tcPr>
          <w:p w14:paraId="76493A1F">
            <w:r>
              <w:rPr>
                <w:rFonts w:hint="eastAsia"/>
              </w:rPr>
              <w:t>可控——重点建设场景</w:t>
            </w:r>
          </w:p>
        </w:tc>
      </w:tr>
      <w:tr>
        <w:trPr/>
        <w:tc>
          <w:tcPr>
            <w:tcW w:w="2076" w:type="dxa"/>
            <w:vAlign w:val="center"/>
          </w:tcPr>
          <w:p w14:paraId="43D95BEC">
            <w:r>
              <w:rPr>
                <w:rFonts w:hint="eastAsia"/>
              </w:rPr>
              <w:t>仓储物流</w:t>
            </w:r>
          </w:p>
        </w:tc>
        <w:tc>
          <w:tcPr>
            <w:tcW w:w="2076" w:type="dxa"/>
            <w:vAlign w:val="center"/>
          </w:tcPr>
          <w:p w14:paraId="383F7CB6">
            <w:r>
              <w:rPr>
                <w:rFonts w:hint="eastAsia"/>
              </w:rPr>
              <w:t>Excel/纸质台账</w:t>
            </w:r>
          </w:p>
        </w:tc>
        <w:tc>
          <w:tcPr>
            <w:tcW w:w="2076" w:type="dxa"/>
            <w:vAlign w:val="center"/>
          </w:tcPr>
          <w:p w14:paraId="267E30BA">
            <w:r>
              <w:rPr>
                <w:rFonts w:hint="eastAsia"/>
              </w:rPr>
              <w:t>是（约束性）</w:t>
            </w:r>
          </w:p>
        </w:tc>
        <w:tc>
          <w:tcPr>
            <w:tcW w:w="2076" w:type="dxa"/>
            <w:vAlign w:val="center"/>
          </w:tcPr>
          <w:p w14:paraId="1C1C5DFD">
            <w:r>
              <w:rPr>
                <w:rFonts w:hint="eastAsia"/>
              </w:rPr>
              <w:t>可控——重点建设场景</w:t>
            </w:r>
          </w:p>
        </w:tc>
      </w:tr>
    </w:tbl>
    <w:p w14:paraId="352C4C26">
      <w:pPr>
        <w:pStyle w:val="000003"/>
        <w:keepNext w:val="1"/>
        <w:keepLines w:val="1"/>
        <w:spacing w:before="100" w:beforeAutospacing="1" w:after="100" w:afterAutospacing="1"/>
        <w:outlineLvl w:val="1"/>
        <w:rPr>
          <w:sz w:val="32"/>
          <w:szCs w:val="32"/>
        </w:rPr>
      </w:pPr>
      <w:r>
        <w:rPr>
          <w:rFonts w:hint="eastAsia"/>
          <w:b w:val="1"/>
          <w:sz w:val="32"/>
        </w:rPr>
        <w:t>七、质量管理专项分析</w:t>
      </w:r>
    </w:p>
    <w:p w14:paraId="7274C2D5">
      <w:r>
        <w:rPr>
          <w:rFonts w:hint="eastAsia"/>
        </w:rPr>
        <w:t>本专项章针对质量管理（约束性场景、本次重点建设模块）单独深化，是第六章（四）质量管控的展开，用于直接指导质量管理模块的需求确认与系统配置。</w:t>
      </w:r>
    </w:p>
    <w:p w14:paraId="095D6B1F">
      <w:pPr>
        <w:pStyle w:val="000007"/>
        <w:keepNext w:val="1"/>
        <w:keepLines w:val="1"/>
        <w:spacing w:before="100" w:beforeAutospacing="1" w:after="100" w:afterAutospacing="1"/>
        <w:outlineLvl w:val="2"/>
        <w:rPr>
          <w:sz w:val="32"/>
          <w:szCs w:val="32"/>
        </w:rPr>
      </w:pPr>
      <w:r>
        <w:rPr>
          <w:rFonts w:hint="eastAsia"/>
          <w:b w:val="1"/>
          <w:sz w:val="32"/>
        </w:rPr>
        <w:t>（一）质量管理现状与问题</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vAlign w:val="center"/>
          </w:tcPr>
          <w:p w14:paraId="70B92B19">
            <w:pPr>
              <w:rPr>
                <w:b w:val="1"/>
                <w:bCs w:val="1"/>
              </w:rPr>
            </w:pPr>
            <w:r>
              <w:rPr>
                <w:rFonts w:hint="eastAsia"/>
                <w:b w:val="1"/>
              </w:rPr>
              <w:t>环节</w:t>
            </w:r>
          </w:p>
        </w:tc>
        <w:tc>
          <w:tcPr>
            <w:tcW w:w="2768" w:type="dxa"/>
            <w:vAlign w:val="center"/>
          </w:tcPr>
          <w:p w14:paraId="779CC313">
            <w:pPr>
              <w:rPr>
                <w:b w:val="1"/>
                <w:bCs w:val="1"/>
              </w:rPr>
            </w:pPr>
            <w:r>
              <w:rPr>
                <w:rFonts w:hint="eastAsia"/>
                <w:b w:val="1"/>
              </w:rPr>
              <w:t>现状</w:t>
            </w:r>
          </w:p>
        </w:tc>
        <w:tc>
          <w:tcPr>
            <w:tcW w:w="2768" w:type="dxa"/>
            <w:vAlign w:val="center"/>
          </w:tcPr>
          <w:p w14:paraId="2263B836">
            <w:pPr>
              <w:rPr>
                <w:b w:val="1"/>
                <w:bCs w:val="1"/>
              </w:rPr>
            </w:pPr>
            <w:r>
              <w:rPr>
                <w:rFonts w:hint="eastAsia"/>
                <w:b w:val="1"/>
              </w:rPr>
              <w:t>主要问题</w:t>
            </w:r>
          </w:p>
        </w:tc>
      </w:tr>
      <w:tr>
        <w:trPr/>
        <w:tc>
          <w:tcPr>
            <w:tcW w:w="2768" w:type="dxa"/>
            <w:vAlign w:val="center"/>
          </w:tcPr>
          <w:p w14:paraId="0EE36881">
            <w:r>
              <w:rPr>
                <w:rFonts w:hint="eastAsia"/>
              </w:rPr>
              <w:t>质量检验</w:t>
            </w:r>
          </w:p>
        </w:tc>
        <w:tc>
          <w:tcPr>
            <w:tcW w:w="2768" w:type="dxa"/>
            <w:vAlign w:val="center"/>
          </w:tcPr>
          <w:p w14:paraId="4259692F">
            <w:r>
              <w:rPr>
                <w:rFonts w:hint="eastAsia"/>
              </w:rPr>
              <w:t>人工现场巡查与抄录</w:t>
            </w:r>
          </w:p>
        </w:tc>
        <w:tc>
          <w:tcPr>
            <w:tcW w:w="2768" w:type="dxa"/>
            <w:vAlign w:val="center"/>
          </w:tcPr>
          <w:p w14:paraId="2D27AF3A">
            <w:r>
              <w:rPr>
                <w:rFonts w:hint="eastAsia"/>
              </w:rPr>
              <w:t>无标准化检验流程与电子记录，检验依赖个人经验</w:t>
            </w:r>
          </w:p>
        </w:tc>
      </w:tr>
      <w:tr>
        <w:trPr/>
        <w:tc>
          <w:tcPr>
            <w:tcW w:w="2768" w:type="dxa"/>
            <w:vAlign w:val="center"/>
          </w:tcPr>
          <w:p w14:paraId="3D5F67CC">
            <w:r>
              <w:rPr>
                <w:rFonts w:hint="eastAsia"/>
              </w:rPr>
              <w:t>不合格品控制</w:t>
            </w:r>
          </w:p>
        </w:tc>
        <w:tc>
          <w:tcPr>
            <w:tcW w:w="2768" w:type="dxa"/>
            <w:vAlign w:val="center"/>
          </w:tcPr>
          <w:p w14:paraId="2B9E0730">
            <w:r>
              <w:rPr>
                <w:rFonts w:hint="eastAsia"/>
              </w:rPr>
              <w:t>线下口头处置</w:t>
            </w:r>
          </w:p>
        </w:tc>
        <w:tc>
          <w:tcPr>
            <w:tcW w:w="2768" w:type="dxa"/>
            <w:vAlign w:val="center"/>
          </w:tcPr>
          <w:p w14:paraId="5490498D">
            <w:r>
              <w:rPr>
                <w:rFonts w:hint="eastAsia"/>
              </w:rPr>
              <w:t>无隔离、标识与处置留痕，返修/报废去向不清</w:t>
            </w:r>
          </w:p>
        </w:tc>
      </w:tr>
      <w:tr>
        <w:trPr/>
        <w:tc>
          <w:tcPr>
            <w:tcW w:w="2768" w:type="dxa"/>
            <w:vAlign w:val="center"/>
          </w:tcPr>
          <w:p w14:paraId="5D2BAD81">
            <w:r>
              <w:rPr>
                <w:rFonts w:hint="eastAsia"/>
              </w:rPr>
              <w:t>供应商质量</w:t>
            </w:r>
          </w:p>
        </w:tc>
        <w:tc>
          <w:tcPr>
            <w:tcW w:w="2768" w:type="dxa"/>
            <w:vAlign w:val="center"/>
          </w:tcPr>
          <w:p w14:paraId="30AA941A">
            <w:r>
              <w:rPr>
                <w:rFonts w:hint="eastAsia"/>
              </w:rPr>
              <w:t>无系统记录</w:t>
            </w:r>
          </w:p>
        </w:tc>
        <w:tc>
          <w:tcPr>
            <w:tcW w:w="2768" w:type="dxa"/>
            <w:vAlign w:val="center"/>
          </w:tcPr>
          <w:p w14:paraId="0B2EABDE">
            <w:r>
              <w:rPr>
                <w:rFonts w:hint="eastAsia"/>
              </w:rPr>
              <w:t>来料质量数据不沉淀，无法支撑供应商评价</w:t>
            </w:r>
          </w:p>
        </w:tc>
      </w:tr>
      <w:tr>
        <w:trPr/>
        <w:tc>
          <w:tcPr>
            <w:tcW w:w="2768" w:type="dxa"/>
            <w:vAlign w:val="center"/>
          </w:tcPr>
          <w:p w14:paraId="7EA76A4C">
            <w:r>
              <w:rPr>
                <w:rFonts w:hint="eastAsia"/>
              </w:rPr>
              <w:t>客诉管理</w:t>
            </w:r>
          </w:p>
        </w:tc>
        <w:tc>
          <w:tcPr>
            <w:tcW w:w="2768" w:type="dxa"/>
            <w:vAlign w:val="center"/>
          </w:tcPr>
          <w:p w14:paraId="6EAFB2C6">
            <w:r>
              <w:rPr>
                <w:rFonts w:hint="eastAsia"/>
              </w:rPr>
              <w:t>电话/微信沟通</w:t>
            </w:r>
          </w:p>
        </w:tc>
        <w:tc>
          <w:tcPr>
            <w:tcW w:w="2768" w:type="dxa"/>
            <w:vAlign w:val="center"/>
          </w:tcPr>
          <w:p w14:paraId="1049E1DC">
            <w:r>
              <w:rPr>
                <w:rFonts w:hint="eastAsia"/>
              </w:rPr>
              <w:t>处置过程不闭环，整改结果无归档</w:t>
            </w:r>
          </w:p>
        </w:tc>
      </w:tr>
      <w:tr>
        <w:trPr/>
        <w:tc>
          <w:tcPr>
            <w:tcW w:w="2768" w:type="dxa"/>
            <w:vAlign w:val="center"/>
          </w:tcPr>
          <w:p w14:paraId="43C96629">
            <w:r>
              <w:rPr>
                <w:rFonts w:hint="eastAsia"/>
              </w:rPr>
              <w:t>质量目标</w:t>
            </w:r>
          </w:p>
        </w:tc>
        <w:tc>
          <w:tcPr>
            <w:tcW w:w="2768" w:type="dxa"/>
            <w:vAlign w:val="center"/>
          </w:tcPr>
          <w:p w14:paraId="55904635">
            <w:r>
              <w:rPr>
                <w:rFonts w:hint="eastAsia"/>
              </w:rPr>
              <w:t>人工汇总报表</w:t>
            </w:r>
          </w:p>
        </w:tc>
        <w:tc>
          <w:tcPr>
            <w:tcW w:w="2768" w:type="dxa"/>
            <w:vAlign w:val="center"/>
          </w:tcPr>
          <w:p w14:paraId="75B4F71E">
            <w:r>
              <w:rPr>
                <w:rFonts w:hint="eastAsia"/>
              </w:rPr>
              <w:t>指标无法实时量化，无法考核与改进</w:t>
            </w:r>
          </w:p>
        </w:tc>
      </w:tr>
      <w:tr>
        <w:trPr/>
        <w:tc>
          <w:tcPr>
            <w:tcW w:w="2768" w:type="dxa"/>
            <w:vAlign w:val="center"/>
          </w:tcPr>
          <w:p w14:paraId="294D5FA9">
            <w:r>
              <w:rPr>
                <w:rFonts w:hint="eastAsia"/>
              </w:rPr>
              <w:t>质量追溯</w:t>
            </w:r>
          </w:p>
        </w:tc>
        <w:tc>
          <w:tcPr>
            <w:tcW w:w="2768" w:type="dxa"/>
            <w:vAlign w:val="center"/>
          </w:tcPr>
          <w:p w14:paraId="777040E8">
            <w:r>
              <w:rPr>
                <w:rFonts w:hint="eastAsia"/>
              </w:rPr>
              <w:t>纸质档案人工翻查</w:t>
            </w:r>
          </w:p>
        </w:tc>
        <w:tc>
          <w:tcPr>
            <w:tcW w:w="2768" w:type="dxa"/>
            <w:vAlign w:val="center"/>
          </w:tcPr>
          <w:p w14:paraId="4AF4D052">
            <w:r>
              <w:rPr>
                <w:rFonts w:hint="eastAsia"/>
              </w:rPr>
              <w:t>无法按项目/批次快速追溯，难以满足国企审计要求</w:t>
            </w:r>
          </w:p>
        </w:tc>
      </w:tr>
    </w:tbl>
    <w:p w14:paraId="38DB739F">
      <w:pPr>
        <w:pStyle w:val="000007"/>
        <w:keepNext w:val="1"/>
        <w:keepLines w:val="1"/>
        <w:spacing w:before="100" w:beforeAutospacing="1" w:after="100" w:afterAutospacing="1"/>
        <w:outlineLvl w:val="2"/>
        <w:rPr>
          <w:sz w:val="32"/>
          <w:szCs w:val="32"/>
        </w:rPr>
      </w:pPr>
      <w:r>
        <w:rPr>
          <w:rFonts w:hint="eastAsia"/>
          <w:b w:val="1"/>
          <w:sz w:val="32"/>
        </w:rPr>
        <w:t>（二）郎鹰质量管理的关键业务要素（离散制造特性）</w:t>
      </w:r>
    </w:p>
    <w:p w14:paraId="3C6CA9AF">
      <w:r>
        <w:rPr>
          <w:rFonts w:hint="eastAsia"/>
        </w:rPr>
        <w:t>金属构件行业的质量管理与食品行业差异显著，模块配置须贴合以下要素：</w:t>
      </w:r>
    </w:p>
    <w:p w14:paraId="027B5907">
      <w:pPr>
        <w:numPr>
          <w:ilvl w:val="0"/>
          <w:numId w:val="9"/>
        </w:numPr>
      </w:pPr>
      <w:r>
        <w:rPr>
          <w:rFonts w:hint="eastAsia"/>
        </w:rPr>
        <w:t>进货检验（IQC）：钢材核对材质证明书/质保书并按批复验，五金辅材、外购件按合格证与抽检方案验收；</w:t>
      </w:r>
    </w:p>
    <w:p w14:paraId="62278A7C">
      <w:pPr>
        <w:numPr>
          <w:ilvl w:val="0"/>
          <w:numId w:val="9"/>
        </w:numPr>
      </w:pPr>
      <w:r>
        <w:rPr>
          <w:rFonts w:hint="eastAsia"/>
        </w:rPr>
        <w:t>过程检验（IPQC）：切割尺寸公差、焊接质量（焊缝外观检查、无损探伤抽检）、成型件形位公差、防腐涂层质量；</w:t>
      </w:r>
    </w:p>
    <w:p w14:paraId="00863ECB">
      <w:pPr>
        <w:numPr>
          <w:ilvl w:val="0"/>
          <w:numId w:val="9"/>
        </w:numPr>
      </w:pPr>
      <w:r>
        <w:rPr>
          <w:rFonts w:hint="eastAsia"/>
        </w:rPr>
        <w:t>特种人员与器具管理：焊工持证上岗与资质效期管理、焊接工艺评定（WPS/PQR）档案、检验计量器具台账与校准到期提醒——离散制造业特有的管理要素；</w:t>
      </w:r>
    </w:p>
    <w:p w14:paraId="063D94E2">
      <w:pPr>
        <w:numPr>
          <w:ilvl w:val="0"/>
          <w:numId w:val="9"/>
        </w:numPr>
      </w:pPr>
      <w:r>
        <w:rPr>
          <w:rFonts w:hint="eastAsia"/>
        </w:rPr>
        <w:t>出厂检验（FQC）：对照 GB 50205《钢结构工程施工质量验收标准》及国企客户验收规范出具出厂资料包（合格证、检验报告、材质单）；</w:t>
      </w:r>
    </w:p>
    <w:p w14:paraId="4EF58FF3">
      <w:pPr>
        <w:numPr>
          <w:ilvl w:val="0"/>
          <w:numId w:val="9"/>
        </w:numPr>
      </w:pPr>
      <w:r>
        <w:rPr>
          <w:rFonts w:hint="eastAsia"/>
        </w:rPr>
        <w:t>质量追溯：以"项目号 + 物料批次"为锚点，支撑国企项目审计、设计资料规范化移交与质量责任界定。</w:t>
      </w:r>
    </w:p>
    <w:p w14:paraId="0CDBC50A">
      <w:pPr>
        <w:pStyle w:val="000007"/>
        <w:keepNext w:val="1"/>
        <w:keepLines w:val="1"/>
        <w:spacing w:before="100" w:beforeAutospacing="1" w:after="100" w:afterAutospacing="1"/>
        <w:outlineLvl w:val="2"/>
        <w:rPr>
          <w:sz w:val="32"/>
          <w:szCs w:val="32"/>
        </w:rPr>
      </w:pPr>
      <w:r>
        <w:rPr>
          <w:rFonts w:hint="eastAsia"/>
          <w:b w:val="1"/>
          <w:sz w:val="32"/>
        </w:rPr>
        <w:t>（三）质量管理模块功能映射与落地场景</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vAlign w:val="center"/>
          </w:tcPr>
          <w:p w14:paraId="42706077">
            <w:pPr>
              <w:rPr>
                <w:b w:val="1"/>
                <w:bCs w:val="1"/>
              </w:rPr>
            </w:pPr>
            <w:r>
              <w:rPr>
                <w:rFonts w:hint="eastAsia"/>
                <w:b w:val="1"/>
              </w:rPr>
              <w:t>模块功能</w:t>
            </w:r>
          </w:p>
        </w:tc>
        <w:tc>
          <w:tcPr>
            <w:tcW w:w="2768" w:type="dxa"/>
            <w:vAlign w:val="center"/>
          </w:tcPr>
          <w:p w14:paraId="55A945E3">
            <w:pPr>
              <w:rPr>
                <w:b w:val="1"/>
                <w:bCs w:val="1"/>
              </w:rPr>
            </w:pPr>
            <w:r>
              <w:rPr>
                <w:rFonts w:hint="eastAsia"/>
                <w:b w:val="1"/>
              </w:rPr>
              <w:t>郎鹰落地场景</w:t>
            </w:r>
          </w:p>
        </w:tc>
        <w:tc>
          <w:tcPr>
            <w:tcW w:w="2768" w:type="dxa"/>
            <w:vAlign w:val="center"/>
          </w:tcPr>
          <w:p w14:paraId="27E5F87C">
            <w:pPr>
              <w:rPr>
                <w:b w:val="1"/>
                <w:bCs w:val="1"/>
              </w:rPr>
            </w:pPr>
            <w:r>
              <w:rPr>
                <w:rFonts w:hint="eastAsia"/>
                <w:b w:val="1"/>
              </w:rPr>
              <w:t>关键注意事项</w:t>
            </w:r>
          </w:p>
        </w:tc>
      </w:tr>
      <w:tr>
        <w:trPr/>
        <w:tc>
          <w:tcPr>
            <w:tcW w:w="2768" w:type="dxa"/>
            <w:vAlign w:val="center"/>
          </w:tcPr>
          <w:p w14:paraId="1B7EA8CA">
            <w:r>
              <w:rPr>
                <w:rFonts w:hint="eastAsia"/>
              </w:rPr>
              <w:t>质量检验</w:t>
            </w:r>
          </w:p>
        </w:tc>
        <w:tc>
          <w:tcPr>
            <w:tcW w:w="2768" w:type="dxa"/>
            <w:vAlign w:val="center"/>
          </w:tcPr>
          <w:p w14:paraId="4E3ED35D">
            <w:r>
              <w:rPr>
                <w:rFonts w:hint="eastAsia"/>
              </w:rPr>
              <w:t>IQC/IPQC/FQC 三级检验记录电子化</w:t>
            </w:r>
          </w:p>
        </w:tc>
        <w:tc>
          <w:tcPr>
            <w:tcW w:w="2768" w:type="dxa"/>
            <w:vAlign w:val="center"/>
          </w:tcPr>
          <w:p w14:paraId="11823070">
            <w:r>
              <w:rPr>
                <w:rFonts w:hint="eastAsia"/>
              </w:rPr>
              <w:t>检验标准对齐 GB 50205 与国企客户验收要求，判定规则数字化</w:t>
            </w:r>
          </w:p>
        </w:tc>
      </w:tr>
      <w:tr>
        <w:trPr/>
        <w:tc>
          <w:tcPr>
            <w:tcW w:w="2768" w:type="dxa"/>
            <w:vAlign w:val="center"/>
          </w:tcPr>
          <w:p w14:paraId="0190E8E2">
            <w:r>
              <w:rPr>
                <w:rFonts w:hint="eastAsia"/>
              </w:rPr>
              <w:t>不合格品控制</w:t>
            </w:r>
          </w:p>
        </w:tc>
        <w:tc>
          <w:tcPr>
            <w:tcW w:w="2768" w:type="dxa"/>
            <w:vAlign w:val="center"/>
          </w:tcPr>
          <w:p w14:paraId="47A94FF5">
            <w:r>
              <w:rPr>
                <w:rFonts w:hint="eastAsia"/>
              </w:rPr>
              <w:t>返修/让步接收/报废处置流</w:t>
            </w:r>
          </w:p>
        </w:tc>
        <w:tc>
          <w:tcPr>
            <w:tcW w:w="2768" w:type="dxa"/>
            <w:vAlign w:val="center"/>
          </w:tcPr>
          <w:p w14:paraId="3ACCA869">
            <w:r>
              <w:rPr>
                <w:rFonts w:hint="eastAsia"/>
              </w:rPr>
              <w:t>处置单强制关联工序与责任人，处置留痕不可删除</w:t>
            </w:r>
          </w:p>
        </w:tc>
      </w:tr>
      <w:tr>
        <w:trPr/>
        <w:tc>
          <w:tcPr>
            <w:tcW w:w="2768" w:type="dxa"/>
            <w:vAlign w:val="center"/>
          </w:tcPr>
          <w:p w14:paraId="48101DF9">
            <w:r>
              <w:rPr>
                <w:rFonts w:hint="eastAsia"/>
              </w:rPr>
              <w:t>CAPA 管理</w:t>
            </w:r>
          </w:p>
        </w:tc>
        <w:tc>
          <w:tcPr>
            <w:tcW w:w="2768" w:type="dxa"/>
            <w:vAlign w:val="center"/>
          </w:tcPr>
          <w:p w14:paraId="4A94828D">
            <w:r>
              <w:rPr>
                <w:rFonts w:hint="eastAsia"/>
              </w:rPr>
              <w:t>质量异常根因分析与纠正预防闭环</w:t>
            </w:r>
          </w:p>
        </w:tc>
        <w:tc>
          <w:tcPr>
            <w:tcW w:w="2768" w:type="dxa"/>
            <w:vAlign w:val="center"/>
          </w:tcPr>
          <w:p w14:paraId="31DB5BE6">
            <w:r>
              <w:rPr>
                <w:rFonts w:hint="eastAsia"/>
              </w:rPr>
              <w:t>与客诉、供应商质量双向联动</w:t>
            </w:r>
          </w:p>
        </w:tc>
      </w:tr>
      <w:tr>
        <w:trPr/>
        <w:tc>
          <w:tcPr>
            <w:tcW w:w="2768" w:type="dxa"/>
            <w:vAlign w:val="center"/>
          </w:tcPr>
          <w:p w14:paraId="03825B6A">
            <w:r>
              <w:rPr>
                <w:rFonts w:hint="eastAsia"/>
              </w:rPr>
              <w:t>供应商质量</w:t>
            </w:r>
          </w:p>
        </w:tc>
        <w:tc>
          <w:tcPr>
            <w:tcW w:w="2768" w:type="dxa"/>
            <w:vAlign w:val="center"/>
          </w:tcPr>
          <w:p w14:paraId="2886484B">
            <w:r>
              <w:rPr>
                <w:rFonts w:hint="eastAsia"/>
              </w:rPr>
              <w:t>来料批次合格率统计与评价</w:t>
            </w:r>
          </w:p>
        </w:tc>
        <w:tc>
          <w:tcPr>
            <w:tcW w:w="2768" w:type="dxa"/>
            <w:vAlign w:val="center"/>
          </w:tcPr>
          <w:p w14:paraId="1FA6D4A0">
            <w:r>
              <w:rPr>
                <w:rFonts w:hint="eastAsia"/>
              </w:rPr>
              <w:t>结果回流采购模块供应商评级（与采购管理联动）</w:t>
            </w:r>
          </w:p>
        </w:tc>
      </w:tr>
      <w:tr>
        <w:trPr/>
        <w:tc>
          <w:tcPr>
            <w:tcW w:w="2768" w:type="dxa"/>
            <w:vAlign w:val="center"/>
          </w:tcPr>
          <w:p w14:paraId="70394F2A">
            <w:r>
              <w:rPr>
                <w:rFonts w:hint="eastAsia"/>
              </w:rPr>
              <w:t>客诉管理</w:t>
            </w:r>
          </w:p>
        </w:tc>
        <w:tc>
          <w:tcPr>
            <w:tcW w:w="2768" w:type="dxa"/>
            <w:vAlign w:val="center"/>
          </w:tcPr>
          <w:p w14:paraId="7B103786">
            <w:r>
              <w:rPr>
                <w:rFonts w:hint="eastAsia"/>
              </w:rPr>
              <w:t>国企客户投诉与整改闭环</w:t>
            </w:r>
          </w:p>
        </w:tc>
        <w:tc>
          <w:tcPr>
            <w:tcW w:w="2768" w:type="dxa"/>
            <w:vAlign w:val="center"/>
          </w:tcPr>
          <w:p w14:paraId="56FB18AD">
            <w:r>
              <w:rPr>
                <w:rFonts w:hint="eastAsia"/>
              </w:rPr>
              <w:t>整改报告归档至项目档案，支撑客户回访</w:t>
            </w:r>
          </w:p>
        </w:tc>
      </w:tr>
      <w:tr>
        <w:trPr/>
        <w:tc>
          <w:tcPr>
            <w:tcW w:w="2768" w:type="dxa"/>
            <w:vAlign w:val="center"/>
          </w:tcPr>
          <w:p w14:paraId="0B792959">
            <w:r>
              <w:rPr>
                <w:rFonts w:hint="eastAsia"/>
              </w:rPr>
              <w:t>质量目标</w:t>
            </w:r>
          </w:p>
        </w:tc>
        <w:tc>
          <w:tcPr>
            <w:tcW w:w="2768" w:type="dxa"/>
            <w:vAlign w:val="center"/>
          </w:tcPr>
          <w:p w14:paraId="406F72FE">
            <w:r>
              <w:rPr>
                <w:rFonts w:hint="eastAsia"/>
              </w:rPr>
              <w:t>一次交验合格率、来料合格率、客诉闭环率看板</w:t>
            </w:r>
          </w:p>
        </w:tc>
        <w:tc>
          <w:tcPr>
            <w:tcW w:w="2768" w:type="dxa"/>
            <w:vAlign w:val="center"/>
          </w:tcPr>
          <w:p w14:paraId="5705C370">
            <w:r>
              <w:rPr>
                <w:rFonts w:hint="eastAsia"/>
              </w:rPr>
              <w:t>对齐方案承诺"一次交验合格率提升 5%—8%"</w:t>
            </w:r>
          </w:p>
        </w:tc>
      </w:tr>
      <w:tr>
        <w:trPr/>
        <w:tc>
          <w:tcPr>
            <w:tcW w:w="2768" w:type="dxa"/>
            <w:vAlign w:val="center"/>
          </w:tcPr>
          <w:p w14:paraId="0A82420F">
            <w:r>
              <w:rPr>
                <w:rFonts w:hint="eastAsia"/>
              </w:rPr>
              <w:t>体系管理</w:t>
            </w:r>
          </w:p>
        </w:tc>
        <w:tc>
          <w:tcPr>
            <w:tcW w:w="2768" w:type="dxa"/>
            <w:vAlign w:val="center"/>
          </w:tcPr>
          <w:p w14:paraId="66CBA826">
            <w:r>
              <w:rPr>
                <w:rFonts w:hint="eastAsia"/>
              </w:rPr>
              <w:t>质量体系文件、内审与管理评审记录管理</w:t>
            </w:r>
          </w:p>
        </w:tc>
        <w:tc>
          <w:tcPr>
            <w:tcW w:w="2768" w:type="dxa"/>
            <w:vAlign w:val="center"/>
          </w:tcPr>
          <w:p w14:paraId="280244CF">
            <w:r>
              <w:rPr>
                <w:rFonts w:hint="eastAsia"/>
              </w:rPr>
              <w:t>公司体系认证情况需现场确认</w:t>
            </w:r>
          </w:p>
        </w:tc>
      </w:tr>
      <w:tr>
        <w:trPr/>
        <w:tc>
          <w:tcPr>
            <w:tcW w:w="2768" w:type="dxa"/>
            <w:vAlign w:val="center"/>
          </w:tcPr>
          <w:p w14:paraId="1F865F7B">
            <w:r>
              <w:rPr>
                <w:rFonts w:hint="eastAsia"/>
              </w:rPr>
              <w:t>质量追溯</w:t>
            </w:r>
          </w:p>
        </w:tc>
        <w:tc>
          <w:tcPr>
            <w:tcW w:w="2768" w:type="dxa"/>
            <w:vAlign w:val="center"/>
          </w:tcPr>
          <w:p w14:paraId="40CF2652">
            <w:r>
              <w:rPr>
                <w:rFonts w:hint="eastAsia"/>
              </w:rPr>
              <w:t>项目号 + 批次正反向追溯</w:t>
            </w:r>
          </w:p>
        </w:tc>
        <w:tc>
          <w:tcPr>
            <w:tcW w:w="2768" w:type="dxa"/>
            <w:vAlign w:val="center"/>
          </w:tcPr>
          <w:p w14:paraId="79900134">
            <w:r>
              <w:rPr>
                <w:rFonts w:hint="eastAsia"/>
              </w:rPr>
              <w:t>上线前用真实历史数据完成一次完整追溯演练</w:t>
            </w:r>
          </w:p>
        </w:tc>
      </w:tr>
    </w:tbl>
    <w:p w14:paraId="00F0000B">
      <w:pPr>
        <w:pStyle w:val="000007"/>
        <w:keepNext w:val="1"/>
        <w:keepLines w:val="1"/>
        <w:spacing w:before="100" w:beforeAutospacing="1" w:after="100" w:afterAutospacing="1"/>
        <w:outlineLvl w:val="2"/>
        <w:rPr>
          <w:sz w:val="32"/>
          <w:szCs w:val="32"/>
        </w:rPr>
      </w:pPr>
      <w:r>
        <w:rPr>
          <w:rFonts w:hint="eastAsia"/>
          <w:b w:val="1"/>
          <w:sz w:val="32"/>
        </w:rPr>
        <w:t>（四）短板与改进建议</w:t>
      </w:r>
    </w:p>
    <w:p w14:paraId="47B00E8C">
      <w:r>
        <w:rPr>
          <w:rFonts w:hint="eastAsia"/>
        </w:rPr>
        <w:t>短板：检验记录纸质化且无法分析、质量责任难以界定、供应商质量数据空白、追溯靠人工翻档，与国企项目"合规移交、全程可溯"的要求存在明显差距。</w:t>
      </w:r>
    </w:p>
    <w:p w14:paraId="19593E8F">
      <w:r>
        <w:rPr>
          <w:rFonts w:hint="eastAsia"/>
        </w:rPr>
        <w:t>改进建议：</w:t>
      </w:r>
    </w:p>
    <w:p w14:paraId="2E391DC0">
      <w:pPr>
        <w:numPr>
          <w:ilvl w:val="0"/>
          <w:numId w:val="10"/>
        </w:numPr>
      </w:pPr>
      <w:r>
        <w:rPr>
          <w:rFonts w:hint="eastAsia"/>
        </w:rPr>
        <w:t>检验记录电子化并保留审计痕迹（不可物理删除、操作留痕可查），以应对国企验收与审计检查；</w:t>
      </w:r>
    </w:p>
    <w:p w14:paraId="283072AC">
      <w:pPr>
        <w:numPr>
          <w:ilvl w:val="0"/>
          <w:numId w:val="10"/>
        </w:numPr>
      </w:pPr>
      <w:r>
        <w:rPr>
          <w:rFonts w:hint="eastAsia"/>
        </w:rPr>
        <w:t>上线前用真实历史数据做一次完整的正反向追溯演练，验证"原料批次 → 工单/项目 → 成品交付客户"链路完整；</w:t>
      </w:r>
    </w:p>
    <w:p w14:paraId="5D4C8013">
      <w:pPr>
        <w:numPr>
          <w:ilvl w:val="0"/>
          <w:numId w:val="10"/>
        </w:numPr>
      </w:pPr>
      <w:r>
        <w:rPr>
          <w:rFonts w:hint="eastAsia"/>
        </w:rPr>
        <w:t>检验标准数字化：把检验项目、判定标准、抽检方案录入系统作为判定依据，减少主观判断，同时沉淀为非标产品的可复用质量知识；</w:t>
      </w:r>
    </w:p>
    <w:p w14:paraId="401BA8E3">
      <w:pPr>
        <w:numPr>
          <w:ilvl w:val="0"/>
          <w:numId w:val="10"/>
        </w:numPr>
      </w:pPr>
      <w:r>
        <w:rPr>
          <w:rFonts w:hint="eastAsia"/>
        </w:rPr>
        <w:t>焊工资质、计量器具校准建立效期提醒机制，防止资质过期造成合规风险；</w:t>
      </w:r>
    </w:p>
    <w:p w14:paraId="7F8FE83E">
      <w:pPr>
        <w:numPr>
          <w:ilvl w:val="0"/>
          <w:numId w:val="10"/>
        </w:numPr>
      </w:pPr>
      <w:r>
        <w:rPr>
          <w:rFonts w:hint="eastAsia"/>
        </w:rPr>
        <w:t>质量目标进入经营数据看板，按月考核，形成"目标—检验—分析—改进"管理闭环。</w:t>
      </w:r>
    </w:p>
    <w:p w14:paraId="4C2F0C3D">
      <w:pPr>
        <w:pStyle w:val="000003"/>
        <w:keepNext w:val="1"/>
        <w:keepLines w:val="1"/>
        <w:spacing w:before="100" w:beforeAutospacing="1" w:after="100" w:afterAutospacing="1"/>
        <w:outlineLvl w:val="1"/>
        <w:rPr>
          <w:sz w:val="32"/>
          <w:szCs w:val="32"/>
        </w:rPr>
      </w:pPr>
      <w:r>
        <w:rPr>
          <w:rFonts w:hint="eastAsia"/>
          <w:b w:val="1"/>
          <w:sz w:val="32"/>
        </w:rPr>
        <w:t>八、信息化现状</w:t>
      </w:r>
    </w:p>
    <w:p w14:paraId="5AC9CE07">
      <w:pPr>
        <w:pStyle w:val="000007"/>
        <w:keepNext w:val="1"/>
        <w:keepLines w:val="1"/>
        <w:spacing w:before="100" w:beforeAutospacing="1" w:after="100" w:afterAutospacing="1"/>
        <w:outlineLvl w:val="2"/>
        <w:rPr>
          <w:sz w:val="32"/>
          <w:szCs w:val="32"/>
        </w:rPr>
      </w:pPr>
      <w:r>
        <w:rPr>
          <w:rFonts w:hint="eastAsia"/>
          <w:b w:val="1"/>
          <w:sz w:val="32"/>
        </w:rPr>
        <w:t>（一）现有系统使用情况</w:t>
      </w:r>
    </w:p>
    <w:p w14:paraId="4170201F">
      <w:pPr>
        <w:numPr>
          <w:ilvl w:val="0"/>
          <w:numId w:val="11"/>
        </w:numPr>
      </w:pPr>
      <w:r>
        <w:rPr>
          <w:rFonts w:hint="eastAsia"/>
        </w:rPr>
        <w:t>用友 T+ 云财税：仅启用总账、往来、固定资产、财务报表四个基础模块，未启用库存、成本、项目核算模块（财务模块本次按约定暂缓，但此为业财割裂的根源，须在方案层面知悉）；</w:t>
      </w:r>
    </w:p>
    <w:p w14:paraId="10E5DE42">
      <w:pPr>
        <w:numPr>
          <w:ilvl w:val="0"/>
          <w:numId w:val="11"/>
        </w:numPr>
      </w:pPr>
      <w:r>
        <w:rPr>
          <w:rFonts w:hint="eastAsia"/>
        </w:rPr>
        <w:t>办公工具：纸质台账 + Excel 为主要管理工具，覆盖销售、采购、仓储、生产各环节；</w:t>
      </w:r>
    </w:p>
    <w:p w14:paraId="49E90600">
      <w:pPr>
        <w:numPr>
          <w:ilvl w:val="0"/>
          <w:numId w:val="11"/>
        </w:numPr>
      </w:pPr>
      <w:r>
        <w:rPr>
          <w:rFonts w:hint="eastAsia"/>
        </w:rPr>
        <w:t>设备侧：核心设备联网率不足 10%，运行数据本地孤立存在，无数采网关与上位系统。</w:t>
      </w:r>
    </w:p>
    <w:p w14:paraId="1BBC9511">
      <w:pPr>
        <w:pStyle w:val="000007"/>
        <w:keepNext w:val="1"/>
        <w:keepLines w:val="1"/>
        <w:spacing w:before="100" w:beforeAutospacing="1" w:after="100" w:afterAutospacing="1"/>
        <w:outlineLvl w:val="2"/>
        <w:rPr>
          <w:sz w:val="32"/>
          <w:szCs w:val="32"/>
        </w:rPr>
      </w:pPr>
      <w:r>
        <w:rPr>
          <w:rFonts w:hint="eastAsia"/>
          <w:b w:val="1"/>
          <w:sz w:val="32"/>
        </w:rPr>
        <w:t>（二）数据孤岛问题</w:t>
      </w:r>
    </w:p>
    <w:p w14:paraId="22F06A43">
      <w:pPr>
        <w:numPr>
          <w:ilvl w:val="0"/>
          <w:numId w:val="2"/>
        </w:numPr>
      </w:pPr>
      <w:r>
        <w:rPr>
          <w:rFonts w:hint="eastAsia"/>
        </w:rPr>
        <w:t>设备孤岛：设备运行参数、生产状态本地查看，无法进入管理视野；</w:t>
      </w:r>
    </w:p>
    <w:p w14:paraId="62EF080A">
      <w:pPr>
        <w:numPr>
          <w:ilvl w:val="0"/>
          <w:numId w:val="2"/>
        </w:numPr>
      </w:pPr>
      <w:r>
        <w:rPr>
          <w:rFonts w:hint="eastAsia"/>
        </w:rPr>
        <w:t>业务孤岛：营销、采购、仓储各环节无系统，数据以文件形式分散在个人电脑；</w:t>
      </w:r>
    </w:p>
    <w:p w14:paraId="1EA914D7">
      <w:pPr>
        <w:numPr>
          <w:ilvl w:val="0"/>
          <w:numId w:val="2"/>
        </w:numPr>
      </w:pPr>
      <w:r>
        <w:rPr>
          <w:rFonts w:hint="eastAsia"/>
        </w:rPr>
        <w:t>业财孤岛：业务数据无法自动同步至财务端，无法按单个招投标项目独立核算收支利润，直接影响项目报价决策与审计合规。</w:t>
      </w:r>
    </w:p>
    <w:p w14:paraId="6CE618AB">
      <w:pPr>
        <w:pStyle w:val="000007"/>
        <w:keepNext w:val="1"/>
        <w:keepLines w:val="1"/>
        <w:spacing w:before="100" w:beforeAutospacing="1" w:after="100" w:afterAutospacing="1"/>
        <w:outlineLvl w:val="2"/>
        <w:rPr>
          <w:sz w:val="32"/>
          <w:szCs w:val="32"/>
        </w:rPr>
      </w:pPr>
      <w:r>
        <w:rPr>
          <w:rFonts w:hint="eastAsia"/>
          <w:b w:val="1"/>
          <w:sz w:val="32"/>
        </w:rPr>
        <w:t>（三）改进建议</w:t>
      </w:r>
    </w:p>
    <w:p w14:paraId="0F0581BE">
      <w:pPr>
        <w:numPr>
          <w:ilvl w:val="0"/>
          <w:numId w:val="12"/>
        </w:numPr>
      </w:pPr>
      <w:r>
        <w:rPr>
          <w:rFonts w:hint="eastAsia"/>
        </w:rPr>
        <w:t>以方案中"数据中台层 + 统一主数据"设计为纲：客户、产品、物料、项目、人员等主数据先立标准、先清洗、后上线，从源头避免新建系统之间的二次孤岛；</w:t>
      </w:r>
    </w:p>
    <w:p w14:paraId="65FD336B">
      <w:pPr>
        <w:numPr>
          <w:ilvl w:val="0"/>
          <w:numId w:val="12"/>
        </w:numPr>
      </w:pPr>
      <w:r>
        <w:rPr>
          <w:rFonts w:hint="eastAsia"/>
        </w:rPr>
        <w:t>各业务模块与用友 T+ 之间预留标准化接口（RESTful API + JSON），一期至少打通"采购/仓储单据 → 财务凭证"的手工触发通道，为后续业财一体化（业财同步率 ≥95%）铺路；</w:t>
      </w:r>
    </w:p>
    <w:p w14:paraId="1BF977F8">
      <w:pPr>
        <w:numPr>
          <w:ilvl w:val="0"/>
          <w:numId w:val="12"/>
        </w:numPr>
      </w:pPr>
      <w:r>
        <w:rPr>
          <w:rFonts w:hint="eastAsia"/>
        </w:rPr>
        <w:t>在实施前与实施方逐条确认模块间数据流（源模块、目标模块、数据对象、频率、约束），形成关键数据流转表并写入需求确认书，避免验收时数据贯通口径扯皮。</w:t>
      </w:r>
    </w:p>
    <w:p w14:paraId="22CE9625">
      <w:pPr>
        <w:pStyle w:val="000003"/>
        <w:keepNext w:val="1"/>
        <w:keepLines w:val="1"/>
        <w:spacing w:before="100" w:beforeAutospacing="1" w:after="100" w:afterAutospacing="1"/>
        <w:outlineLvl w:val="1"/>
        <w:rPr>
          <w:sz w:val="32"/>
          <w:szCs w:val="32"/>
        </w:rPr>
      </w:pPr>
      <w:r>
        <w:rPr>
          <w:rFonts w:hint="eastAsia"/>
          <w:b w:val="1"/>
          <w:sz w:val="32"/>
        </w:rPr>
        <w:t>九、总体实施建议与风险提示</w:t>
      </w:r>
    </w:p>
    <w:p w14:paraId="7D4C484A">
      <w:pPr>
        <w:numPr>
          <w:ilvl w:val="0"/>
          <w:numId w:val="13"/>
        </w:numPr>
      </w:pPr>
      <w:r>
        <w:rPr>
          <w:rFonts w:hint="eastAsia"/>
        </w:rPr>
        <w:t>分期推进：一期（主数据 + 采购 + 仓储）、二期（质量 + 安全）、三期（营销深化），每期用真实数据验证后再进下一期；</w:t>
      </w:r>
    </w:p>
    <w:p w14:paraId="7DCAB4E8">
      <w:pPr>
        <w:numPr>
          <w:ilvl w:val="0"/>
          <w:numId w:val="13"/>
        </w:numPr>
      </w:pPr>
      <w:r>
        <w:rPr>
          <w:rFonts w:hint="eastAsia"/>
        </w:rPr>
        <w:t>生产执行空档显式管理：与实施方书面约定生产管控、设备联网率等未纳入改造场景的过渡衔接方案与验收口径，避免二级评测时因生产侧失分导致整体不达标；</w:t>
      </w:r>
    </w:p>
    <w:p w14:paraId="3730541F">
      <w:pPr>
        <w:numPr>
          <w:ilvl w:val="0"/>
          <w:numId w:val="13"/>
        </w:numPr>
      </w:pPr>
      <w:r>
        <w:rPr>
          <w:rFonts w:hint="eastAsia"/>
        </w:rPr>
        <w:t>数据治理前置：主数据标准与历史数据清洗（物料、客商、项目、期初库存）应在系统配置阶段前完成，并设双轨并行核对期；</w:t>
      </w:r>
    </w:p>
    <w:p w14:paraId="23DB5EC3">
      <w:pPr>
        <w:numPr>
          <w:ilvl w:val="0"/>
          <w:numId w:val="13"/>
        </w:numPr>
      </w:pPr>
      <w:r>
        <w:rPr>
          <w:rFonts w:hint="eastAsia"/>
        </w:rPr>
        <w:t>人才配套：落实到人的"内部运维骨干"培养计划 + 分岗位实操考核，考核不合格不上线；</w:t>
      </w:r>
    </w:p>
    <w:p w14:paraId="6AD8C98B">
      <w:pPr>
        <w:numPr>
          <w:ilvl w:val="0"/>
          <w:numId w:val="13"/>
        </w:numPr>
      </w:pPr>
      <w:r>
        <w:rPr>
          <w:rFonts w:hint="eastAsia"/>
        </w:rPr>
        <w:t>变更与范围控制：沿用方案的变更控制流程（提出—评估—审批—执行），警惕 8 周工期下的范围蔓延。</w:t>
      </w:r>
    </w:p>
    <w:p w14:paraId="6461F56F">
      <w:pPr>
        <w:pStyle w:val="000003"/>
        <w:keepNext w:val="1"/>
        <w:keepLines w:val="1"/>
        <w:spacing w:before="100" w:beforeAutospacing="1" w:after="100" w:afterAutospacing="1"/>
        <w:outlineLvl w:val="1"/>
        <w:rPr>
          <w:sz w:val="32"/>
          <w:szCs w:val="32"/>
        </w:rPr>
      </w:pPr>
      <w:r>
        <w:rPr>
          <w:rFonts w:hint="eastAsia"/>
          <w:b w:val="1"/>
          <w:sz w:val="32"/>
        </w:rPr>
        <w:t>信息局限性声明</w:t>
      </w:r>
    </w:p>
    <w:p w14:paraId="13794161">
      <w:r>
        <w:rPr>
          <w:rFonts w:hint="eastAsia"/>
        </w:rPr>
        <w:t>本报告基于《郎鹰数字化转型改造实施方案》及金属构件/装配式建筑行业通行模式编制，公司内部组织架构、岗位分工、客户与供应商明细、库存与合同管理等现状细节未经现场调研确认；报告中标注"推断"的内容仅供项目立项与需求分析阶段参考，正式需求规格应以现场调研访谈结果为准。</w:t>
      </w:r>
    </w:p>
    <w:p w14:paraId="313E657E"/>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abstractNum w:abstractNumId="5">
    <w:lvl w:ilvl="0">
      <w:start w:val="1"/>
      <w:numFmt w:val="decimal"/>
      <w:lvlText w:val="%1."/>
      <w:lvlJc w:val="left"/>
      <w:pPr>
        <w:ind w:left="420" w:hanging="420"/>
      </w:pPr>
    </w:lvl>
  </w:abstractNum>
  <w:abstractNum w:abstractNumId="6">
    <w:lvl w:ilvl="0">
      <w:start w:val="1"/>
      <w:numFmt w:val="decimal"/>
      <w:lvlText w:val="%1."/>
      <w:lvlJc w:val="left"/>
      <w:pPr>
        <w:ind w:left="420" w:hanging="420"/>
      </w:pPr>
    </w:lvl>
  </w:abstractNum>
  <w:abstractNum w:abstractNumId="7">
    <w:lvl w:ilvl="0">
      <w:start w:val="1"/>
      <w:numFmt w:val="decimal"/>
      <w:lvlText w:val="%1."/>
      <w:lvlJc w:val="left"/>
      <w:pPr>
        <w:ind w:left="420" w:hanging="420"/>
      </w:pPr>
    </w:lvl>
  </w:abstractNum>
  <w:abstractNum w:abstractNumId="8">
    <w:lvl w:ilvl="0">
      <w:start w:val="1"/>
      <w:numFmt w:val="decimal"/>
      <w:lvlText w:val="%1."/>
      <w:lvlJc w:val="left"/>
      <w:pPr>
        <w:ind w:left="420" w:hanging="420"/>
      </w:pPr>
    </w:lvl>
  </w:abstractNum>
  <w:abstractNum w:abstractNumId="9">
    <w:lvl w:ilvl="0">
      <w:start w:val="1"/>
      <w:numFmt w:val="decimal"/>
      <w:lvlText w:val="%1."/>
      <w:lvlJc w:val="left"/>
      <w:pPr>
        <w:ind w:left="420" w:hanging="420"/>
      </w:pPr>
    </w:lvl>
  </w:abstractNum>
  <w:abstractNum w:abstractNumId="10">
    <w:lvl w:ilvl="0">
      <w:start w:val="1"/>
      <w:numFmt w:val="decimal"/>
      <w:lvlText w:val="%1."/>
      <w:lvlJc w:val="left"/>
      <w:pPr>
        <w:ind w:left="420" w:hanging="420"/>
      </w:pPr>
    </w:lvl>
  </w:abstractNum>
  <w:abstractNum w:abstractNumId="11">
    <w:lvl w:ilvl="0">
      <w:start w:val="1"/>
      <w:numFmt w:val="decimal"/>
      <w:lvlText w:val="%1."/>
      <w:lvlJc w:val="left"/>
      <w:pPr>
        <w:ind w:left="420" w:hanging="420"/>
      </w:pPr>
    </w:lvl>
  </w:abstractNum>
  <w:abstractNum w:abstractNumId="12">
    <w:lvl w:ilvl="0">
      <w:start w:val="1"/>
      <w:numFmt w:val="bullet"/>
      <w:lvlText w:val=""/>
      <w:lvlJc w:val="left"/>
      <w:pPr>
        <w:ind w:left="420" w:hanging="420"/>
      </w:pPr>
      <w:rPr>
        <w:rFonts w:hint="default" w:ascii="Wingdings" w:hAnsi="Wingdings"/>
      </w:rPr>
    </w:lvl>
  </w:abstractNum>
  <w:num w:numId="13">
    <w:abstractNumId w:val="3"/>
  </w:num>
  <w:num w:numId="4">
    <w:abstractNumId w:val="9"/>
  </w:num>
  <w:num w:numId="9">
    <w:abstractNumId w:val="8"/>
  </w:num>
  <w:num w:numId="1">
    <w:abstractNumId w:val="5"/>
  </w:num>
  <w:num w:numId="12">
    <w:abstractNumId w:val="0"/>
  </w:num>
  <w:num w:numId="6">
    <w:abstractNumId w:val="10"/>
  </w:num>
  <w:num w:numId="3">
    <w:abstractNumId w:val="1"/>
  </w:num>
  <w:num w:numId="7">
    <w:abstractNumId w:val="11"/>
  </w:num>
  <w:num w:numId="10">
    <w:abstractNumId w:val="6"/>
  </w:num>
  <w:num w:numId="8">
    <w:abstractNumId w:val="7"/>
  </w:num>
  <w:num w:numId="11">
    <w:abstractNumId w:val="4"/>
  </w:num>
  <w:num w:numId="2">
    <w:abstractNumId w:val="12"/>
  </w:num>
  <w:num w:numId="5">
    <w:abstractNumId w:val="2"/>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Body Text Indent" w:semiHidden="1" w:unhideWhenUsed="1"/>
    <w:lsdException w:name="List Bullet" w:semiHidden="1" w:unhideWhenUsed="1"/>
    <w:lsdException w:name="Date" w:semiHidden="1" w:unhideWhenUsed="1"/>
    <w:lsdException w:name="Signature" w:semiHidden="1" w:unhideWhenUsed="1"/>
    <w:lsdException w:name="toc 2" w:uiPriority="39" w:semiHidden="1" w:unhideWhenUsed="1"/>
    <w:lsdException w:name="List Continue" w:semiHidden="1" w:unhideWhenUsed="1"/>
    <w:lsdException w:name="index 8" w:semiHidden="1" w:unhideWhenUsed="1"/>
    <w:lsdException w:name="index 1" w:semiHidden="1" w:unhideWhenUsed="1"/>
    <w:lsdException w:name="index 9" w:semiHidden="1" w:unhideWhenUsed="1"/>
    <w:lsdException w:name="index 2" w:semiHidden="1" w:unhideWhenUsed="1"/>
    <w:lsdException w:name="line number" w:semiHidden="1" w:unhideWhenUsed="1"/>
    <w:lsdException w:name="Title" w:uiPriority="10" w:qFormat="1"/>
    <w:lsdException w:name="Body Text" w:semiHidden="1" w:unhideWhenUsed="1"/>
    <w:lsdException w:name="List Continue 5" w:semiHidden="1" w:unhideWhenUsed="1"/>
    <w:lsdException w:name="Closing" w:semiHidden="1" w:unhideWhenUsed="1"/>
    <w:lsdException w:name="List Bullet 4" w:semiHidden="1" w:unhideWhenUsed="1"/>
    <w:lsdException w:name="annotation text" w:semiHidden="1" w:unhideWhenUsed="1"/>
    <w:lsdException w:name="List Bullet 5" w:semiHidden="1" w:unhideWhenUsed="1"/>
    <w:lsdException w:name="Salutation" w:semiHidden="1" w:unhideWhenUsed="1"/>
    <w:lsdException w:name="footnote reference" w:semiHidden="1" w:unhideWhenUsed="1"/>
    <w:lsdException w:name="List Number 5" w:semiHidden="1" w:unhideWhenUsed="1"/>
    <w:lsdException w:name="heading 6" w:uiPriority="9" w:semiHidden="1" w:unhideWhenUsed="1" w:qFormat="1"/>
    <w:lsdException w:name="List Number" w:semiHidden="1" w:unhideWhenUsed="1"/>
    <w:lsdException w:name="endnote text" w:semiHidden="1" w:unhideWhenUsed="1"/>
    <w:lsdException w:name="annotation reference" w:semiHidden="1" w:unhideWhenUsed="1"/>
    <w:lsdException w:name="index 5" w:semiHidden="1" w:unhideWhenUsed="1"/>
    <w:lsdException w:name="List Continue 2" w:semiHidden="1" w:unhideWhenUsed="1"/>
    <w:lsdException w:name="Body Text Indent 3" w:semiHidden="1" w:unhideWhenUsed="1"/>
    <w:lsdException w:name="List Continue 4" w:semiHidden="1" w:unhideWhenUsed="1"/>
    <w:lsdException w:name="table of authorities" w:semiHidden="1" w:unhideWhenUsed="1"/>
    <w:lsdException w:name="FollowedHyperlink" w:semiHidden="1" w:unhideWhenUsed="1"/>
    <w:lsdException w:name="heading 4" w:uiPriority="9" w:semiHidden="1" w:unhideWhenUsed="1" w:qFormat="1"/>
    <w:lsdException w:name="heading 9" w:uiPriority="9" w:semiHidden="1" w:unhideWhenUsed="1" w:qFormat="1"/>
    <w:lsdException w:name="List Number 2" w:semiHidden="1" w:unhideWhenUsed="1"/>
    <w:lsdException w:name="heading 1" w:uiPriority="9" w:qFormat="1"/>
    <w:lsdException w:name="heading 5" w:uiPriority="9" w:semiHidden="1" w:unhideWhenUsed="1" w:qFormat="1"/>
    <w:lsdException w:name="Subtitle" w:uiPriority="11" w:qFormat="1"/>
    <w:lsdException w:name="toc 6" w:uiPriority="39" w:semiHidden="1" w:unhideWhenUsed="1"/>
    <w:lsdException w:name="toc 1" w:uiPriority="39" w:semiHidden="1" w:unhideWhenUsed="1"/>
    <w:lsdException w:name="toc 7" w:uiPriority="39" w:semiHidden="1" w:unhideWhenUsed="1"/>
    <w:lsdException w:name="index 6" w:semiHidden="1" w:unhideWhenUsed="1"/>
    <w:lsdException w:name="index 7" w:semiHidden="1" w:unhideWhenUsed="1"/>
    <w:lsdException w:name="index 3" w:semiHidden="1" w:unhideWhenUsed="1"/>
    <w:lsdException w:name="envelope address" w:semiHidden="1" w:unhideWhenUsed="1"/>
    <w:lsdException w:name="index 4" w:semiHidden="1" w:unhideWhenUsed="1"/>
    <w:lsdException w:name="Normal Indent" w:semiHidden="1" w:unhideWhenUsed="1"/>
    <w:lsdException w:name="List Continue 3" w:semiHidden="1" w:unhideWhenUsed="1"/>
    <w:lsdException w:name="Block Text" w:semiHidden="1" w:unhideWhenUsed="1"/>
    <w:lsdException w:name="Note Heading" w:semiHidden="1" w:unhideWhenUsed="1"/>
    <w:lsdException w:name="List 3" w:semiHidden="1" w:unhideWhenUsed="1"/>
    <w:lsdException w:name="index heading" w:semiHidden="1" w:unhideWhenUsed="1"/>
    <w:lsdException w:name="macro" w:semiHidden="1" w:unhideWhenUsed="1"/>
    <w:lsdException w:name="List Number 3" w:semiHidden="1" w:unhideWhenUsed="1"/>
    <w:lsdException w:name="heading 8" w:uiPriority="9" w:semiHidden="1" w:unhideWhenUsed="1" w:qFormat="1"/>
    <w:lsdException w:name="endnote reference" w:semiHidden="1" w:unhideWhenUsed="1"/>
    <w:lsdException w:name="Strong" w:uiPriority="22" w:qFormat="1"/>
    <w:lsdException w:name="Default Paragraph Font" w:uiPriority="1" w:semiHidden="1" w:unhideWhenUsed="1"/>
    <w:lsdException w:name="toc 4" w:uiPriority="39" w:semiHidden="1" w:unhideWhenUsed="1"/>
    <w:lsdException w:name="Message Header" w:semiHidden="1" w:unhideWhenUsed="1"/>
    <w:lsdException w:name="Body Text First Indent" w:semiHidden="1" w:unhideWhenUsed="1"/>
    <w:lsdException w:name="header" w:semiHidden="1" w:unhideWhenUsed="1"/>
    <w:lsdException w:name="Body Text 3" w:semiHidden="1" w:unhideWhenUsed="1"/>
    <w:lsdException w:name="List Bullet 2" w:semiHidden="1" w:unhideWhenUsed="1"/>
    <w:lsdException w:name="List" w:semiHidden="1" w:unhideWhenUsed="1"/>
    <w:lsdException w:name="footer" w:semiHidden="1" w:unhideWhenUsed="1"/>
    <w:lsdException w:name="footnote text" w:semiHidden="1" w:unhideWhenUsed="1"/>
    <w:lsdException w:name="heading 2" w:uiPriority="9" w:semiHidden="1" w:unhideWhenUsed="1" w:qFormat="1"/>
    <w:lsdException w:name="List Number 4" w:semiHidden="1" w:unhideWhenUsed="1"/>
    <w:lsdException w:name="List 2" w:semiHidden="1" w:unhideWhenUsed="1"/>
    <w:lsdException w:name="table of figures" w:semiHidden="1" w:unhideWhenUsed="1"/>
    <w:lsdException w:name="List 5" w:semiHidden="1" w:unhideWhenUsed="1"/>
    <w:lsdException w:name="page number" w:semiHidden="1" w:unhideWhenUsed="1"/>
    <w:lsdException w:name="heading 3" w:uiPriority="9" w:semiHidden="1" w:unhideWhenUsed="1" w:qFormat="1"/>
    <w:lsdException w:name="toc 8" w:uiPriority="39" w:semiHidden="1" w:unhideWhenUsed="1"/>
    <w:lsdException w:name="toc 3" w:uiPriority="39" w:semiHidden="1" w:unhideWhenUsed="1"/>
    <w:lsdException w:name="toc 9" w:uiPriority="39" w:semiHidden="1" w:unhideWhenUsed="1"/>
    <w:lsdException w:name="Body Text First Indent 2" w:semiHidden="1" w:unhideWhenUsed="1"/>
    <w:lsdException w:name="toc 5" w:uiPriority="39" w:semiHidden="1" w:unhideWhenUsed="1"/>
    <w:lsdException w:name="toa heading" w:semiHidden="1" w:unhideWhenUsed="1"/>
    <w:lsdException w:name="Body Text Indent 2" w:semiHidden="1" w:unhideWhenUsed="1"/>
    <w:lsdException w:name="Body Text 2" w:semiHidden="1" w:unhideWhenUsed="1"/>
    <w:lsdException w:name="List 4" w:semiHidden="1" w:unhideWhenUsed="1"/>
    <w:lsdException w:name="List Bullet 3" w:semiHidden="1" w:unhideWhenUsed="1"/>
    <w:lsdException w:name="Normal" w:uiPriority="0" w:qFormat="1"/>
    <w:lsdException w:name="envelope return" w:semiHidden="1" w:unhideWhenUsed="1"/>
    <w:lsdException w:name="heading 7" w:uiPriority="9" w:semiHidden="1" w:unhideWhenUsed="1" w:qFormat="1"/>
    <w:lsdException w:name="Hyperlink" w:semiHidden="1" w:unhideWhenUsed="1"/>
    <w:lsdException w:name="caption" w:uiPriority="35" w:semiHidden="1" w:unhideWhenUsed="1" w:qFormat="1"/>
  </w:latentStyles>
  <w:style w:type="paragraph" w:styleId="000007">
    <w:name w:val="heading 3"/>
    <w:basedOn w:val="Normal"/>
    <w:next w:val="Normal"/>
    <w:uiPriority w:val="9"/>
    <w:qFormat w:val="1"/>
    <w:pPr>
      <w:keepNext w:val="1"/>
      <w:keepLines w:val="1"/>
      <w:spacing w:before="180" w:after="80"/>
      <w:outlineLvl w:val="2"/>
    </w:pPr>
    <w:rPr>
      <w:b w:val="1"/>
      <w:sz w:val="24"/>
      <w:szCs w:val="24"/>
    </w:rPr>
  </w:style>
  <w:style w:type="paragraph" w:styleId="000003">
    <w:name w:val="heading 2"/>
    <w:basedOn w:val="Normal"/>
    <w:next w:val="Normal"/>
    <w:uiPriority w:val="9"/>
    <w:qFormat w:val="1"/>
    <w:pPr>
      <w:keepNext w:val="1"/>
      <w:keepLines w:val="1"/>
      <w:spacing w:before="200" w:after="100"/>
      <w:outlineLvl w:val="1"/>
    </w:pPr>
    <w:rPr>
      <w:b w:val="1"/>
      <w:sz w:val="26"/>
      <w:szCs w:val="26"/>
    </w:rPr>
  </w:style>
  <w:style w:type="paragraph" w:styleId="000002">
    <w:name w:val="heading 1"/>
    <w:basedOn w:val="Normal"/>
    <w:next w:val="Normal"/>
    <w:uiPriority w:val="9"/>
    <w:qFormat w:val="1"/>
    <w:pPr>
      <w:keepNext w:val="1"/>
      <w:keepLines w:val="1"/>
      <w:spacing w:before="240" w:after="120"/>
      <w:outlineLvl w:val="0"/>
    </w:pPr>
    <w:rPr>
      <w:b w:val="1"/>
      <w:sz w:val="32"/>
      <w:szCs w:val="32"/>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2026-10-21T14:25:50Z</dcterms:created>
  <dcterms:modified xsi:type="dcterms:W3CDTF">2026-10-21T14:25:50Z</dcterms:modified>
</cp:coreProperties>
</file>