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eastAsia="Microsoft YaHei" w:hAnsi="Arial"/>
          <w:b/>
          <w:bCs/>
          <w:sz w:val="52"/>
          <w:szCs w:val="52"/>
        </w:rPr>
        <w:t xml:space="preserve">传丰食品ERP行业匹配度分析报告</w:t>
      </w:r>
    </w:p>
    <w:p>
      <w:pPr>
        <w:spacing w:after="200"/>
        <w:jc w:val="center"/>
      </w:pPr>
      <w:r>
        <w:rPr>
          <w:rFonts w:ascii="Arial" w:eastAsia="Microsoft YaHei" w:hAnsi="Arial"/>
          <w:color w:val="555555"/>
          <w:sz w:val="26"/>
          <w:szCs w:val="26"/>
        </w:rPr>
        <w:t xml:space="preserve">—— 基于标准版系统开放模块与曲靖传丰食品业务报告的比对分析 ——</w:t>
      </w:r>
    </w:p>
    <w:p>
      <w:pPr>
        <w:spacing w:after="120" w:before="400"/>
        <w:jc w:val="center"/>
      </w:pPr>
      <w:r>
        <w:rPr>
          <w:rFonts w:ascii="Arial" w:eastAsia="Microsoft YaHei" w:hAnsi="Arial"/>
          <w:sz w:val="22"/>
          <w:szCs w:val="22"/>
        </w:rPr>
        <w:t xml:space="preserve">编制：策言（AI 工作搭档）</w:t>
      </w:r>
    </w:p>
    <w:p>
      <w:pPr>
        <w:spacing w:after="120"/>
        <w:jc w:val="center"/>
      </w:pPr>
      <w:r>
        <w:rPr>
          <w:rFonts w:ascii="Arial" w:eastAsia="Microsoft YaHei" w:hAnsi="Arial"/>
          <w:sz w:val="22"/>
          <w:szCs w:val="22"/>
        </w:rPr>
        <w:t xml:space="preserve">日期：2026 年 10 月 13 日    版本：V1.0</w:t>
      </w:r>
    </w:p>
    <w:p>
      <w:pPr>
        <w:spacing w:after="0" w:before="600"/>
        <w:jc w:val="center"/>
      </w:pPr>
      <w:r>
        <w:rPr>
          <w:rFonts w:ascii="Arial" w:eastAsia="Microsoft YaHei" w:hAnsi="Arial"/>
          <w:color w:val="886644"/>
          <w:sz w:val="22"/>
          <w:szCs w:val="22"/>
        </w:rPr>
        <w:t xml:space="preserve">分析性质：仅分析，不涉及开发实施</w:t>
      </w:r>
    </w:p>
    <w:p>
      <w:pPr>
        <w:pStyle w:val="Heading1"/>
      </w:pPr>
      <w:r>
        <w:rPr>
          <w:rFonts w:ascii="Arial" w:eastAsia="Microsoft YaHei" w:hAnsi="Arial"/>
          <w:b/>
          <w:bCs/>
        </w:rPr>
        <w:t xml:space="preserve">执行摘要</w:t>
      </w:r>
    </w:p>
    <w:p>
      <w:pPr>
        <w:spacing w:after="120" w:line="300"/>
      </w:pPr>
      <w:r>
        <w:rPr>
          <w:rFonts w:ascii="Arial" w:eastAsia="Microsoft YaHei" w:hAnsi="Arial"/>
          <w:sz w:val="21"/>
          <w:szCs w:val="21"/>
        </w:rPr>
        <w:t xml:space="preserve">本报告以《曲靖传丰食品ERP业务流程与组织架构分析报告》（V1.0）所还原的企业业务全景为基准，对CFSP系统当前开放模块（营销管理、生产管控、质量管理、采购管理、仓储物流、AI中心及系统管理、消息中心）进行行业匹配度分析。系统功能清单经菜单与数据表字段实测核对，非文档推断。</w:t>
      </w:r>
    </w:p>
    <w:p>
      <w:pPr>
        <w:spacing w:after="120" w:line="300"/>
      </w:pPr>
      <w:r>
        <w:rPr>
          <w:rFonts w:ascii="Arial" w:eastAsia="Microsoft YaHei" w:hAnsi="Arial"/>
          <w:b/>
          <w:bCs/>
          <w:sz w:val="21"/>
          <w:szCs w:val="21"/>
        </w:rPr>
        <w:t xml:space="preserve">总体结论：模块范围选择基本正确，与业务报告"六大业务模块"框架吻合；但标准版为通用企业基因，当前行业匹配度约六成。差距不在"开哪些模块"，而在"已开放模块缺食品行业三条主线"——批次追溯、效期管理（FEFO先到期先出）、长周期在制品跟踪。</w:t>
      </w:r>
    </w:p>
    <w:p>
      <w:pPr>
        <w:spacing w:after="120" w:line="300"/>
      </w:pPr>
      <w:r>
        <w:rPr>
          <w:rFonts w:ascii="Arial" w:eastAsia="Microsoft YaHei" w:hAnsi="Arial"/>
          <w:sz w:val="21"/>
          <w:szCs w:val="21"/>
        </w:rPr>
        <w:t xml:space="preserve">建议按 P0（合规底线：批次效期FEFO追溯）→ P1（行业核心：火腿工艺与HACCP）→ P2（管理提升）→ P3（远期IoT与人力）的节奏推进行业化深化，实施分期与业务报告建议一致：一期主数据+采购仓库，二期生产+质量，三期营销+人力。</w:t>
      </w:r>
    </w:p>
    <w:p>
      <w:pPr>
        <w:pStyle w:val="Heading1"/>
      </w:pPr>
      <w:r>
        <w:rPr>
          <w:rFonts w:ascii="Arial" w:eastAsia="Microsoft YaHei" w:hAnsi="Arial"/>
          <w:b/>
          <w:bCs/>
        </w:rPr>
        <w:t xml:space="preserve">一、分析背景与依据</w:t>
      </w:r>
    </w:p>
    <w:p>
      <w:pPr>
        <w:spacing w:after="120" w:line="300"/>
      </w:pPr>
      <w:r>
        <w:rPr>
          <w:rFonts w:ascii="Arial" w:eastAsia="Microsoft YaHei" w:hAnsi="Arial"/>
          <w:sz w:val="21"/>
          <w:szCs w:val="21"/>
        </w:rPr>
        <w:t xml:space="preserve">曲靖传丰食品有限责任公司是位于云南省曲靖市沾益区的小型火腿及肉制品加工企业（国标行业 C1353，参保约 15 人），产品线以发酵火腿为核心，延伸腊肉、香肠、即食火腿、精分割礼盒及调味品。销售端呈"B端项目制（宾馆餐饮招投标供货）+ 流通渠道（商超铺货、礼盒团购）"双轨结构。公司正处"作坊式批发向品牌化、标准化转型"阶段，持有国家高新技术企业、省级专精特新等资质。</w:t>
      </w:r>
    </w:p>
    <w:p>
      <w:pPr>
        <w:spacing w:after="120" w:line="300"/>
      </w:pPr>
      <w:r>
        <w:rPr>
          <w:rFonts w:ascii="Arial" w:eastAsia="Microsoft YaHei" w:hAnsi="Arial"/>
          <w:b/>
          <w:bCs/>
          <w:sz w:val="21"/>
          <w:szCs w:val="21"/>
        </w:rPr>
        <w:t xml:space="preserve">分析依据与方法：</w:t>
      </w:r>
    </w:p>
    <w:p>
      <w:pPr>
        <w:pStyle w:val="ListParagraph"/>
        <w:numPr>
          <w:ilvl w:val="0"/>
          <w:numId w:val="2"/>
        </w:numPr>
        <w:spacing w:after="80" w:line="300"/>
      </w:pPr>
      <w:r>
        <w:rPr>
          <w:rFonts w:ascii="Arial" w:eastAsia="Microsoft YaHei" w:hAnsi="Arial"/>
          <w:b w:val="false"/>
          <w:bCs w:val="false"/>
          <w:sz w:val="21"/>
          <w:szCs w:val="21"/>
        </w:rPr>
        <w:t xml:space="preserve">业务需求基准：《曲靖传丰食品ERP业务流程与组织架构分析报告》V1.0（2026-10-13），含企业概况、组织岗位、六条业务流程主线、部门协作矩阵、模块间数据流转需求、逐模块落地场景与实施路径建议；</w:t>
      </w:r>
    </w:p>
    <w:p>
      <w:pPr>
        <w:pStyle w:val="ListParagraph"/>
        <w:numPr>
          <w:ilvl w:val="0"/>
          <w:numId w:val="2"/>
        </w:numPr>
        <w:spacing w:after="80" w:line="300"/>
      </w:pPr>
      <w:r>
        <w:rPr>
          <w:rFonts w:ascii="Arial" w:eastAsia="Microsoft YaHei" w:hAnsi="Arial"/>
          <w:b w:val="false"/>
          <w:bCs w:val="false"/>
          <w:sz w:val="21"/>
          <w:szCs w:val="21"/>
        </w:rPr>
        <w:t xml:space="preserve">系统现状实测：逐模块核对RUOYI_CFSP库中处于启用状态的菜单树与关键数据表字段（如物料表的批次、保质期字段），确保结论基于系统实际能力而非规划文档；</w:t>
      </w:r>
    </w:p>
    <w:p>
      <w:pPr>
        <w:pStyle w:val="ListParagraph"/>
        <w:numPr>
          <w:ilvl w:val="0"/>
          <w:numId w:val="2"/>
        </w:numPr>
        <w:spacing w:after="80" w:line="300"/>
      </w:pPr>
      <w:r>
        <w:rPr>
          <w:rFonts w:ascii="Arial" w:eastAsia="Microsoft YaHei" w:hAnsi="Arial"/>
          <w:b w:val="false"/>
          <w:bCs w:val="false"/>
          <w:sz w:val="21"/>
          <w:szCs w:val="21"/>
        </w:rPr>
        <w:t xml:space="preserve">比对口径：行业匹配度 = 通用标准版能力对食品行业合规要求与业务特征的覆盖程度，差距按"合规底线 / 行业核心 / 管理提升 / 远期增强"分级。</w:t>
      </w:r>
    </w:p>
    <w:p>
      <w:pPr>
        <w:pStyle w:val="Heading1"/>
      </w:pPr>
      <w:r>
        <w:rPr>
          <w:rFonts w:ascii="Arial" w:eastAsia="Microsoft YaHei" w:hAnsi="Arial"/>
          <w:b/>
          <w:bCs/>
        </w:rPr>
        <w:t xml:space="preserve">二、总体判断</w:t>
      </w:r>
    </w:p>
    <w:p>
      <w:pPr>
        <w:spacing w:after="120" w:line="300"/>
      </w:pPr>
      <w:r>
        <w:rPr>
          <w:rFonts w:ascii="Arial" w:eastAsia="Microsoft YaHei" w:hAnsi="Arial"/>
          <w:sz w:val="21"/>
          <w:szCs w:val="21"/>
        </w:rPr>
        <w:t xml:space="preserve">标准版系统面向所有企业开发，当前启用的模块骨架完整、通用能力强；对照传丰食品"小企业、高资质、强合规"的特征，行业匹配情况如下：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200"/>
        <w:gridCol w:w="3726"/>
      </w:tblGrid>
      <w:tr>
        <w:trPr>
          <w:cantSplit/>
        </w:trPr>
        <w:tc>
          <w:tcPr>
            <w:tcW w:type="dxa" w:w="15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模块</w:t>
            </w:r>
          </w:p>
        </w:tc>
        <w:tc>
          <w:tcPr>
            <w:tcW w:type="dxa" w:w="26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行业定位</w:t>
            </w:r>
          </w:p>
        </w:tc>
        <w:tc>
          <w:tcPr>
            <w:tcW w:type="dxa" w:w="12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匹配度</w:t>
            </w:r>
          </w:p>
        </w:tc>
        <w:tc>
          <w:tcPr>
            <w:tcW w:type="dxa" w:w="3726"/>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核心差距方向</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仓储物流 wms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批次效期库存管理</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FEFO强制出库、临期预警、批次双维库存</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采购管理 pms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供应商与询比价采购</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合格供应商审核工作流、按批议价、三单匹配</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AI中心 ai</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智能助手与预警分析</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行业化增强可选（临期建议、损耗解读）</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质量管理 qms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三级检验与追溯</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HACCP CCP台账、索证索票前置、批次追溯校准</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营销管理 mk</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客户与订单双轨销售</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招投标档案、价格政策返利、信用欠款控制</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生产管控 mms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工单报工与排产</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火腿工艺路线、WIP长周期批次跟踪、产出率损耗</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系统管理+消息中心</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权限/消息/模块开关平台</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无（两级审批用单据状态+权限承载即可）</w:t>
            </w:r>
          </w:p>
        </w:tc>
      </w:tr>
    </w:tbl>
    <w:p>
      <w:pPr>
        <w:spacing w:after="120"/>
      </w:pPr>
    </w:p>
    <w:p>
      <w:pPr>
        <w:spacing w:after="120" w:line="300"/>
      </w:pPr>
      <w:r>
        <w:rPr>
          <w:rFonts w:ascii="Arial" w:eastAsia="Microsoft YaHei" w:hAnsi="Arial"/>
          <w:b/>
          <w:bCs/>
          <w:sz w:val="21"/>
          <w:szCs w:val="21"/>
        </w:rPr>
        <w:t xml:space="preserve">三条行业主线（业务报告明确为ERP建设三主线）在当前系统中的落地情况：</w:t>
      </w:r>
    </w:p>
    <w:p>
      <w:pPr>
        <w:pStyle w:val="ListParagraph"/>
        <w:numPr>
          <w:ilvl w:val="0"/>
          <w:numId w:val="2"/>
        </w:numPr>
        <w:spacing w:after="80" w:line="300"/>
      </w:pPr>
      <w:r>
        <w:rPr>
          <w:rFonts w:ascii="Arial" w:eastAsia="Microsoft YaHei" w:hAnsi="Arial"/>
          <w:b/>
          <w:bCs/>
          <w:sz w:val="21"/>
          <w:szCs w:val="21"/>
        </w:rPr>
        <w:t xml:space="preserve">批次追溯：物料表已具备批次号、是否批次管理字段，质量模块有谱系管理与SN追溯；但SN序列号是离散制造思路，需校准为"原料批次→工单批次→成品批次→发货客户"的批次追溯链，并用真实数据完成召回演练验证；</w:t>
      </w:r>
    </w:p>
    <w:p>
      <w:pPr>
        <w:pStyle w:val="ListParagraph"/>
        <w:numPr>
          <w:ilvl w:val="0"/>
          <w:numId w:val="2"/>
        </w:numPr>
        <w:spacing w:after="80" w:line="300"/>
      </w:pPr>
      <w:r>
        <w:rPr>
          <w:rFonts w:ascii="Arial" w:eastAsia="Microsoft YaHei" w:hAnsi="Arial"/>
          <w:b/>
          <w:bCs/>
          <w:sz w:val="21"/>
          <w:szCs w:val="21"/>
        </w:rPr>
        <w:t xml:space="preserve">效期管理（FEFO）：物料表有保质期天数字段，但同物料多批次不同效期的批次级库存台账、FEFO强制出库、临期预警（当前库存预警为安全库存维度）均未落地——这是食品ERP合规底线与大客户验厂必查项；</w:t>
      </w:r>
    </w:p>
    <w:p>
      <w:pPr>
        <w:pStyle w:val="ListParagraph"/>
        <w:numPr>
          <w:ilvl w:val="0"/>
          <w:numId w:val="2"/>
        </w:numPr>
        <w:spacing w:after="80" w:line="300"/>
      </w:pPr>
      <w:r>
        <w:rPr>
          <w:rFonts w:ascii="Arial" w:eastAsia="Microsoft YaHei" w:hAnsi="Arial"/>
          <w:b/>
          <w:bCs/>
          <w:sz w:val="21"/>
          <w:szCs w:val="21"/>
        </w:rPr>
        <w:t xml:space="preserve">长周期在制品跟踪：生产模块为离散制造日排产逻辑，而干腌火腿单支生产周期以月甚至年计，缺乏按批/垛的工序位置、入柜时间、温湿度曲线跟踪能力。</w:t>
      </w:r>
    </w:p>
    <w:p>
      <w:pPr>
        <w:pStyle w:val="Heading1"/>
      </w:pPr>
      <w:r>
        <w:rPr>
          <w:rFonts w:ascii="Arial" w:eastAsia="Microsoft YaHei" w:hAnsi="Arial"/>
          <w:b/>
          <w:bCs/>
        </w:rPr>
        <w:t xml:space="preserve">三、当前开放模块功能清单（实测）</w:t>
      </w:r>
    </w:p>
    <w:p>
      <w:pPr>
        <w:spacing w:after="120" w:line="300"/>
      </w:pPr>
      <w:r>
        <w:rPr>
          <w:rFonts w:ascii="Arial" w:eastAsia="Microsoft YaHei" w:hAnsi="Arial"/>
          <w:sz w:val="21"/>
          <w:szCs w:val="21"/>
        </w:rPr>
        <w:t xml:space="preserve">以下清单来自系统菜单实测（启用状态），是差距分析的比对基础。</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模块</w:t>
            </w:r>
          </w:p>
        </w:tc>
        <w:tc>
          <w:tcPr>
            <w:tcW w:type="dxa" w:w="7426"/>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启用功能（一级/二级页面）</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营销管理</w:t>
            </w:r>
          </w:p>
        </w:tc>
        <w:tc>
          <w:tcPr>
            <w:tcW w:type="dxa" w:w="7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数据分析、客户管理（含客户公海）、线索管理、商机管理、营销活动、合同订单、销售订单执行（发货管理）、推广管理、编号规则</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生产管控</w:t>
            </w:r>
          </w:p>
        </w:tc>
        <w:tc>
          <w:tcPr>
            <w:tcW w:type="dxa" w:w="7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计划管理（需求管理、主生产计划、齐套管理）、工单管理、生产执行（领料/退料/报工/质量检验/异常/完工入库/派工/停机记录/产能负荷/排产工作台）、外协管理、完工分析、基础数据、生产看板</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质量管理</w:t>
            </w:r>
          </w:p>
        </w:tc>
        <w:tc>
          <w:tcPr>
            <w:tcW w:type="dxa" w:w="7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质量主数据（车间/检验标准库/缺陷代码/量检具/物料质量属性/抽样方案）、质量检验（检验任务）、不合格品控制、CAPA管理、客诉管理、供应商质量管控、体系管理（内部审核/管理评审/质量文档）、质量追溯（追溯查询/谱系管理/谱系完整度/SN追溯）、质量目标、报表中心、电子签名</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采购管理</w:t>
            </w:r>
          </w:p>
        </w:tc>
        <w:tc>
          <w:tcPr>
            <w:tcW w:type="dxa" w:w="7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供应商管理（含资质、评价、供货清单）、采购需求管理、询比价管理、合同和订单管理、采购订单执行、统计分析、企业查询配置</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仓储物流</w:t>
            </w:r>
          </w:p>
        </w:tc>
        <w:tc>
          <w:tcPr>
            <w:tcW w:type="dxa" w:w="7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基础数据（物料/仓库）、入库管理（入库单/入库作业）、出库管理（出库单/出库作业）、库存管理（库存查询/库存流水/库存预警）、移库管理、盘点管理、统计报表</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AI中心</w:t>
            </w:r>
          </w:p>
        </w:tc>
        <w:tc>
          <w:tcPr>
            <w:tcW w:type="dxa" w:w="7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知识问答、智能查询、知识文档管理、提示词模板、用量统计、调用日志、AI配置；另有嵌入各业务页面的AI能力（客户流失预警/预测、销售周报、库存分析、呆滞识别、盘点差异分析、处置建议、采购建议、日报生成）</w:t>
            </w:r>
          </w:p>
        </w:tc>
      </w:tr>
    </w:tbl>
    <w:p>
      <w:pPr>
        <w:pStyle w:val="Heading1"/>
      </w:pPr>
      <w:r>
        <w:rPr>
          <w:rFonts w:ascii="Arial" w:eastAsia="Microsoft YaHei" w:hAnsi="Arial"/>
          <w:b/>
          <w:bCs/>
        </w:rPr>
        <w:t xml:space="preserve">四、逐模块差距分析</w:t>
      </w:r>
    </w:p>
    <w:p>
      <w:pPr>
        <w:pStyle w:val="Heading2"/>
      </w:pPr>
      <w:r>
        <w:rPr>
          <w:rFonts w:ascii="Arial" w:eastAsia="Microsoft YaHei" w:hAnsi="Arial"/>
          <w:b/>
          <w:bCs/>
        </w:rPr>
        <w:t xml:space="preserve">（一）仓储物流模块——差距最小但最关键（★★★★☆）</w:t>
      </w:r>
    </w:p>
    <w:p>
      <w:pPr>
        <w:spacing w:after="120" w:line="300"/>
      </w:pPr>
      <w:r>
        <w:rPr>
          <w:rFonts w:ascii="Arial" w:eastAsia="Microsoft YaHei" w:hAnsi="Arial"/>
          <w:b/>
          <w:bCs/>
          <w:sz w:val="21"/>
          <w:szCs w:val="21"/>
        </w:rPr>
        <w:t xml:space="preserve">已具备：物料管理具备批次号（batch_no）、是否批次管理（is_batch_manage）、保质期天数（shelf_life_days）字段；入库/出库单据与作业分离、移库管理可承载工序间转库（如在制品上挂）、定期盘点、库存流水与预警。</w:t>
      </w:r>
    </w:p>
    <w:p>
      <w:pPr>
        <w:spacing w:after="120" w:line="300"/>
      </w:pPr>
      <w:r>
        <w:rPr>
          <w:rFonts w:ascii="Arial" w:eastAsia="Microsoft YaHei" w:hAnsi="Arial"/>
          <w:sz w:val="21"/>
          <w:szCs w:val="21"/>
        </w:rPr>
        <w:t xml:space="preserve">行业差距：</w:t>
      </w:r>
    </w:p>
    <w:p>
      <w:pPr>
        <w:pStyle w:val="ListParagraph"/>
        <w:numPr>
          <w:ilvl w:val="0"/>
          <w:numId w:val="2"/>
        </w:numPr>
        <w:spacing w:after="80" w:line="300"/>
      </w:pPr>
      <w:r>
        <w:rPr>
          <w:rFonts w:ascii="Arial" w:eastAsia="Microsoft YaHei" w:hAnsi="Arial"/>
          <w:b w:val="false"/>
          <w:bCs w:val="false"/>
          <w:sz w:val="21"/>
          <w:szCs w:val="21"/>
        </w:rPr>
        <w:t xml:space="preserve">库存台账未按"批次+效期"双维组织：同物料多批次、各批不同到货日期与效期的批次级库存查询缺失；</w:t>
      </w:r>
    </w:p>
    <w:p>
      <w:pPr>
        <w:pStyle w:val="ListParagraph"/>
        <w:numPr>
          <w:ilvl w:val="0"/>
          <w:numId w:val="2"/>
        </w:numPr>
        <w:spacing w:after="80" w:line="300"/>
      </w:pPr>
      <w:r>
        <w:rPr>
          <w:rFonts w:ascii="Arial" w:eastAsia="Microsoft YaHei" w:hAnsi="Arial"/>
          <w:b w:val="false"/>
          <w:bCs w:val="false"/>
          <w:sz w:val="21"/>
          <w:szCs w:val="21"/>
        </w:rPr>
        <w:t xml:space="preserve">出库作业未实现FEFO（先到期先出）强制推荐：食品企业出库不能按简单FIFO或人工选批，需默认展示临期TOP批次；</w:t>
      </w:r>
    </w:p>
    <w:p>
      <w:pPr>
        <w:pStyle w:val="ListParagraph"/>
        <w:numPr>
          <w:ilvl w:val="0"/>
          <w:numId w:val="2"/>
        </w:numPr>
        <w:spacing w:after="80" w:line="300"/>
      </w:pPr>
      <w:r>
        <w:rPr>
          <w:rFonts w:ascii="Arial" w:eastAsia="Microsoft YaHei" w:hAnsi="Arial"/>
          <w:b w:val="false"/>
          <w:bCs w:val="false"/>
          <w:sz w:val="21"/>
          <w:szCs w:val="21"/>
        </w:rPr>
        <w:t xml:space="preserve">临期预警缺失：需自动推送仓库与销售（消息中心已具备推送通道）；</w:t>
      </w:r>
    </w:p>
    <w:p>
      <w:pPr>
        <w:pStyle w:val="ListParagraph"/>
        <w:numPr>
          <w:ilvl w:val="0"/>
          <w:numId w:val="2"/>
        </w:numPr>
        <w:spacing w:after="80" w:line="300"/>
      </w:pPr>
      <w:r>
        <w:rPr>
          <w:rFonts w:ascii="Arial" w:eastAsia="Microsoft YaHei" w:hAnsi="Arial"/>
          <w:b w:val="false"/>
          <w:bCs w:val="false"/>
          <w:sz w:val="21"/>
          <w:szCs w:val="21"/>
        </w:rPr>
        <w:t xml:space="preserve">批次号生成规则需全局唯一（业务报告特别强调不可仅用日期，防同日多批重复）；</w:t>
      </w:r>
    </w:p>
    <w:p>
      <w:pPr>
        <w:pStyle w:val="ListParagraph"/>
        <w:numPr>
          <w:ilvl w:val="0"/>
          <w:numId w:val="2"/>
        </w:numPr>
        <w:spacing w:after="80" w:line="300"/>
      </w:pPr>
      <w:r>
        <w:rPr>
          <w:rFonts w:ascii="Arial" w:eastAsia="Microsoft YaHei" w:hAnsi="Arial"/>
          <w:b w:val="false"/>
          <w:bCs w:val="false"/>
          <w:sz w:val="21"/>
          <w:szCs w:val="21"/>
        </w:rPr>
        <w:t xml:space="preserve">一线员工数字素养有限，需考虑扫码PDA与大按钮适配（改造项，非新增功能）。</w:t>
      </w:r>
    </w:p>
    <w:p>
      <w:pPr>
        <w:spacing w:after="120" w:line="300"/>
      </w:pPr>
      <w:r>
        <w:rPr>
          <w:rFonts w:ascii="Arial" w:eastAsia="Microsoft YaHei" w:hAnsi="Arial"/>
          <w:sz w:val="21"/>
          <w:szCs w:val="21"/>
        </w:rPr>
        <w:t xml:space="preserve">实施注意（来自业务报告）：上线前必须完成现存库存的批次补录与效期初始化，这是食品ERP上线最常见的失败点。</w:t>
      </w:r>
    </w:p>
    <w:p>
      <w:pPr>
        <w:pStyle w:val="Heading2"/>
      </w:pPr>
      <w:r>
        <w:rPr>
          <w:rFonts w:ascii="Arial" w:eastAsia="Microsoft YaHei" w:hAnsi="Arial"/>
          <w:b/>
          <w:bCs/>
        </w:rPr>
        <w:t xml:space="preserve">（二）生产管控模块——差距最大（★★☆☆☆）</w:t>
      </w:r>
    </w:p>
    <w:p>
      <w:pPr>
        <w:spacing w:after="120" w:line="300"/>
      </w:pPr>
      <w:r>
        <w:rPr>
          <w:rFonts w:ascii="Arial" w:eastAsia="Microsoft YaHei" w:hAnsi="Arial"/>
          <w:b/>
          <w:bCs/>
          <w:sz w:val="21"/>
          <w:szCs w:val="21"/>
        </w:rPr>
        <w:t xml:space="preserve">已具备：完整的离散制造链路——需求管理→主生产计划→齐套管理→工单→领退料→报工→过程检验→完工入库，配套派工、停机记录、产能负荷、排产工作台、完工分析与生产看板。</w:t>
      </w:r>
    </w:p>
    <w:p>
      <w:pPr>
        <w:spacing w:after="120" w:line="300"/>
      </w:pPr>
      <w:r>
        <w:rPr>
          <w:rFonts w:ascii="Arial" w:eastAsia="Microsoft YaHei" w:hAnsi="Arial"/>
          <w:sz w:val="21"/>
          <w:szCs w:val="21"/>
        </w:rPr>
        <w:t xml:space="preserve">行业差距（干腌火腿工艺特殊性强）：</w:t>
      </w:r>
    </w:p>
    <w:p>
      <w:pPr>
        <w:pStyle w:val="ListParagraph"/>
        <w:numPr>
          <w:ilvl w:val="0"/>
          <w:numId w:val="2"/>
        </w:numPr>
        <w:spacing w:after="80" w:line="300"/>
      </w:pPr>
      <w:r>
        <w:rPr>
          <w:rFonts w:ascii="Arial" w:eastAsia="Microsoft YaHei" w:hAnsi="Arial"/>
          <w:b/>
          <w:bCs/>
          <w:sz w:val="21"/>
          <w:szCs w:val="21"/>
        </w:rPr>
        <w:t xml:space="preserve">工艺路线建模缺失：需支持"原料腿验收→修割整形→上盐腌制（三次上盐、堆码翻压，12—20天）→洗晒整形→上挂低温发酵（可控上霉，数月以上）→熟化分级→检验→分割包装→成品入库"的工序链；</w:t>
      </w:r>
    </w:p>
    <w:p>
      <w:pPr>
        <w:pStyle w:val="ListParagraph"/>
        <w:numPr>
          <w:ilvl w:val="0"/>
          <w:numId w:val="2"/>
        </w:numPr>
        <w:spacing w:after="80" w:line="300"/>
      </w:pPr>
      <w:r>
        <w:rPr>
          <w:rFonts w:ascii="Arial" w:eastAsia="Microsoft YaHei" w:hAnsi="Arial"/>
          <w:b/>
          <w:bCs/>
          <w:sz w:val="21"/>
          <w:szCs w:val="21"/>
        </w:rPr>
        <w:t xml:space="preserve">长周期WIP批次跟踪缺失：发酵环节实质是"批次=库位=工艺参数容器"，需按批/垛记录工序位置、入柜时间、温湿度、上霉状态——切勿套用离散制造业"日排产"逻辑；</w:t>
      </w:r>
    </w:p>
    <w:p>
      <w:pPr>
        <w:pStyle w:val="ListParagraph"/>
        <w:numPr>
          <w:ilvl w:val="0"/>
          <w:numId w:val="2"/>
        </w:numPr>
        <w:spacing w:after="80" w:line="300"/>
      </w:pPr>
      <w:r>
        <w:rPr>
          <w:rFonts w:ascii="Arial" w:eastAsia="Microsoft YaHei" w:hAnsi="Arial"/>
          <w:b/>
          <w:bCs/>
          <w:sz w:val="21"/>
          <w:szCs w:val="21"/>
        </w:rPr>
        <w:t xml:space="preserve">产出率与损耗核销缺失：鲜腿到成品产出率约76%，需支持投入产出核销与修割损耗、发酵失重分析；</w:t>
      </w:r>
    </w:p>
    <w:p>
      <w:pPr>
        <w:pStyle w:val="ListParagraph"/>
        <w:numPr>
          <w:ilvl w:val="0"/>
          <w:numId w:val="2"/>
        </w:numPr>
        <w:spacing w:after="80" w:line="300"/>
      </w:pPr>
      <w:r>
        <w:rPr>
          <w:rFonts w:ascii="Arial" w:eastAsia="Microsoft YaHei" w:hAnsi="Arial"/>
          <w:b/>
          <w:bCs/>
          <w:sz w:val="21"/>
          <w:szCs w:val="21"/>
        </w:rPr>
        <w:t xml:space="preserve">多品类共线：腊肉、香肠线与火腿线并行，需按工艺路线区分排产与领料配方（配比配方 vs 产出率模型）；</w:t>
      </w:r>
    </w:p>
    <w:p>
      <w:pPr>
        <w:pStyle w:val="ListParagraph"/>
        <w:numPr>
          <w:ilvl w:val="0"/>
          <w:numId w:val="2"/>
        </w:numPr>
        <w:spacing w:after="80" w:line="300"/>
      </w:pPr>
      <w:r>
        <w:rPr>
          <w:rFonts w:ascii="Arial" w:eastAsia="Microsoft YaHei" w:hAnsi="Arial"/>
          <w:b/>
          <w:bCs/>
          <w:sz w:val="21"/>
          <w:szCs w:val="21"/>
        </w:rPr>
        <w:t xml:space="preserve">季节性排产：腌制工艺受气候影响，宜按"年度备货节奏+月度滚动排产"两层编制；</w:t>
      </w:r>
    </w:p>
    <w:p>
      <w:pPr>
        <w:pStyle w:val="ListParagraph"/>
        <w:numPr>
          <w:ilvl w:val="0"/>
          <w:numId w:val="2"/>
        </w:numPr>
        <w:spacing w:after="80" w:line="300"/>
      </w:pPr>
      <w:r>
        <w:rPr>
          <w:rFonts w:ascii="Arial" w:eastAsia="Microsoft YaHei" w:hAnsi="Arial"/>
          <w:b w:val="false"/>
          <w:bCs w:val="false"/>
          <w:sz w:val="21"/>
          <w:szCs w:val="21"/>
        </w:rPr>
        <w:t xml:space="preserve">控温控湿设备数据接入是差异化价值点，但业务报告建议先人工录入、后逐步IoT化（远期P3）。</w:t>
      </w:r>
    </w:p>
    <w:p>
      <w:pPr>
        <w:pStyle w:val="Heading2"/>
      </w:pPr>
      <w:r>
        <w:rPr>
          <w:rFonts w:ascii="Arial" w:eastAsia="Microsoft YaHei" w:hAnsi="Arial"/>
          <w:b/>
          <w:bCs/>
        </w:rPr>
        <w:t xml:space="preserve">（三）质量管理模块——骨架最全，需食品化校准（★★★☆☆）</w:t>
      </w:r>
    </w:p>
    <w:p>
      <w:pPr>
        <w:spacing w:after="120" w:line="300"/>
      </w:pPr>
      <w:r>
        <w:rPr>
          <w:rFonts w:ascii="Arial" w:eastAsia="Microsoft YaHei" w:hAnsi="Arial"/>
          <w:b/>
          <w:bCs/>
          <w:sz w:val="21"/>
          <w:szCs w:val="21"/>
        </w:rPr>
        <w:t xml:space="preserve">已具备：检验标准库、检验任务、抽样方案、不合格品控制（退货/让步/报废处置流）、CAPA管理、客诉台账、供应商质量管控、体系管理（内审/管理评审/质量文档）、谱系管理与谱系完整度、电子签名——三级检验与体系框架完整。</w:t>
      </w:r>
    </w:p>
    <w:p>
      <w:pPr>
        <w:spacing w:after="120" w:line="300"/>
      </w:pPr>
      <w:r>
        <w:rPr>
          <w:rFonts w:ascii="Arial" w:eastAsia="Microsoft YaHei" w:hAnsi="Arial"/>
          <w:sz w:val="21"/>
          <w:szCs w:val="21"/>
        </w:rPr>
        <w:t xml:space="preserve">行业差距：</w:t>
      </w:r>
    </w:p>
    <w:p>
      <w:pPr>
        <w:pStyle w:val="ListParagraph"/>
        <w:numPr>
          <w:ilvl w:val="0"/>
          <w:numId w:val="2"/>
        </w:numPr>
        <w:spacing w:after="80" w:line="300"/>
      </w:pPr>
      <w:r>
        <w:rPr>
          <w:rFonts w:ascii="Arial" w:eastAsia="Microsoft YaHei" w:hAnsi="Arial"/>
          <w:b/>
          <w:bCs/>
          <w:sz w:val="21"/>
          <w:szCs w:val="21"/>
        </w:rPr>
        <w:t xml:space="preserve">HACCP关键控制点（CCP）专项电子台账缺失：腌制盐量比例、发酵温湿度、上霉状态等CCP记录须电子化并可按时间段导出，以应对监管检查与客户验厂；</w:t>
      </w:r>
    </w:p>
    <w:p>
      <w:pPr>
        <w:pStyle w:val="ListParagraph"/>
        <w:numPr>
          <w:ilvl w:val="0"/>
          <w:numId w:val="2"/>
        </w:numPr>
        <w:spacing w:after="80" w:line="300"/>
      </w:pPr>
      <w:r>
        <w:rPr>
          <w:rFonts w:ascii="Arial" w:eastAsia="Microsoft YaHei" w:hAnsi="Arial"/>
          <w:b/>
          <w:bCs/>
          <w:sz w:val="21"/>
          <w:szCs w:val="21"/>
        </w:rPr>
        <w:t xml:space="preserve">索证索票前置缺失：动物检疫合格证明、检验报告等必须作为IQC检验放行的前置附件；</w:t>
      </w:r>
    </w:p>
    <w:p>
      <w:pPr>
        <w:pStyle w:val="ListParagraph"/>
        <w:numPr>
          <w:ilvl w:val="0"/>
          <w:numId w:val="2"/>
        </w:numPr>
        <w:spacing w:after="80" w:line="300"/>
      </w:pPr>
      <w:r>
        <w:rPr>
          <w:rFonts w:ascii="Arial" w:eastAsia="Microsoft YaHei" w:hAnsi="Arial"/>
          <w:b/>
          <w:bCs/>
          <w:sz w:val="21"/>
          <w:szCs w:val="21"/>
        </w:rPr>
        <w:t xml:space="preserve">追溯思路校准：SN序列号追溯为离散制造思路，食品行业应为主体是批次追溯，正反向追溯链需覆盖"原料批次→工单→成品批次→发货客户"并支持召回模拟演练；</w:t>
      </w:r>
    </w:p>
    <w:p>
      <w:pPr>
        <w:pStyle w:val="ListParagraph"/>
        <w:numPr>
          <w:ilvl w:val="0"/>
          <w:numId w:val="2"/>
        </w:numPr>
        <w:spacing w:after="80" w:line="300"/>
      </w:pPr>
      <w:r>
        <w:rPr>
          <w:rFonts w:ascii="Arial" w:eastAsia="Microsoft YaHei" w:hAnsi="Arial"/>
          <w:b w:val="false"/>
          <w:bCs w:val="false"/>
          <w:sz w:val="21"/>
          <w:szCs w:val="21"/>
        </w:rPr>
        <w:t xml:space="preserve">检验标准须与SC许可范围和客户验收标准对齐（配置规范，非功能缺口）；</w:t>
      </w:r>
    </w:p>
    <w:p>
      <w:pPr>
        <w:pStyle w:val="ListParagraph"/>
        <w:numPr>
          <w:ilvl w:val="0"/>
          <w:numId w:val="2"/>
        </w:numPr>
        <w:spacing w:after="80" w:line="300"/>
      </w:pPr>
      <w:r>
        <w:rPr>
          <w:rFonts w:ascii="Arial" w:eastAsia="Microsoft YaHei" w:hAnsi="Arial"/>
          <w:b w:val="false"/>
          <w:bCs w:val="false"/>
          <w:sz w:val="21"/>
          <w:szCs w:val="21"/>
        </w:rPr>
        <w:t xml:space="preserve">检验记录电子化后需保留审计痕迹（不可物理删除）——电子签名已具备，删除管控需核查。</w:t>
      </w:r>
    </w:p>
    <w:p>
      <w:pPr>
        <w:pStyle w:val="Heading2"/>
      </w:pPr>
      <w:r>
        <w:rPr>
          <w:rFonts w:ascii="Arial" w:eastAsia="Microsoft YaHei" w:hAnsi="Arial"/>
          <w:b/>
          <w:bCs/>
        </w:rPr>
        <w:t xml:space="preserve">（四）采购管理模块——匹配较好（★★★★☆）</w:t>
      </w:r>
    </w:p>
    <w:p>
      <w:pPr>
        <w:spacing w:after="120" w:line="300"/>
      </w:pPr>
      <w:r>
        <w:rPr>
          <w:rFonts w:ascii="Arial" w:eastAsia="Microsoft YaHei" w:hAnsi="Arial"/>
          <w:b/>
          <w:bCs/>
          <w:sz w:val="21"/>
          <w:szCs w:val="21"/>
        </w:rPr>
        <w:t xml:space="preserve">已具备：供应商管理（资质证照、评价、供货清单、企业查询配置辅助核验）、采购需求、询比价、合同订单、订单执行、统计分析。</w:t>
      </w:r>
    </w:p>
    <w:p>
      <w:pPr>
        <w:spacing w:after="120" w:line="300"/>
      </w:pPr>
      <w:r>
        <w:rPr>
          <w:rFonts w:ascii="Arial" w:eastAsia="Microsoft YaHei" w:hAnsi="Arial"/>
          <w:sz w:val="21"/>
          <w:szCs w:val="21"/>
        </w:rPr>
        <w:t xml:space="preserve">行业差距：</w:t>
      </w:r>
    </w:p>
    <w:p>
      <w:pPr>
        <w:pStyle w:val="ListParagraph"/>
        <w:numPr>
          <w:ilvl w:val="0"/>
          <w:numId w:val="2"/>
        </w:numPr>
        <w:spacing w:after="80" w:line="300"/>
      </w:pPr>
      <w:r>
        <w:rPr>
          <w:rFonts w:ascii="Arial" w:eastAsia="Microsoft YaHei" w:hAnsi="Arial"/>
          <w:b w:val="false"/>
          <w:bCs w:val="false"/>
          <w:sz w:val="21"/>
          <w:szCs w:val="21"/>
        </w:rPr>
        <w:t xml:space="preserve">合格供应商审核工作流未固化：准入评审（资质/检验报告/现场评审）→审批→启用→年度评价与分级，业务报告指出公司已有此审核基础，ERP应固化；</w:t>
      </w:r>
    </w:p>
    <w:p>
      <w:pPr>
        <w:pStyle w:val="ListParagraph"/>
        <w:numPr>
          <w:ilvl w:val="0"/>
          <w:numId w:val="2"/>
        </w:numPr>
        <w:spacing w:after="80" w:line="300"/>
      </w:pPr>
      <w:r>
        <w:rPr>
          <w:rFonts w:ascii="Arial" w:eastAsia="Microsoft YaHei" w:hAnsi="Arial"/>
          <w:b w:val="false"/>
          <w:bCs w:val="false"/>
          <w:sz w:val="21"/>
          <w:szCs w:val="21"/>
        </w:rPr>
        <w:t xml:space="preserve">鲜腿按批议价：原料价格随生猪行情波动明显，采购订单需支持价格条款灵活调整、保留议价窗口；</w:t>
      </w:r>
    </w:p>
    <w:p>
      <w:pPr>
        <w:pStyle w:val="ListParagraph"/>
        <w:numPr>
          <w:ilvl w:val="0"/>
          <w:numId w:val="2"/>
        </w:numPr>
        <w:spacing w:after="80" w:line="300"/>
      </w:pPr>
      <w:r>
        <w:rPr>
          <w:rFonts w:ascii="Arial" w:eastAsia="Microsoft YaHei" w:hAnsi="Arial"/>
          <w:b w:val="false"/>
          <w:bCs w:val="false"/>
          <w:sz w:val="21"/>
          <w:szCs w:val="21"/>
        </w:rPr>
        <w:t xml:space="preserve">三单匹配付款：采购订单+收货单+发票匹配后付款（财务衔接，见第五章）；</w:t>
      </w:r>
    </w:p>
    <w:p>
      <w:pPr>
        <w:pStyle w:val="ListParagraph"/>
        <w:numPr>
          <w:ilvl w:val="0"/>
          <w:numId w:val="2"/>
        </w:numPr>
        <w:spacing w:after="80" w:line="300"/>
      </w:pPr>
      <w:r>
        <w:rPr>
          <w:rFonts w:ascii="Arial" w:eastAsia="Microsoft YaHei" w:hAnsi="Arial"/>
          <w:b w:val="false"/>
          <w:bCs w:val="false"/>
          <w:sz w:val="21"/>
          <w:szCs w:val="21"/>
        </w:rPr>
        <w:t xml:space="preserve">供应商批次合格率统计：需质量检验数据联动（IQC合格率按供应商维度统计）；</w:t>
      </w:r>
    </w:p>
    <w:p>
      <w:pPr>
        <w:pStyle w:val="ListParagraph"/>
        <w:numPr>
          <w:ilvl w:val="0"/>
          <w:numId w:val="2"/>
        </w:numPr>
        <w:spacing w:after="80" w:line="300"/>
      </w:pPr>
      <w:r>
        <w:rPr>
          <w:rFonts w:ascii="Arial" w:eastAsia="Microsoft YaHei" w:hAnsi="Arial"/>
          <w:b w:val="false"/>
          <w:bCs w:val="false"/>
          <w:sz w:val="21"/>
          <w:szCs w:val="21"/>
        </w:rPr>
        <w:t xml:space="preserve">礼盒包材强季节性（中秋、春节双峰），需按旺季提前排采购（计划配置层面）。</w:t>
      </w:r>
    </w:p>
    <w:p>
      <w:pPr>
        <w:pStyle w:val="Heading2"/>
      </w:pPr>
      <w:r>
        <w:rPr>
          <w:rFonts w:ascii="Arial" w:eastAsia="Microsoft YaHei" w:hAnsi="Arial"/>
          <w:b/>
          <w:bCs/>
        </w:rPr>
        <w:t xml:space="preserve">（五）营销管理模块——B2B骨架吻合，行业专项缺失（★★★☆☆）</w:t>
      </w:r>
    </w:p>
    <w:p>
      <w:pPr>
        <w:spacing w:after="120" w:line="300"/>
      </w:pPr>
      <w:r>
        <w:rPr>
          <w:rFonts w:ascii="Arial" w:eastAsia="Microsoft YaHei" w:hAnsi="Arial"/>
          <w:b/>
          <w:bCs/>
          <w:sz w:val="21"/>
          <w:szCs w:val="21"/>
        </w:rPr>
        <w:t xml:space="preserve">已具备：客户管理（含公海）、线索、商机、合同订单、销售订单执行（发货）、回款、发票、数据分析——与"B端项目制+流通渠道"双轨结构的基础吻合；客户归属与公海机制可降低销售员变动带来的客户流失风险。</w:t>
      </w:r>
    </w:p>
    <w:p>
      <w:pPr>
        <w:spacing w:after="120" w:line="300"/>
      </w:pPr>
      <w:r>
        <w:rPr>
          <w:rFonts w:ascii="Arial" w:eastAsia="Microsoft YaHei" w:hAnsi="Arial"/>
          <w:sz w:val="21"/>
          <w:szCs w:val="21"/>
        </w:rPr>
        <w:t xml:space="preserve">行业差距：</w:t>
      </w:r>
    </w:p>
    <w:p>
      <w:pPr>
        <w:pStyle w:val="ListParagraph"/>
        <w:numPr>
          <w:ilvl w:val="0"/>
          <w:numId w:val="2"/>
        </w:numPr>
        <w:spacing w:after="80" w:line="300"/>
      </w:pPr>
      <w:r>
        <w:rPr>
          <w:rFonts w:ascii="Arial" w:eastAsia="Microsoft YaHei" w:hAnsi="Arial"/>
          <w:b/>
          <w:bCs/>
          <w:sz w:val="21"/>
          <w:szCs w:val="21"/>
        </w:rPr>
        <w:t xml:space="preserve">B端招投标档案管理：投标/入围→中标→年度框架合同→按单分批发货的全过程档案（投标文件、中标通知、入围库）——商机管理与合同管理可承载部分，需补招投标专项档案视图；</w:t>
      </w:r>
    </w:p>
    <w:p>
      <w:pPr>
        <w:pStyle w:val="ListParagraph"/>
        <w:numPr>
          <w:ilvl w:val="0"/>
          <w:numId w:val="2"/>
        </w:numPr>
        <w:spacing w:after="80" w:line="300"/>
      </w:pPr>
      <w:r>
        <w:rPr>
          <w:rFonts w:ascii="Arial" w:eastAsia="Microsoft YaHei" w:hAnsi="Arial"/>
          <w:b/>
          <w:bCs/>
          <w:sz w:val="21"/>
          <w:szCs w:val="21"/>
        </w:rPr>
        <w:t xml:space="preserve">流通端价格政策与返利、礼盒季促销订单洪峰应对（价格政策管理缺失）；</w:t>
      </w:r>
    </w:p>
    <w:p>
      <w:pPr>
        <w:pStyle w:val="ListParagraph"/>
        <w:numPr>
          <w:ilvl w:val="0"/>
          <w:numId w:val="2"/>
        </w:numPr>
        <w:spacing w:after="80" w:line="300"/>
      </w:pPr>
      <w:r>
        <w:rPr>
          <w:rFonts w:ascii="Arial" w:eastAsia="Microsoft YaHei" w:hAnsi="Arial"/>
          <w:b/>
          <w:bCs/>
          <w:sz w:val="21"/>
          <w:szCs w:val="21"/>
        </w:rPr>
        <w:t xml:space="preserve">信用与欠款上限控制：小微企业常为总经理口头授信，业务报告建议固化为欠款上限校验（下单时拦截）；</w:t>
      </w:r>
    </w:p>
    <w:p>
      <w:pPr>
        <w:pStyle w:val="ListParagraph"/>
        <w:numPr>
          <w:ilvl w:val="0"/>
          <w:numId w:val="2"/>
        </w:numPr>
        <w:spacing w:after="80" w:line="300"/>
      </w:pPr>
      <w:r>
        <w:rPr>
          <w:rFonts w:ascii="Arial" w:eastAsia="Microsoft YaHei" w:hAnsi="Arial"/>
          <w:b/>
          <w:bCs/>
          <w:sz w:val="21"/>
          <w:szCs w:val="21"/>
        </w:rPr>
        <w:t xml:space="preserve">礼盒发货须校验"最小剩余效期"，避免临期品流入B端高端客户（依赖仓储批次效期能力）；</w:t>
      </w:r>
    </w:p>
    <w:p>
      <w:pPr>
        <w:pStyle w:val="ListParagraph"/>
        <w:numPr>
          <w:ilvl w:val="0"/>
          <w:numId w:val="2"/>
        </w:numPr>
        <w:spacing w:after="80" w:line="300"/>
      </w:pPr>
      <w:r>
        <w:rPr>
          <w:rFonts w:ascii="Arial" w:eastAsia="Microsoft YaHei" w:hAnsi="Arial"/>
          <w:b w:val="false"/>
          <w:bCs w:val="false"/>
          <w:sz w:val="21"/>
          <w:szCs w:val="21"/>
        </w:rPr>
        <w:t xml:space="preserve">应收账龄与回款提醒：管理层最关心的报表，账期长、单笔金额大（受财务模块停用影响，见第五章）。</w:t>
      </w:r>
    </w:p>
    <w:p>
      <w:pPr>
        <w:pStyle w:val="Heading2"/>
      </w:pPr>
      <w:r>
        <w:rPr>
          <w:rFonts w:ascii="Arial" w:eastAsia="Microsoft YaHei" w:hAnsi="Arial"/>
          <w:b/>
          <w:bCs/>
        </w:rPr>
        <w:t xml:space="preserve">（六）AI中心——超出预期，可行业化增强（★★★★☆）</w:t>
      </w:r>
    </w:p>
    <w:p>
      <w:pPr>
        <w:spacing w:after="120" w:line="300"/>
      </w:pPr>
      <w:r>
        <w:rPr>
          <w:rFonts w:ascii="Arial" w:eastAsia="Microsoft YaHei" w:hAnsi="Arial"/>
          <w:b/>
          <w:bCs/>
          <w:sz w:val="21"/>
          <w:szCs w:val="21"/>
        </w:rPr>
        <w:t xml:space="preserve">已具备：知识问答、智能查询、知识文档管理、提示词模板及嵌入业务页面的流失预警/预测、销售周报、库存分析、呆滞识别、盘点差异分析、处置建议、采购建议、日报生成。</w:t>
      </w:r>
    </w:p>
    <w:p>
      <w:pPr>
        <w:spacing w:after="120" w:line="300"/>
      </w:pPr>
      <w:r>
        <w:rPr>
          <w:rFonts w:ascii="Arial" w:eastAsia="Microsoft YaHei" w:hAnsi="Arial"/>
          <w:sz w:val="21"/>
          <w:szCs w:val="21"/>
        </w:rPr>
        <w:t xml:space="preserve">行业化增强方向（远期可选，须遵循业务报告"谁接收、谁处置、谁闭环"的预警原则控制推送噪音）：临期批次出库建议、产出率/损耗异常解读、HACCP记录缺失提醒、召回模拟辅助。当前版本不建议改动。</w:t>
      </w:r>
    </w:p>
    <w:p>
      <w:pPr>
        <w:pStyle w:val="Heading1"/>
      </w:pPr>
      <w:r>
        <w:rPr>
          <w:rFonts w:ascii="Arial" w:eastAsia="Microsoft YaHei" w:hAnsi="Arial"/>
          <w:b/>
          <w:bCs/>
        </w:rPr>
        <w:t xml:space="preserve">五、停用模块与业务报告的冲突点（需管理层决策）</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126"/>
      </w:tblGrid>
      <w:tr>
        <w:trPr>
          <w:cantSplit/>
        </w:trPr>
        <w:tc>
          <w:tcPr>
            <w:tcW w:type="dxa" w:w="22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停用模块</w:t>
            </w:r>
          </w:p>
        </w:tc>
        <w:tc>
          <w:tcPr>
            <w:tcW w:type="dxa" w:w="47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与业务报告的冲突</w:t>
            </w:r>
          </w:p>
        </w:tc>
        <w:tc>
          <w:tcPr>
            <w:tcW w:type="dxa" w:w="2126"/>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建议</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人力资源 hr</w:t>
            </w:r>
          </w:p>
        </w:tc>
        <w:tc>
          <w:tcPr>
            <w:tcW w:type="dxa" w:w="4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业务报告六大模块包含人力：食品从业人员健康证到期提醒为监管必备、车间计件工资核算（按工序计件）、培训记录（食品安全培训为监管必备）均有需求。报告建议"轻档案+考勤计件+到期提醒"轻量化配置</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二期评估重新启用，按轻量方式配置，界面须极简；启用前完成员工档案字典字段去重清洗</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财务 fin</w:t>
            </w:r>
          </w:p>
        </w:tc>
        <w:tc>
          <w:tcPr>
            <w:tcW w:type="dxa" w:w="4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业务报告提出隐性财务需求：应收账龄、应付排期、现金余额三视图（公司实缴100万且固定资产投入大，现金流管理至关重要）。当前采购应付、销售应收、成本归集的最终归集视图缺失</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可先以报表/AI智能查询补充管理视图，或二期评估启用财务模块</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流程中心 flow</w:t>
            </w:r>
          </w:p>
        </w:tc>
        <w:tc>
          <w:tcPr>
            <w:tcW w:type="dxa" w:w="4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公司审批实质仅两级（经办人→总经理），流程引擎非必需</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维持停用；大额采购付款、赊销授信的总经理终审用单据状态+权限承载即可</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设备 dms / 安全 safety / 招投标 bid</w:t>
            </w:r>
          </w:p>
        </w:tc>
        <w:tc>
          <w:tcPr>
            <w:tcW w:type="dxa" w:w="4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业务报告未提出对应需求</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维持停用；控温控湿设备数据接入属生产模块IoT范畴而非设备管理模块</w:t>
            </w:r>
          </w:p>
        </w:tc>
      </w:tr>
    </w:tbl>
    <w:p>
      <w:pPr>
        <w:pStyle w:val="Heading1"/>
      </w:pPr>
      <w:r>
        <w:rPr>
          <w:rFonts w:ascii="Arial" w:eastAsia="Microsoft YaHei" w:hAnsi="Arial"/>
          <w:b/>
          <w:bCs/>
        </w:rPr>
        <w:t xml:space="preserve">六、主数据治理前提（先于流程上线）</w:t>
      </w:r>
    </w:p>
    <w:p>
      <w:pPr>
        <w:pStyle w:val="ListParagraph"/>
        <w:numPr>
          <w:ilvl w:val="0"/>
          <w:numId w:val="2"/>
        </w:numPr>
        <w:spacing w:after="80" w:line="300"/>
      </w:pPr>
      <w:r>
        <w:rPr>
          <w:rFonts w:ascii="Arial" w:eastAsia="Microsoft YaHei" w:hAnsi="Arial"/>
          <w:b/>
          <w:bCs/>
          <w:sz w:val="21"/>
          <w:szCs w:val="21"/>
        </w:rPr>
        <w:t xml:space="preserve">物料主数据：分类补齐"在制品"类型（原料/辅料/包材/在制品/成品）；火腿按"支+重量双计量"（catch weight）建模；补齐效期参数、贮存温区、批次管控方式、产出率参数；</w:t>
      </w:r>
    </w:p>
    <w:p>
      <w:pPr>
        <w:pStyle w:val="ListParagraph"/>
        <w:numPr>
          <w:ilvl w:val="0"/>
          <w:numId w:val="2"/>
        </w:numPr>
        <w:spacing w:after="80" w:line="300"/>
      </w:pPr>
      <w:r>
        <w:rPr>
          <w:rFonts w:ascii="Arial" w:eastAsia="Microsoft YaHei" w:hAnsi="Arial"/>
          <w:b/>
          <w:bCs/>
          <w:sz w:val="21"/>
          <w:szCs w:val="21"/>
        </w:rPr>
        <w:t xml:space="preserve">BOM/配方：火腿按"投入鲜腿→产出成品"的产出率模型建模，腊肉香肠按配比配方建模；工艺路线绑定工序、标准时长与CCP检验点；</w:t>
      </w:r>
    </w:p>
    <w:p>
      <w:pPr>
        <w:pStyle w:val="ListParagraph"/>
        <w:numPr>
          <w:ilvl w:val="0"/>
          <w:numId w:val="2"/>
        </w:numPr>
        <w:spacing w:after="80" w:line="300"/>
      </w:pPr>
      <w:r>
        <w:rPr>
          <w:rFonts w:ascii="Arial" w:eastAsia="Microsoft YaHei" w:hAnsi="Arial"/>
          <w:b/>
          <w:bCs/>
          <w:sz w:val="21"/>
          <w:szCs w:val="21"/>
        </w:rPr>
        <w:t xml:space="preserve">供应商主数据：资质证照、合格状态、评级、结算条款（供应商管理已有承载结构）；</w:t>
      </w:r>
    </w:p>
    <w:p>
      <w:pPr>
        <w:pStyle w:val="ListParagraph"/>
        <w:numPr>
          <w:ilvl w:val="0"/>
          <w:numId w:val="2"/>
        </w:numPr>
        <w:spacing w:after="80" w:line="300"/>
      </w:pPr>
      <w:r>
        <w:rPr>
          <w:rFonts w:ascii="Arial" w:eastAsia="Microsoft YaHei" w:hAnsi="Arial"/>
          <w:b/>
          <w:bCs/>
          <w:sz w:val="21"/>
          <w:szCs w:val="21"/>
        </w:rPr>
        <w:t xml:space="preserve">客户主数据：B端客户（合同、账期、收货地址）与流通客户（价格政策）分类管理；</w:t>
      </w:r>
    </w:p>
    <w:p>
      <w:pPr>
        <w:pStyle w:val="ListParagraph"/>
        <w:numPr>
          <w:ilvl w:val="0"/>
          <w:numId w:val="2"/>
        </w:numPr>
        <w:spacing w:after="80" w:line="300"/>
      </w:pPr>
      <w:r>
        <w:rPr>
          <w:rFonts w:ascii="Arial" w:eastAsia="Microsoft YaHei" w:hAnsi="Arial"/>
          <w:b w:val="false"/>
          <w:bCs w:val="false"/>
          <w:sz w:val="21"/>
          <w:szCs w:val="21"/>
        </w:rPr>
        <w:t xml:space="preserve">组织与权限：一人多岗是常态（如办公室主任兼采购、库管兼验收），系统已支持一人多角色（现有用户吴昊一人兼任四角色），岗位-角色映射按业务报告岗位清单对齐即可。</w:t>
      </w:r>
    </w:p>
    <w:p>
      <w:pPr>
        <w:pStyle w:val="Heading1"/>
      </w:pPr>
      <w:r>
        <w:rPr>
          <w:rFonts w:ascii="Arial" w:eastAsia="Microsoft YaHei" w:hAnsi="Arial"/>
          <w:b/>
          <w:bCs/>
        </w:rPr>
        <w:t xml:space="preserve">七、优化优先级建议（仅建议，未开发）</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4900"/>
        <w:gridCol w:w="2926"/>
      </w:tblGrid>
      <w:tr>
        <w:trPr>
          <w:cantSplit/>
        </w:trPr>
        <w:tc>
          <w:tcPr>
            <w:tcW w:type="dxa" w:w="12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优先级</w:t>
            </w:r>
          </w:p>
        </w:tc>
        <w:tc>
          <w:tcPr>
            <w:tcW w:type="dxa" w:w="49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优化内容</w:t>
            </w:r>
          </w:p>
        </w:tc>
        <w:tc>
          <w:tcPr>
            <w:tcW w:type="dxa" w:w="2926"/>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依据</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P0 合规底线</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批次+效期双维库存台账；FEFO强制出库；临期预警（推送仓库与销售）；批次号全局唯一生成规则；追溯链"原料批次→工单→成品批次→发货客户"用真实数据做召回演练验证</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GB/T 22005追溯合规；大客户验厂必查项；业务报告列为"上线最常见失败点"</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P1 行业核心</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干腌火腿工艺路线建模；长周期WIP按批/垛跟踪（工序位置、入柜时间、温湿度、上霉状态）；产出率与损耗核销；HACCP CCP电子台账（可按时段导出）；索证索票作为检验放行前置</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行业差异化价值点与监管检查刚需</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P2 管理提升</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B端招投标档案；流通价格政策与返利；信用欠款上限控制；礼盒最小剩余效期发货校验；三单匹配付款；供应商准入审批工作流与年度复评</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双轨销售结构与管理诉求</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P3 远期增强</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控温控湿设备IoT数据接入；计件工资与健康证提醒（随人力模块启用）；AI行业化预警（临期建议、损耗解读）</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业务报告建议"先人工录入后逐步IoT化"</w:t>
            </w:r>
          </w:p>
        </w:tc>
      </w:tr>
    </w:tbl>
    <w:p>
      <w:pPr>
        <w:pStyle w:val="Heading1"/>
      </w:pPr>
      <w:r>
        <w:rPr>
          <w:rFonts w:ascii="Arial" w:eastAsia="Microsoft YaHei" w:hAnsi="Arial"/>
          <w:b/>
          <w:bCs/>
        </w:rPr>
        <w:t xml:space="preserve">八、实施节奏建议</w:t>
      </w:r>
    </w:p>
    <w:p>
      <w:pPr>
        <w:spacing w:after="120" w:line="300"/>
      </w:pPr>
      <w:r>
        <w:rPr>
          <w:rFonts w:ascii="Arial" w:eastAsia="Microsoft YaHei" w:hAnsi="Arial"/>
          <w:sz w:val="21"/>
          <w:szCs w:val="21"/>
        </w:rPr>
        <w:t xml:space="preserve">与业务报告三期推进路径一致，降低小微企业一次上线的变革阻力：</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226"/>
      </w:tblGrid>
      <w:tr>
        <w:trPr>
          <w:cantSplit/>
        </w:trPr>
        <w:tc>
          <w:tcPr>
            <w:tcW w:type="dxa" w:w="14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分期</w:t>
            </w:r>
          </w:p>
        </w:tc>
        <w:tc>
          <w:tcPr>
            <w:tcW w:type="dxa" w:w="5400"/>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范围</w:t>
            </w:r>
          </w:p>
        </w:tc>
        <w:tc>
          <w:tcPr>
            <w:tcW w:type="dxa" w:w="2226"/>
            <w:tcBorders>
              <w:top w:val="single" w:color="BBBBBB" w:sz="1"/>
              <w:left w:val="single" w:color="BBBBBB" w:sz="1"/>
              <w:bottom w:val="single" w:color="BBBBBB" w:sz="1"/>
              <w:right w:val="single" w:color="BBBBBB" w:sz="1"/>
            </w:tcBorders>
            <w:shd w:fill="D9E6D9" w:val="clear"/>
            <w:tcMar>
              <w:top w:type="dxa" w:w="60"/>
              <w:left w:type="dxa" w:w="100"/>
              <w:bottom w:type="dxa" w:w="60"/>
              <w:right w:type="dxa" w:w="100"/>
            </w:tcMar>
          </w:tcPr>
          <w:p>
            <w:pPr>
              <w:spacing w:line="280"/>
              <w:jc w:val="center"/>
            </w:pPr>
            <w:r>
              <w:rPr>
                <w:rFonts w:ascii="Arial" w:eastAsia="Microsoft YaHei" w:hAnsi="Arial"/>
                <w:b/>
                <w:bCs/>
                <w:sz w:val="20"/>
                <w:szCs w:val="20"/>
              </w:rPr>
              <w:t xml:space="preserve">要点</w:t>
            </w:r>
          </w:p>
        </w:tc>
      </w:tr>
      <w:tr>
        <w:trPr>
          <w:cantSplit/>
        </w:trP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一期</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主数据治理 + 采购 + 仓库（批次效期库存上线）</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直接满足追溯合规底线，见效最快；上线前完成现存库存批次补录与效期初始化</w:t>
            </w:r>
          </w:p>
        </w:tc>
      </w:tr>
      <w:tr>
        <w:trPr>
          <w:cantSplit/>
        </w:trP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二期</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生产 + 质量（WIP批次跟踪、三级检验、追溯链闭环）</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完成一次召回模拟演练；给生产与品控负责人充分话语权</w:t>
            </w:r>
          </w:p>
        </w:tc>
      </w:tr>
      <w:tr>
        <w:trPr>
          <w:cantSplit/>
        </w:trP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bCs/>
                <w:sz w:val="20"/>
                <w:szCs w:val="20"/>
              </w:rPr>
              <w:t xml:space="preserve">三期</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营销（招投标档案、价格政策、应收管控）+ 人力轻量化启用</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80"/>
            </w:pPr>
            <w:r>
              <w:rPr>
                <w:rFonts w:ascii="Arial" w:eastAsia="Microsoft YaHei" w:hAnsi="Arial"/>
                <w:b w:val="false"/>
                <w:bCs w:val="false"/>
                <w:sz w:val="20"/>
                <w:szCs w:val="20"/>
              </w:rPr>
              <w:t xml:space="preserve">控制数据录入负担，避免"上线即弃用"</w:t>
            </w:r>
          </w:p>
        </w:tc>
      </w:tr>
    </w:tbl>
    <w:p>
      <w:pPr>
        <w:spacing w:after="120"/>
      </w:pPr>
    </w:p>
    <w:p>
      <w:pPr>
        <w:spacing w:after="120" w:line="300"/>
      </w:pPr>
      <w:r>
        <w:rPr>
          <w:rFonts w:ascii="Arial" w:eastAsia="Microsoft YaHei" w:hAnsi="Arial"/>
          <w:b/>
          <w:bCs/>
          <w:sz w:val="21"/>
          <w:szCs w:val="21"/>
        </w:rPr>
        <w:t xml:space="preserve">总体风险提示（源自业务报告）：小微ERP项目最大的失败原因不是功能缺失，而是"上线即弃用"——数据录入负担超过一线员工承受力。全程应遵循"谁接收、谁处置、谁闭环"的预警设计原则，控制推送噪音；每期上线前用真实历史数据做压力验证。</w:t>
      </w:r>
    </w:p>
    <w:p>
      <w:pPr>
        <w:pStyle w:val="Heading1"/>
      </w:pPr>
      <w:r>
        <w:rPr>
          <w:rFonts w:ascii="Arial" w:eastAsia="Microsoft YaHei" w:hAnsi="Arial"/>
          <w:b/>
          <w:bCs/>
        </w:rPr>
        <w:t xml:space="preserve">九、结论</w:t>
      </w:r>
    </w:p>
    <w:p>
      <w:pPr>
        <w:pStyle w:val="ListParagraph"/>
        <w:numPr>
          <w:ilvl w:val="0"/>
          <w:numId w:val="2"/>
        </w:numPr>
        <w:spacing w:after="80" w:line="300"/>
      </w:pPr>
      <w:r>
        <w:rPr>
          <w:rFonts w:ascii="Arial" w:eastAsia="Microsoft YaHei" w:hAnsi="Arial"/>
          <w:b/>
          <w:bCs/>
          <w:sz w:val="21"/>
          <w:szCs w:val="21"/>
        </w:rPr>
        <w:t xml:space="preserve">模块选型正确：当前开放范围与业务报告六大模块框架吻合，平台层（系统管理、消息中心）齐备；</w:t>
      </w:r>
    </w:p>
    <w:p>
      <w:pPr>
        <w:pStyle w:val="ListParagraph"/>
        <w:numPr>
          <w:ilvl w:val="0"/>
          <w:numId w:val="2"/>
        </w:numPr>
        <w:spacing w:after="80" w:line="300"/>
      </w:pPr>
      <w:r>
        <w:rPr>
          <w:rFonts w:ascii="Arial" w:eastAsia="Microsoft YaHei" w:hAnsi="Arial"/>
          <w:b/>
          <w:bCs/>
          <w:sz w:val="21"/>
          <w:szCs w:val="21"/>
        </w:rPr>
        <w:t xml:space="preserve">骨架完整、行业化不足：标准版通用能力强（生产离散制造链、质量体系框架、B2B营销骨架均已具备），但食品行业三条主线——批次追溯、效期FEFO、长周期WIP跟踪——尚未落地；</w:t>
      </w:r>
    </w:p>
    <w:p>
      <w:pPr>
        <w:pStyle w:val="ListParagraph"/>
        <w:numPr>
          <w:ilvl w:val="0"/>
          <w:numId w:val="2"/>
        </w:numPr>
        <w:spacing w:after="80" w:line="300"/>
      </w:pPr>
      <w:r>
        <w:rPr>
          <w:rFonts w:ascii="Arial" w:eastAsia="Microsoft YaHei" w:hAnsi="Arial"/>
          <w:b/>
          <w:bCs/>
          <w:sz w:val="21"/>
          <w:szCs w:val="21"/>
        </w:rPr>
        <w:t xml:space="preserve">下一步重点：把"通用ERP"深化为"食品ERP"，P0批次效期FEFO追溯线是合规底线，建议作为后续开发第一优先级；</w:t>
      </w:r>
    </w:p>
    <w:p>
      <w:pPr>
        <w:pStyle w:val="ListParagraph"/>
        <w:numPr>
          <w:ilvl w:val="0"/>
          <w:numId w:val="2"/>
        </w:numPr>
        <w:spacing w:after="80" w:line="300"/>
      </w:pPr>
      <w:r>
        <w:rPr>
          <w:rFonts w:ascii="Arial" w:eastAsia="Microsoft YaHei" w:hAnsi="Arial"/>
          <w:b/>
          <w:bCs/>
          <w:sz w:val="21"/>
          <w:szCs w:val="21"/>
        </w:rPr>
        <w:t xml:space="preserve">人力与财务模块的停用与业务报告存在范围差异，建议管理层在二期规划时决策是否按轻量方式启用。</w:t>
      </w:r>
    </w:p>
    <w:p>
      <w:pPr>
        <w:pStyle w:val="Heading1"/>
      </w:pPr>
      <w:r>
        <w:rPr>
          <w:rFonts w:ascii="Arial" w:eastAsia="Microsoft YaHei" w:hAnsi="Arial"/>
          <w:b/>
          <w:bCs/>
        </w:rPr>
        <w:t xml:space="preserve">附：信息局限性声明</w:t>
      </w:r>
    </w:p>
    <w:p>
      <w:pPr>
        <w:spacing w:after="120" w:line="300"/>
      </w:pPr>
      <w:r>
        <w:rPr>
          <w:rFonts w:ascii="Arial" w:eastAsia="Microsoft YaHei" w:hAnsi="Arial"/>
          <w:sz w:val="21"/>
          <w:szCs w:val="21"/>
        </w:rPr>
        <w:t xml:space="preserve">本报告基于《曲靖传丰食品ERP业务流程与组织架构分析报告》V1.0（其数据来自公开工商信息、招聘信息、招投标公示及行业通用工艺资料）与CFSP系统数据库实测（启用菜单树、数据表字段）编制。公司内部流程细节、实际岗位分工、系统未启用功能的深度能力未经现场调研确认；分析结论仅供行业化优化立项与需求分析参考，正式需求规格应以现场调研访谈结果为准。</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20"/>
      <w:outlineLvl w:val="0"/>
    </w:pPr>
    <w:rPr>
      <w:rFonts w:ascii="Arial" w:eastAsia="Microsoft YaHei" w:hAnsi="Arial"/>
      <w:b/>
      <w:bCs/>
      <w:color w:val="2F5233"/>
      <w:sz w:val="30"/>
      <w:szCs w:val="30"/>
    </w:rPr>
  </w:style>
  <w:style w:type="paragraph" w:styleId="Heading2">
    <w:name w:val="Heading 2"/>
    <w:basedOn w:val="Normal"/>
    <w:next w:val="Normal"/>
    <w:qFormat/>
    <w:pPr>
      <w:keepNext w:val="false"/>
      <w:keepLines w:val="false"/>
      <w:spacing w:after="140" w:before="220"/>
      <w:outlineLvl w:val="1"/>
    </w:pPr>
    <w:rPr>
      <w:rFonts w:ascii="Arial" w:eastAsia="Microsoft YaHei" w:hAnsi="Arial"/>
      <w:b/>
      <w:bCs/>
      <w:color w:val="3A6B3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2026-10-13T09:31:53.599Z</dcterms:created>
  <dcterms:modified xsi:type="dcterms:W3CDTF">2026-10-13T09:31:53.600Z</dcterms:modified>
</cp:coreProperties>
</file>

<file path=docProps/custom.xml><?xml version="1.0" encoding="utf-8"?>
<Properties xmlns="http://schemas.openxmlformats.org/officeDocument/2006/custom-properties" xmlns:vt="http://schemas.openxmlformats.org/officeDocument/2006/docPropsVTypes"/>
</file>