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食品行业批次效期能力设计方案</w:t>
      </w:r>
    </w:p>
    <w:p>
      <w:pPr>
        <w:spacing w:after="200"/>
        <w:jc w:val="center"/>
      </w:pPr>
      <w:r>
        <w:rPr>
          <w:rFonts w:ascii="Arial" w:eastAsia="Microsoft YaHei" w:hAnsi="Arial"/>
          <w:color w:val="555555"/>
          <w:sz w:val="26"/>
          <w:szCs w:val="26"/>
        </w:rPr>
        <w:t xml:space="preserve">—— 批次管理 · 效期FEFO · 全链追溯（食品行业能力包 V1.0）——</w:t>
      </w:r>
    </w:p>
    <w:p>
      <w:pPr>
        <w:spacing w:after="120" w:before="400"/>
        <w:jc w:val="center"/>
      </w:pPr>
      <w:r>
        <w:rPr>
          <w:rFonts w:ascii="Arial" w:eastAsia="Microsoft YaHei" w:hAnsi="Arial"/>
          <w:sz w:val="22"/>
          <w:szCs w:val="22"/>
        </w:rPr>
        <w:t xml:space="preserve">编制：策言（AI 工作搭档）</w:t>
      </w:r>
    </w:p>
    <w:p>
      <w:pPr>
        <w:spacing w:after="120"/>
        <w:jc w:val="center"/>
      </w:pPr>
      <w:r>
        <w:rPr>
          <w:rFonts w:ascii="Arial" w:eastAsia="Microsoft YaHei" w:hAnsi="Arial"/>
          <w:sz w:val="22"/>
          <w:szCs w:val="22"/>
        </w:rPr>
        <w:t xml:space="preserve">日期：2026 年 10 月 13 日    版本：V1.0</w:t>
      </w:r>
    </w:p>
    <w:p>
      <w:pPr>
        <w:spacing w:after="0" w:before="600"/>
        <w:jc w:val="center"/>
      </w:pPr>
      <w:r>
        <w:rPr>
          <w:rFonts w:ascii="Arial" w:eastAsia="Microsoft YaHei" w:hAnsi="Arial"/>
          <w:color w:val="886644"/>
          <w:sz w:val="22"/>
          <w:szCs w:val="22"/>
        </w:rPr>
        <w:t xml:space="preserve">实施环境：仅传丰CFSP环境（食品行业基准，不同步标准版）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一、文档说明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本方案是《传丰食品ERP行业匹配度分析报告》中 P0（合规底线）与 P1（行业核心）优先级的落地设计文档，作为后续开发依据。方案定位：食品行业能力包——按行业通用标准设计、配置驱动，传丰环境为首个落地案例；全部改造仅落在传丰CFSP环境（数据库 RUOYI_CFSP），不向标准版 RuoYi-Vue3 同步。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相比初版P0/P1功能清单，本方案补强了自查发现的两个脊柱性设计——批次状态机（3.1）与批次继承模型（3.2），并将最小剩余效期发货校验从P2提前至P0。修订后P0共10项，见第五章。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二、总体设计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2.1 设计原则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配置驱动：批次号规则、效期阈值（预警/冻结/最小发货效期）、FEFO策略、检验放行要求全部按"物料/物料类别/默认"三级可配置，火腿参数仅为配置数据而非代码逻辑；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行业包边界：新增表统一前缀 food_，后端包 com.ruoyi.food，接口前缀 /food/，前端目录 views/food/——将来可整体抽出作为其他食品客户基线；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兼容现状：现有库存表保留物料维度汇总，批次维度由新增批次库存表承载、应用层双向同步，避免大面积重构现有wms代码；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降低录入负担：批次录入以"默认带出+扫码"为主、手工为例外——一线录入负担是食品ERP"上线即弃用"的头号风险。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2.2 与现有模块的关系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现有模块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关系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仓储物流 wms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能力载体：批次库存台账、出入库批次化、FEFO出库、临期预警、盘点/移库批次化；新增页面挂载在仓储物流菜单下，随模块开关启停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质量管理 qms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状态机联动：IQC检验放行驱动批次"待检→合格"；索证索票附件为放行前置；追溯查询复用谱系数据；CCP记录（P1）挂批次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生产管控 mms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状态机联动：完工入库生成成品批次并记谱系；领料记录原料批次投入；WIP批次跟踪（P1）复用批次主数据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营销管理 mk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发货校验：最小剩余效期拦截、发货批次携带（客户维度追溯源头）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采购管理 pms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供应商外部批次号映射、到货批次登记、供应商批次合格率统计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消息中心 msg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临期预警、冻结提醒、追溯召回通知的推送通道（接收规则可配置）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AI中心 ai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远期：临期批次出库建议、损耗异常解读（本期不做，接口预留）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</w:rPr>
        <w:t xml:space="preserve">三、核心数据模型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3.1 批次状态机（脊柱设计一）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批次除数量外必须具备状态维度。状态定义：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900"/>
        <w:gridCol w:w="1926"/>
      </w:tblGrid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允许的库存动作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待检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新入库未完成检验放行（采购到货/生产完工默认进入）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禁止出库；允许隔离区间移库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合格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检验放行（IQC/过程检验/完工检验通过），可正常作业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出库、移库、盘点、预留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冻结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临期自动冻结、质量冻结、召回隔离、盘点差异待处理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禁止出库；仅允许隔离移库与处置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报废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已完成报废处置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禁止一切库存动作，仅查询</w:t>
            </w:r>
          </w:p>
        </w:tc>
      </w:tr>
    </w:tbl>
    <w:p>
      <w:pPr>
        <w:spacing w:after="12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状态迁移规则：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迁移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控制点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 → 1 放行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qms检验任务判定合格（索证索票附件校验通过为前置）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联动不合格品控制：不合格走 0 → 3 报废或整批退货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 → 3 报废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检验不合格处置-报废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 → 2 冻结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效期进入冻结阈值（定时任务自动）／质量手工冻结／召回隔离（一键按谱系圈批）／盘点差异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 → 1 解冻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处置评审通过（降级销售等）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1/2 → 3 报废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报废单联动，扣减批次库存</w:t>
            </w:r>
          </w:p>
        </w:tc>
      </w:tr>
    </w:tbl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所有状态迁移写入 food_batch_status_log 审计日志，不可物理删除。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3.2 批次继承模型（脊柱设计二）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批次追溯是"多对多有向无环图（DAG）"而非链：一锅投料消耗多个原料批次；分割包装令一个原料批次派生多个成品批次；火腿整支贯穿（1:1继承）与分割派生（1:N、N:M）并存。谱系以关系表承载，追溯查询按图遍历：正向=原料批次→产出的成品批次→发货客户；反向=成品批次（或客户）→逐层反查投入的原料批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领料投入：领料单按批次扣减，记"投入"边（N:M）；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完工派生：完工入库生成新成品批次，记"派生"边，继承关系入谱系；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拆批：原批次部分数量转入新批次，效期/状态继承，记"拆分"边；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合批：多批次合并入新批次，效期取最早到期（保守合规），各记一条"合并"边；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退货回归：退货入库继承原成品批次，效期不重算（合规红线），记"退回"边。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3.3 表结构清单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food_batch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批次主表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唯一内部批次号+外部供应商批次号+效期+状态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food_batch_genealogy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批次谱系（DAG边表）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投入/派生/拆分/合并/退回 五类关系，正反向追溯遍历依据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food_batch_stock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批次库存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物料+仓库+库位+批次维度数量与预留量；物料汇总与现有库存表同步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food_batch_rule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批次号规则配置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前缀/日期段/流水长度，按物料可配、全局默认兜底，全局唯一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food_expiry_policy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效期策略配置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临期预警天数、冻结天数、最小剩余效期（发货校验）、FEFO开关，三级可配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food_batch_adjust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批次操作单据主表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拆批/合批/冻结/解冻/报废/召回隔离统一单据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food_batch_adjust_item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批次操作单据明细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源批次→目标批次、数量、效期处理结果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food_batch_status_log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批次状态审计日志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迁移记录，不可删除（合规）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food_batch_reserve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批次预留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销售订单锁定批次数量，出库核销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3.4 核心表字段设计</w:t>
      </w:r>
    </w:p>
    <w:p>
      <w:pPr>
        <w:spacing w:after="12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food_batch（批次主表）：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batch_id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bigint PK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批次ID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batch_code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varchar(64) UK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内部批次号（规则引擎生成，全局唯一，禁手改）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ext_batch_code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外部批次号（供应商/客户批次），可空，双轨映射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material_id / material_code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bigint / varchar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物料（冗余编码便于追溯导出）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char(1)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来源：1采购入库 2生产完工 3拆批 4合批 5退货 6初始化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source_bill_type / source_bill_id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varchar / bigint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来源单据（入库单/工单/调整单）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produce_date / receive_date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生产日期 / 到货日期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shelf_life_days / expire_date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 / date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保质期快照 / 到期日（推算后固化，退货不重算）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batch_status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char(1)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0待检 1合格 2冻结 3报废（默认0）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freeze_reason / freeze_time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varchar / datetime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冻结原因与时间（自动冻结标记来源）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del_flag / create_by / create_time / update_by / update_time / remark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RuoYi 标准字段</w:t>
            </w:r>
          </w:p>
        </w:tc>
      </w:tr>
    </w:tbl>
    <w:p>
      <w:pPr>
        <w:spacing w:after="12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food_batch_genealogy（谱系边表）：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genealogy_id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bigint PK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谱系记录ID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parent_batch_id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bigint IDX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投入方批次（上游）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child_batch_id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bigint IDX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产出方批次（下游）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relation_type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char(1)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1投入 2派生 3拆分 4合并 5退回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qty / qty_unit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decimal / varchar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本次关系数量与单位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ref_bill_type / ref_bill_id / ref_bill_code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varchar / bigint / varchar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关联单据（领料单/完工入库单/调整单/出库单）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create_by / create_time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标准字段</w:t>
            </w:r>
          </w:p>
        </w:tc>
      </w:tr>
    </w:tbl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food_batch_stock（批次库存）：UNIQUE(material_id, warehouse_id, location_id, batch_id)，字段含 qty、qty_locked（预留）、version（乐观锁）。food_batch_rule：rule_pattern 支持 {yyyyMMdd}/{yyMM}/{seq:n}/{materialCode} 占位符；流水按"规则+日期"维度原子递增（UPDATE ... SET seq=seq+1 原子操作）。food_expiry_policy：policy 三级匹配顺序=物料级→物料类别级→默认级。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四、关键业务流程设计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4.1 入库（批次生成）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采购入库：到货登记→生成批次（状态0待检，ext_batch_code=供应商批次）→IQC检验（索证索票附件前置）→放行转1合格→上架入库记账；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生产完工：完工入库→生成成品批次（状态0，按策略可配"过程检验通过即放行"）→记谱系派生边（继承领料投入边）→放行→记账；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录入方式：默认带出推荐批次号与日期，扫码/手改需相应权限——采购默认带供应商批次映射、生产自动按工单生成。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4.2 出库（FEFO与校验）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出库推荐：仅推荐 batch_status=1 且可用量（qty-qty_locked）&gt;0 的批次，按 expire_date 升序（FEFO），同效期按入库时间先进先出；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三重校验：状态校验（0/2/3禁止出库）→最小剩余效期校验（发货/销售出库按策略拦截）→可用量并发校验（乐观锁扣减，冲突自动重取FEFO重推荐）；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授权换批：允许经权限控制的手工换批，留痕于单据与日志；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拆行出库：一个出库明细可按FEFO自动拆多批次行，拣货单按批次打印。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4.3 预警与处置闭环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定时任务每日扫描：临期（进入预警阈值）→推送仓库+销售（消息中心模板，接收人按策略配置）；进入冻结阈值→自动冻结（1→2）并推送处置人；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处置闭环：处置人登记处置动作（降级销售/员工内购/报废），处置完成解冻或报废——"谁接收、谁处置、谁闭环"落到单据留痕。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4.4 追溯与召回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追溯查询：输入批次号/物料/单据号/客户，正反向图遍历输出追溯报告（含谱系图、效期、状态、流向客户）；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召回隔离：按谱系圈定受影响批次集合→一键批量冻结（1→2）→生成召回处置单→逐批登记处置结果。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五、修订后P0功能清单（10项）与P1清单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300"/>
        <w:gridCol w:w="1526"/>
      </w:tblGrid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落点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批次号规则引擎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food_batch_rule配置+原子流水；内部/外部批次双轨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基础数据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效期参数与到期日推算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food_expiry_policy三级配置；到期日入库时固化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基础数据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入库批次登记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采购/生产/退货/初始化四来源；状态0进入+待检控制；默认带出+扫码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入库作业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批次级库存台账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food_batch_stock；盘点按批次盘、移库批次随移、流水带批次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库存管理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FEFO强制出库+三重校验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状态/最小剩余效期/可用量并发；授权换批留痕；拆行拣货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出库作业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临期预警与处置闭环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定时扫描→消息推送→处置登记→解冻/报废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库存预警+消息中心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批次流转与正反向追溯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谱系DAG遍历；追溯报告导出；SN降为辅助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质量追溯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批次操作单据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拆批/合批/冻结/解冻/报废/召回隔离统一承载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批次管理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P0-9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召回演练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上线验收动作：真实数据正反向追溯+召回隔离演练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上线动作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P0-10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存量迁移与初始化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现有库存生成初始批次+补录效期+在途单据过渡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上线动作</w:t>
            </w:r>
          </w:p>
        </w:tc>
      </w:tr>
    </w:tbl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P1清单（批次能力就绪后启动）：干腌火腿工艺路线建模、WIP批次跟踪（工序位置/入柜时间/温湿度/上霉状态）、产出率与损耗核销（76%为物料参数）、HACCP CCP电子台账（挂批次、超限联动不合格品控制）、索证索票放行前置（已在P0-3实现校验框架）、多品类配方区分（产出率模型vs配比配方）。排产按物料/产线配置"批次计划/离散日排产"双模式。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六、数据库改造与上线迁移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新建9张 food_ 表（utf8mb4 COLLATE utf8mb4_general_ci，与库内一致），菜单注册在仓储物流模块（wms根菜单）下新增"批次管理"目录，随模块开关启停；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现有库存表不改结构：应用层维护"批次库存合计=物料库存汇总"的一致性（同事务双写），对账任务日校验；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存量迁移：按物料+仓库现有库存生成 source_type=6 初始批次（默认合格态），用户补录生产日期/到期日；无历史效期信息的给"待补录"标记并限期完成；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在途单据：切换时点前已审核单据按旧模式跑完，切换后新单据强制批次化；并轨期建议不超过2周；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回滚预案：迁移前全量备份（对齐既有备份脚本规范）；切换后一周内保留旧报表口径比对。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七、并发与性能设计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FEFO扣减并发：UPDATE food_batch_stock SET qty=qty-? WHERE ... AND qty-qty_locked&gt;=? AND version=? 乐观锁，失败自动重取FEFO；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流水生成并发：UPDATE food_batch_rule SET current_seq=current_seq+1 WHERE rule_id=? 原子自增取号；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索引：批次库存（material,warehouse,batch）、谱系双端索引、批次号唯一索引、效期+状态组合索引（预警扫描）；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追溯遍历深度控制（默认≤10层）与结果缓存，防止谱系图过大拖垮查询。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八、验收标准与实施顺序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2126"/>
      </w:tblGrid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批次一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9张表建模+规则引擎+效期策略+批次台账+批次操作单据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建表SQL执行通过；批次全生命周期单据操作可用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批次二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出入库批次化+FEFO+三重校验+盘点移库批次化+预警闭环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一次真实发货FEFO全流程验证通过（真实数据）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批次三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谱系追溯报告+召回隔离+存量迁移+操作培训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正反向追溯演练通过；一次召回隔离演练通过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P1验收（后续）：一次真实工单的WIP批次跟踪全周期记录+CCP台账按时段导出模拟验厂+产出率核算与损耗分析报表。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九、通用化复用规范（食品行业能力包）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边界项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表前缀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food_（行业包内不得引用food_前缀表实现非行业逻辑）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后端包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com.ruoyi.food（batch/wip/ccp 子包）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接口前缀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/food/（权限字符 food:batch:* 等）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前端目录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views/food/、api/food/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配置化清单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批次号规则、效期阈值、FEFO开关、放行要求、排产模式、产出率参数——全部数据配置，禁止硬编码传丰参数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可复用交付物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建表SQL+行业包代码+配置模板（新食品客户=换主数据+配置，不换代码）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</w:rPr>
        <w:t xml:space="preserve">附：方案自查补强对照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批次状态机、批次继承模型——本方案 3.1/3.2（原方案缺失，属数据模型层，建表前定稿）；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供应商批次双轨、拆批/合批/退货效期不重算、批次预留锁定——3.3/3.4/4.2；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最小剩余效期发货校验——由P2提前至P0-5（三重校验之一）；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盘点/移库/流水批次化——P0-4 扩展；存量表结构与迁移——第六章；并发与索引——第七章；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预警处置闭环落到单据——4.3；排产双模式、CCP超限联动、IoT预留——第五章P1说明；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一线录入简化（默认带出+扫码为主）——2.1原则4与4.1；验收以真实流程演练为准——第八章。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20"/>
      <w:outlineLvl w:val="0"/>
    </w:pPr>
    <w:rPr>
      <w:rFonts w:ascii="Arial" w:eastAsia="Microsoft YaHei" w:hAnsi="Arial"/>
      <w:b/>
      <w:bCs/>
      <w:color w:val="2F5233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20"/>
      <w:outlineLvl w:val="1"/>
    </w:pPr>
    <w:rPr>
      <w:rFonts w:ascii="Arial" w:eastAsia="Microsoft YaHei" w:hAnsi="Arial"/>
      <w:b/>
      <w:bCs/>
      <w:color w:val="3A6B3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2026-10-13T09:45:05.226Z</dcterms:created>
  <dcterms:modified xsi:type="dcterms:W3CDTF">2026-10-13T09:45:05.227Z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