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157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56" w:hRule="atLeast"/>
          <w:jc w:val="center"/>
        </w:trPr>
        <w:tc>
          <w:tcPr>
            <w:tcW w:w="8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00" w:lineRule="exact"/>
              <w:textAlignment w:val="auto"/>
              <w:rPr>
                <w:rFonts w:hint="eastAsia"/>
                <w:sz w:val="15"/>
                <w:szCs w:val="15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00" w:lineRule="exact"/>
              <w:textAlignment w:val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研究背景及现状。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背景：通过观察与自身体会，发现人们当身体出现问题时，想要吃一些对身体病情有好处的食物时，不清楚相对病症的禁忌和有益食物，自己在生病时更是要通过十几分钟到半小时的时间浏览相关网页，才能确认对身体有益的食材，然后还需花费时间查菜谱，总之很浪费时间，但是在家中有老人且身体有异的时候又必须慎重查看，所以需要一个包含常见病症的健康食谱推荐程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现状：只是有一些教做菜，和提供食谱的程序，如《下厨房》、《日日煮》、《家常菜》等，但没有进行针对病症的健康菜谱推荐，甚至会推荐一些好吃但不健康的食物。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00" w:lineRule="exact"/>
              <w:textAlignment w:val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研究内容及预期达到的目标。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研究一款可以根据用户身体情况进行推荐的健康食谱助手。目标：包含常见疾病对应菜谱推荐，界面美观。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功能框架图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看最后。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健康食谱助手的角色包括管理员、食谱信息员和会员用户等，系统分别为管理员、医师、营养师和会员用户提供如下功能：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(1)管理员、医师、营养师和会员用户的信息管理功能。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(2)微量元素、食材、食谱和病症数据的采集、更新、清洗和存储管理等功能。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(3)提供病症诊断、食谱推荐等功能。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400" w:lineRule="exact"/>
              <w:textAlignment w:val="auto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研究方案。</w:t>
            </w:r>
          </w:p>
          <w:p>
            <w:pPr>
              <w:numPr>
                <w:ilvl w:val="0"/>
                <w:numId w:val="0"/>
              </w:numPr>
              <w:spacing w:after="156" w:afterLines="50" w:line="240" w:lineRule="exact"/>
              <w:ind w:left="119" w:leftChars="0"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健康食谱助手的设计与实现实现功能包括病证诊断、食谱推荐及相关数据分析可视化等。</w:t>
            </w:r>
          </w:p>
          <w:p>
            <w:pPr>
              <w:numPr>
                <w:ilvl w:val="0"/>
                <w:numId w:val="0"/>
              </w:numPr>
              <w:spacing w:after="156" w:afterLines="50" w:line="240" w:lineRule="exact"/>
              <w:ind w:left="119" w:leftChars="0"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(1)开发工具采用 Eclipse + PyCharm + Android SDK + MySQL + Tomcat等。</w:t>
            </w:r>
          </w:p>
          <w:p>
            <w:pPr>
              <w:numPr>
                <w:ilvl w:val="0"/>
                <w:numId w:val="0"/>
              </w:numPr>
              <w:spacing w:after="156" w:afterLines="50" w:line="240" w:lineRule="exact"/>
              <w:ind w:left="119" w:leftChars="0"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(2)系统界面设计美观，交互友好，操作方便。</w:t>
            </w:r>
          </w:p>
          <w:p>
            <w:pPr>
              <w:numPr>
                <w:ilvl w:val="0"/>
                <w:numId w:val="0"/>
              </w:numPr>
              <w:spacing w:after="156" w:afterLines="50" w:line="240" w:lineRule="exact"/>
              <w:ind w:left="119" w:leftChars="0"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此系统使用多用户（用户，医生，营养师，管理员）将系统分为几个部分，其中用户就是根据需要进行菜谱的选择，医生可以通过与用户进行一对一的交流为用户诊断病症，也可以发布一些身体异常对应的病症方便用户查看，营养师根据病症推荐食谱等。</w:t>
            </w:r>
          </w:p>
          <w:p>
            <w:pPr>
              <w:numPr>
                <w:ilvl w:val="0"/>
                <w:numId w:val="0"/>
              </w:numPr>
              <w:spacing w:after="156" w:afterLines="50" w:line="240" w:lineRule="exact"/>
              <w:ind w:left="119" w:leftChars="0"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健康食谱助手的角色包括管理员、食谱信息员和会员用户等，系统分别为管理员、医师、营养师和会员用户提供如下功能：</w:t>
            </w:r>
          </w:p>
          <w:p>
            <w:pPr>
              <w:numPr>
                <w:ilvl w:val="0"/>
                <w:numId w:val="0"/>
              </w:numPr>
              <w:spacing w:after="156" w:afterLines="50" w:line="240" w:lineRule="exact"/>
              <w:ind w:firstLine="630" w:firstLineChars="3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(1)管理员、医师、营养师和会员用户的信息管理功能。</w:t>
            </w:r>
          </w:p>
          <w:p>
            <w:pPr>
              <w:numPr>
                <w:ilvl w:val="0"/>
                <w:numId w:val="0"/>
              </w:numPr>
              <w:spacing w:after="156" w:afterLines="50" w:line="240" w:lineRule="exact"/>
              <w:ind w:firstLine="630" w:firstLineChars="3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(2)微量元素、食材、食谱和病症数据的采集、更新、清洗和存储管理等功能。</w:t>
            </w:r>
          </w:p>
          <w:p>
            <w:pPr>
              <w:numPr>
                <w:ilvl w:val="0"/>
                <w:numId w:val="0"/>
              </w:numPr>
              <w:spacing w:after="156" w:afterLines="50" w:line="240" w:lineRule="exact"/>
              <w:ind w:firstLine="630" w:firstLineChars="3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(3)提供病症诊断、食谱推荐等功能。</w:t>
            </w:r>
          </w:p>
          <w:p>
            <w:pPr>
              <w:numPr>
                <w:ilvl w:val="0"/>
                <w:numId w:val="0"/>
              </w:numPr>
              <w:spacing w:after="156" w:afterLines="50" w:line="240" w:lineRule="exact"/>
              <w:ind w:firstLine="630" w:firstLineChars="3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  <w:p>
            <w:pPr>
              <w:rPr>
                <w:rFonts w:hint="eastAsia" w:eastAsia="宋体"/>
                <w:sz w:val="15"/>
                <w:szCs w:val="15"/>
                <w:lang w:eastAsia="zh-CN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tabs>
                <w:tab w:val="left" w:pos="4005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年   月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56" w:hRule="atLeast"/>
          <w:jc w:val="center"/>
        </w:trPr>
        <w:tc>
          <w:tcPr>
            <w:tcW w:w="815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after="156" w:afterLines="50" w:line="240" w:lineRule="exact"/>
              <w:ind w:firstLine="630" w:firstLineChars="3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用户与医生一对一交流；</w:t>
            </w:r>
          </w:p>
          <w:p>
            <w:pPr>
              <w:numPr>
                <w:ilvl w:val="0"/>
                <w:numId w:val="2"/>
              </w:numPr>
              <w:spacing w:after="156" w:afterLines="50" w:line="240" w:lineRule="exact"/>
              <w:ind w:firstLine="630" w:firstLineChars="3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食谱推荐分类：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0" w:leftChars="0" w:firstLine="400" w:firstLineChars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四季食谱：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0" w:leftChars="0" w:firstLine="400" w:firstLineChars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肌肉食谱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0" w:leftChars="0" w:firstLine="400" w:firstLineChars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单纯肥胖型食谱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0" w:leftChars="0" w:firstLine="400" w:firstLineChars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便秘食谱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0" w:leftChars="0" w:firstLine="400" w:firstLineChars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准妈妈食谱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0" w:leftChars="0" w:firstLine="400" w:firstLineChars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痛风病人的一周健康食谱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center" w:pos="39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0" w:leftChars="0" w:firstLine="400" w:firstLineChars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饮食相关文章：我的饮食观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39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39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397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 w:firstLine="420" w:firstLineChars="20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="420" w:leftChars="0" w:hanging="420" w:hangingChars="200"/>
              <w:jc w:val="left"/>
              <w:rPr>
                <w:rFonts w:hint="default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56" w:hRule="atLeast"/>
          <w:jc w:val="center"/>
        </w:trPr>
        <w:tc>
          <w:tcPr>
            <w:tcW w:w="815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参考文献</w:t>
            </w: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="360" w:leftChars="0" w:hanging="360" w:hangingChars="20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1.田纪文.《一种健康管理软件的设计与实现》.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instrText xml:space="preserve"> HYPERLINK "http://qikan.cqvip.com/Qikan/Search/Index?key=J=%e4%bf%a1%e6%81%af%e6%8a%80%e6%9c%af%e4%b8%8e%e4%bf%a1%e6%81%af%e5%8c%96&amp;from=Qikan_Article_Detail" \o "信息技术与信息化" </w:instrTex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《信息技术与信息化》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，2019年，第6期：82-85，共4页。</w:t>
            </w: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="360" w:leftChars="0" w:hanging="360" w:hanging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instrText xml:space="preserve"> HYPERLINK "http://qikan.cqvip.com/Qikan/Search/Index?key=A=%e5%90%b4%e5%bf%a0%e6%98%8e&amp;from=Qikan_Article_Detail" \o "吴忠明" </w:instrTex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吴忠明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instrText xml:space="preserve"> HYPERLINK "http://qikan.cqvip.com/Qikan/Search/Index?key=A=%e9%bb%84%e8%be%b0&amp;from=Qikan_Article_Detail" \o "黄辰" </w:instrTex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黄辰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instrText xml:space="preserve"> HYPERLINK "http://qikan.cqvip.com/Qikan/Search/Index?key=A=%e6%9c%b1%e5%b0%8f%e4%b8%b9&amp;from=Qikan_Article_Detail" \o "朱小丹" </w:instrTex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朱小丹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.《基于局域网的手机即时通讯聊天软件的设计与实现》，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instrText xml:space="preserve"> HYPERLINK "http://qikan.cqvip.com/Qikan/Search/Index?key=J=%e7%89%a9%e8%81%94%e7%bd%91%e6%8a%80%e6%9c%af&amp;from=Qikan_Article_Detail" \o "物联网技术" </w:instrTex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《物联网技术》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，2016年，第2期：50-51,104共3页。</w:t>
            </w: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="180" w:leftChars="0" w:hanging="180" w:hangingChars="1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3.郑建洲.《5621例儿童微量元素缺乏状况及预防》，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instrText xml:space="preserve"> HYPERLINK "http://qikan.cqvip.com/Qikan/Search/Index?key=J=%e4%b8%b4%e5%ba%8a%e5%8c%bb%e5%ad%a6%e7%a0%94%e7%a9%b6%e4%b8%8e%e5%ae%9e%e8%b7%b5&amp;from=Qikan_Article_Detail" \o "临床医学研究与实践" </w:instrTex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《临床医学研究与实践》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，2018年，第10期：120-121,共2页。</w:t>
            </w: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Char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4.作者简介乔学彬出处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instrText xml:space="preserve"> HYPERLINK "http://qikan.cqvip.com/Qikan/Search/Index?key=J=%e7%8e%b0%e4%bb%a3%e9%a3%9f%e5%93%81&amp;from=Qikan_Article_Detail" \o "现代食品" </w:instrTex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《现代食品》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  2019年第13期：109-110，共2页，</w:t>
            </w: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="360" w:leftChars="0" w:hanging="360" w:hanging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5.缪应生.《“互联网+”时代下基于健康食谱的点餐系统设计》，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instrText xml:space="preserve"> HYPERLINK "http://qikan.cqvip.com/Qikan/Search/Index?key=J=%e7%94%b5%e8%84%91%e7%9f%a5%e8%af%86%e4%b8%8e%e6%8a%80%e6%9c%af:%e5%ad%a6%e6%9c%af%e7%89%88&amp;from=Qikan_Article_Detail" \o "电脑知识与技术:学术版" </w:instrTex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《电脑知识与技术:学术版》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，2019年，第5期：101-103，共3页。</w:t>
            </w:r>
          </w:p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="360" w:leftChars="0" w:hanging="360" w:hangingChars="200"/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6.</w:t>
            </w:r>
            <w:r>
              <w:rPr>
                <w:rFonts w:hAnsi="Arial" w:eastAsia="宋体" w:cs="Arial" w:asciiTheme="minorAscii"/>
                <w:b w:val="0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DONG Decun,WANG Xiaonong,HE Yunpeng</w:t>
            </w:r>
            <w:r>
              <w:rPr>
                <w:rFonts w:hint="eastAsia" w:hAnsi="Arial" w:cs="Arial" w:asciiTheme="minorAscii"/>
                <w:b w:val="0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  <w:lang w:val="en-US" w:eastAsia="zh-CN"/>
              </w:rPr>
              <w:t>.《Design of Railway Computer Interlocking Search Algorithm and Implementation of Interlocking Software》，《</w:t>
            </w:r>
            <w:r>
              <w:rPr>
                <w:rFonts w:hint="default" w:hAnsi="Arial" w:eastAsia="宋体" w:cs="Arial" w:asciiTheme="minorAscii"/>
                <w:b w:val="0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国际设备工程与管理（英文版）</w:t>
            </w:r>
            <w:r>
              <w:rPr>
                <w:rFonts w:hint="eastAsia" w:hAnsi="Arial" w:cs="Arial" w:asciiTheme="minorAscii"/>
                <w:b w:val="0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  <w:lang w:val="en-US" w:eastAsia="zh-CN"/>
              </w:rPr>
              <w:t>》，</w:t>
            </w:r>
            <w:r>
              <w:rPr>
                <w:rFonts w:hint="default" w:hAnsi="Arial" w:eastAsia="宋体" w:cs="Arial" w:asciiTheme="minorAscii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2019年</w:t>
            </w:r>
            <w:r>
              <w:rPr>
                <w:rFonts w:hint="eastAsia" w:hAnsi="Arial" w:cs="Arial" w:asciiTheme="minorAscii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default" w:hAnsi="Arial" w:eastAsia="宋体" w:cs="Arial" w:asciiTheme="minorAscii"/>
                <w:i w:val="0"/>
                <w:caps w:val="0"/>
                <w:color w:val="666666"/>
                <w:spacing w:val="0"/>
                <w:sz w:val="18"/>
                <w:szCs w:val="18"/>
                <w:shd w:val="clear" w:fill="FFFFFF"/>
              </w:rPr>
              <w:t>第002期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56" w:hRule="atLeast"/>
          <w:jc w:val="center"/>
        </w:trPr>
        <w:tc>
          <w:tcPr>
            <w:tcW w:w="815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4005"/>
              </w:tabs>
              <w:ind w:left="420" w:leftChars="0" w:hanging="420" w:hangingChars="200"/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drawing>
                <wp:inline distT="0" distB="0" distL="114300" distR="114300">
                  <wp:extent cx="5040630" cy="2160270"/>
                  <wp:effectExtent l="0" t="0" r="381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216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eastAsia" w:eastAsia="宋体"/>
          <w:sz w:val="15"/>
          <w:szCs w:val="15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41734"/>
    <w:multiLevelType w:val="singleLevel"/>
    <w:tmpl w:val="9864173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D38D8689"/>
    <w:multiLevelType w:val="singleLevel"/>
    <w:tmpl w:val="D38D8689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FF08E241"/>
    <w:multiLevelType w:val="singleLevel"/>
    <w:tmpl w:val="FF08E2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1A18"/>
    <w:rsid w:val="10B57A23"/>
    <w:rsid w:val="14F424C2"/>
    <w:rsid w:val="190C521B"/>
    <w:rsid w:val="24DE1CC5"/>
    <w:rsid w:val="2AC5389D"/>
    <w:rsid w:val="2C6447AB"/>
    <w:rsid w:val="427721AD"/>
    <w:rsid w:val="4E2F74A4"/>
    <w:rsid w:val="57807B73"/>
    <w:rsid w:val="60F0722E"/>
    <w:rsid w:val="68D57D17"/>
    <w:rsid w:val="6AD9110B"/>
    <w:rsid w:val="72A0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2019-10-07T17:02:00Z</dcterms:created>
  <dc:creator>PC</dc:creator>
  <cp:lastModifiedBy>晨</cp:lastModifiedBy>
  <dcterms:modified xsi:type="dcterms:W3CDTF">2019-12-24T11:13:26Z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