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pStyle w:val="Title"/>
        <w:jc w:val="center"/>
      </w:pPr>
      <w:r>
        <w:rPr>
          <w:rFonts w:ascii="Times New Roman" w:hAnsi="Times New Roman" w:cs="Times New Roman" w:eastAsia="Noto Sans CJK SC"/>
          <w:b/>
          <w:color w:val="000000"/>
        </w:rPr>
        <w:t>MNIST单隐藏层神经网络宽度</w:t>
        <w:br/>
        <w:t>准确率与CPU推理延迟实证研究</w:t>
      </w:r>
    </w:p>
    <w:p>
      <w:pPr>
        <w:pStyle w:val="Subtitle"/>
        <w:jc w:val="center"/>
      </w:pPr>
      <w:r>
        <w:rPr>
          <w:rFonts w:ascii="Times New Roman" w:hAnsi="Times New Roman" w:cs="Times New Roman" w:eastAsia="Noto Serif CJK SC"/>
          <w:color w:val="000000"/>
        </w:rPr>
        <w:t>可复现实验技术报告</w:t>
      </w:r>
    </w:p>
    <w:p>
      <w:pPr>
        <w:spacing w:after="600"/>
        <w:jc w:val="center"/>
      </w:pPr>
      <w:r>
        <w:rPr>
          <w:rFonts w:ascii="Times New Roman" w:hAnsi="Times New Roman" w:cs="Times New Roman" w:eastAsia="Noto Serif CJK SC"/>
          <w:color w:val="000000"/>
          <w:sz w:val="21"/>
        </w:rPr>
        <w:t>2026年9月</w:t>
      </w:r>
    </w:p>
    <w:p>
      <w:pPr>
        <w:pStyle w:val="Heading1"/>
        <w:keepNext/>
        <w:keepLines/>
      </w:pPr>
      <w:r>
        <w:t>摘要</w:t>
      </w:r>
    </w:p>
    <w:p>
      <w:pPr>
        <w:keepLines w:val="0"/>
        <w:spacing w:before="0" w:after="16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本报告在MNIST上考察单隐藏层多层感知机的隐藏层宽度如何影响测试准确率、模型资源量与单样本CPU推理延迟。实验覆盖h∈{4, 8, 16, 32, 64, 128, 256}，每个宽度使用3个随机种子训练，并以h=256为参考。结果显示，准确率随宽度增加而提升，但在h≥64后边际收益明显减弱：h=64的平均准确率为97.38%，仅比参考模型低0.50个百分点，同时减少75.00%的MACs，CPU中位延迟降低12.06%；h=32的平均准确率为96.95%，下降0.93个百分点，但减少87.50%的MACs。实测延迟收益显著小于理论计算量收益，说明小型模型上的固定框架开销和内存访问不可忽略。该实验可作为后续动态宽度、资源受限推理与置信度风险研究的可复现基线。</w:t>
      </w:r>
    </w:p>
    <w:p>
      <w:pPr>
        <w:keepLines w:val="0"/>
        <w:spacing w:before="0" w:after="240" w:lineRule="auto" w:line="324"/>
        <w:ind w:firstLine="440"/>
        <w:jc w:val="both"/>
      </w:pPr>
      <w:r>
        <w:rPr>
          <w:rFonts w:ascii="Times New Roman" w:hAnsi="Times New Roman" w:cs="Times New Roman" w:eastAsia="Noto Sans CJK SC"/>
          <w:b/>
          <w:color w:val="000000"/>
        </w:rPr>
        <w:t>关键词：</w:t>
      </w:r>
      <w:r>
        <w:rPr>
          <w:rFonts w:ascii="Times New Roman" w:hAnsi="Times New Roman" w:cs="Times New Roman" w:eastAsia="Noto Serif CJK SC"/>
          <w:color w:val="000000"/>
        </w:rPr>
        <w:t>MNIST；多层感知机；隐藏层宽度；准确率—效率权衡；推理延迟；可复现实验</w:t>
      </w:r>
    </w:p>
    <w:p>
      <w:pPr>
        <w:pStyle w:val="Heading2"/>
        <w:keepNext/>
        <w:keepLines/>
      </w:pPr>
      <w:r>
        <w:t>核心发现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稳健折中：h=64以25%的参数与MACs保留参考模型99.49%的绝对准确率水平。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激进折中：h=32在准确率下降0.93个百分点时，将MACs降至参考模型的12.50%。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计算量不等于实际延迟：h=64虽减少75%的MACs，中位延迟仅降低12.06%。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极窄模型不稳定：h=4的准确率标准差为4.06个百分点，明显高于其他宽度。</w:t>
      </w:r>
    </w:p>
    <w:p>
      <w:r>
        <w:br w:type="page"/>
      </w:r>
    </w:p>
    <w:p>
      <w:pPr>
        <w:pStyle w:val="Heading1"/>
        <w:keepNext/>
        <w:keepLines/>
      </w:pPr>
      <w:r>
        <w:t>1 研究问题与定位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本研究回答一个具体的工程问题：当一个全连接分类器被缩窄时，能够以多大的准确率代价换取多少理论计算量和真实CPU延迟收益？研究重点不是提出新算法，而是建立一条完整、可复查的实验链路，展示宽度缩减带来的收益、收益递减现象，以及理论资源指标与端侧实测延迟之间的差异。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候选模型只在隐藏层宽度上变化，其余训练与评估设置保持一致。报告采用h=256作为已测试范围内的参考模型，并分别考察平均测试准确率下降不超过0.5和1.0个百分点时的最小候选宽度。阈值结果是当前候选集合中的经验结论，不应解释为对未测试宽度的最优性证明。</w:t>
      </w:r>
    </w:p>
    <w:p>
      <w:pPr>
        <w:pStyle w:val="Heading1"/>
        <w:keepNext/>
        <w:keepLines/>
      </w:pPr>
      <w:r>
        <w:t>2 实验设计</w:t>
      </w:r>
    </w:p>
    <w:p>
      <w:pPr>
        <w:pStyle w:val="Heading2"/>
        <w:keepNext/>
        <w:keepLines/>
      </w:pPr>
      <w:r>
        <w:t>2.1 数据与模型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MNIST训练集被固定划分为54,000个训练样本与6,000个验证样本，测试集包含10,000个样本。输入仅执行ToTensor与均值0.1307、标准差0.3081的标准化，不使用数据增强。模型结构为784维展平输入、一个ReLU隐藏层与10类线性输出层。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对隐藏层宽度h，参数量为P(h)=784h+h+10h+10=795h+10；忽略偏置加法时，每个样本的近似乘加次数为MACs(h)=784h+10h=794h。因此，除常数输出偏置外，参数量与理论计算量都随h近似线性增长。</w:t>
      </w:r>
    </w:p>
    <w:p>
      <w:pPr>
        <w:pStyle w:val="Heading2"/>
        <w:keepNext/>
        <w:keepLines/>
      </w:pPr>
      <w:r>
        <w:t>2.2 训练与评估协议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设置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宽度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4、8、16、32、64、128、256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随机种子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42、43、44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优化器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Adam，学习率0.001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批量大小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128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模型选择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验证损失最低的检查点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提前停止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耐心值5；一般上限30轮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h=4诊断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上限延长至60轮，避免把未收敛误判为容量不足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训练设备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Apple MPS；不可用时自动回退CPU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2.3 延迟测量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延迟测试在CPU、单线程、batch size=1条件下进行。每个模型先预热1,000次，再执行10,000次计时，报告中位延迟、P95延迟和平均延迟。该测量不包含数据读取与预处理，反映的是PyTorch eager模式下模型前向传播的微基准性能。</w:t>
      </w:r>
    </w:p>
    <w:p>
      <w:pPr>
        <w:pStyle w:val="Heading2"/>
        <w:keepNext/>
        <w:keepLines/>
      </w:pPr>
      <w:r>
        <w:t>2.4 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硬件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MacBook Neo，Apple A18 Pro，6核CPU，8 GB内存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系统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macOS 26.6.2，arm64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软件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Python 3.11.16，PyTorch 2.14.0，MPS可用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结果文件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原始结果、汇总表、延迟表与绘图脚本均随仓库提供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 宽度与测试准确率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平均测试准确率从h=4的84.72%提升到h=256的97.88%。提升主要集中在较窄区间：h=4到h=32累计提升12.23个百分点，而h=64到h=256仅再提升0.50个百分点，呈现明显的边际收益递减。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h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测试准确率（%）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最佳轮次均值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参数量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MACs/样本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84.72 ± 4.06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30.33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3,190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3,176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92.62 ± 0.06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21.00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6,370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6,352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95.15 ± 0.29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20.67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12,730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12,704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96.95 ± 0.08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14.67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25,450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25,408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97.38 ± 0.09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10.33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50,890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50,816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97.79 ± 0.12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101,770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101,632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97.88 ± 0.19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203,530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203,264</w:t>
            </w:r>
          </w:p>
        </w:tc>
      </w:tr>
    </w:tbl>
    <w:p>
      <w:pPr>
        <w:spacing w:after="0"/>
      </w:pPr>
    </w:p>
    <w:p>
      <w:pPr>
        <w:spacing w:before="40" w:after="140"/>
        <w:jc w:val="center"/>
      </w:pPr>
      <w:r>
        <w:rPr>
          <w:rFonts w:ascii="Times New Roman" w:hAnsi="Times New Roman" w:cs="Times New Roman" w:eastAsia="Noto Serif CJK SC"/>
          <w:color w:val="000000"/>
          <w:sz w:val="19"/>
        </w:rPr>
        <w:t>表1  不同隐藏层宽度的准确率与资源规模  准确率为3个随机种子的均值±1个标准差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76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th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Times New Roman" w:hAnsi="Times New Roman" w:cs="Times New Roman" w:eastAsia="Noto Serif CJK SC"/>
          <w:color w:val="000000"/>
          <w:sz w:val="19"/>
        </w:rPr>
        <w:t>图1  隐藏层宽度与测试准确率  虚线分别表示相对h=256下降0.5和1.0个百分点的阈值</w:t>
      </w:r>
    </w:p>
    <w:p>
      <w:pPr>
        <w:pStyle w:val="Heading2"/>
        <w:keepNext/>
        <w:keepLines/>
      </w:pPr>
      <w:r>
        <w:t>3.1 阈值选择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以h=256的平均准确率97.88%为参考，允许下降0.5个百分点时，目标准确率为97.38%，候选集合中的最小宽度为h=64；允许下降1.0个百分点时，目标准确率为96.88%，最小宽度为h=32。h=128相对参考仅下降0.10个百分点，但只将资源量减半，其折中力度弱于h=64。</w:t>
      </w:r>
    </w:p>
    <w:p>
      <w:pPr>
        <w:pStyle w:val="Heading2"/>
        <w:keepNext/>
        <w:keepLines/>
      </w:pPr>
      <w:r>
        <w:t>3.2 随机种子稳定性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h≥8时，各宽度的标准差不超过0.29个百分点，结果较稳定。h=4的标准差达到4.06个百分点，其中seed 44的测试准确率为80.03%，而另外两个种子约为87.1%。这表明极窄网络对初始化和优化路径敏感；用单次运行评价极窄模型会产生误导，因此报告保留3个种子的完整结果，并对h=4使用更长的60轮上限。</w:t>
      </w:r>
    </w:p>
    <w:p>
      <w:pPr>
        <w:pStyle w:val="Heading1"/>
        <w:keepNext/>
        <w:keepLines/>
      </w:pPr>
      <w:r>
        <w:t>4 准确率—资源—延迟权衡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理论MACs随宽度等比例下降，但实测CPU延迟下降得更慢。h=4的MACs比h=256少98.44%，中位延迟却只降低15.96%；h=64减少75.00%的MACs，中位延迟降低12.06%。当矩阵乘法已经很小时，Python与框架调度、算子启动、张量元数据处理和内存访问等固定成本占比上升，因此MACs不能直接替代目标设备上的延迟测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000000"/>
          <w:bottom w:val="single" w:sz="12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h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中位延迟（μs）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P95（μs）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延迟降低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6" w:space="0" w:color="000000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ans CJK SC"/>
                <w:b/>
                <w:color w:val="000000"/>
                <w:sz w:val="18"/>
              </w:rPr>
              <w:t>准确率下降（pp）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9.875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10.167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15.96%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13.16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9.916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10.083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15.61%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5.26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9.916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10.125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15.61%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2.73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10.166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10.417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13.48%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0.93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10.333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10.542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12.06%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0.50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10.917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11.209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7.09%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0.10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11.750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11.958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Noto Serif CJK SC"/>
                <w:b w:val="0"/>
                <w:color w:val="000000"/>
                <w:sz w:val="18"/>
              </w:rPr>
              <w:t>0.00</w:t>
            </w:r>
          </w:p>
        </w:tc>
      </w:tr>
    </w:tbl>
    <w:p>
      <w:pPr>
        <w:spacing w:after="0"/>
      </w:pPr>
    </w:p>
    <w:p>
      <w:pPr>
        <w:spacing w:before="40" w:after="140"/>
        <w:jc w:val="center"/>
      </w:pPr>
      <w:r>
        <w:rPr>
          <w:rFonts w:ascii="Times New Roman" w:hAnsi="Times New Roman" w:cs="Times New Roman" w:eastAsia="Noto Serif CJK SC"/>
          <w:color w:val="000000"/>
          <w:sz w:val="19"/>
        </w:rPr>
        <w:t>表2  单样本CPU延迟与相对h=256的变化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76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/>
        <w:jc w:val="center"/>
      </w:pPr>
      <w:r>
        <w:rPr>
          <w:rFonts w:ascii="Times New Roman" w:hAnsi="Times New Roman" w:cs="Times New Roman" w:eastAsia="Noto Serif CJK SC"/>
          <w:color w:val="000000"/>
          <w:sz w:val="19"/>
        </w:rPr>
        <w:t>图2  平均测试准确率与单样本CPU中位延迟的经验权衡曲线</w:t>
      </w:r>
    </w:p>
    <w:p>
      <w:pPr>
        <w:pStyle w:val="Heading2"/>
        <w:keepNext/>
        <w:keepLines/>
      </w:pPr>
      <w:r>
        <w:t>4.1 推荐工作点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默认建议h=64：平均准确率97.38%，标准差0.09个百分点；MACs减少75.00%，中位CPU延迟降低12.06%。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资源更紧张时选h=32：平均准确率96.95%；MACs减少87.50%，中位延迟降低13.48%。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更重视精度时选h=128：平均准确率97.79%，仅下降0.10个百分点，但延迟改善只有7.09%。</w:t>
      </w:r>
    </w:p>
    <w:p>
      <w:pPr>
        <w:pStyle w:val="Heading1"/>
        <w:keepNext/>
        <w:keepLines/>
      </w:pPr>
      <w:r>
        <w:t>5 讨论</w:t>
      </w:r>
    </w:p>
    <w:p>
      <w:pPr>
        <w:pStyle w:val="Heading2"/>
        <w:keepNext/>
        <w:keepLines/>
      </w:pPr>
      <w:r>
        <w:t>5.1 结果如何解释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本实验说明，模型宽度与准确率之间并非线性关系。较窄区间增加少量隐藏单元即可显著提升表示能力，而达到h=64后继续翻倍宽度主要换来不到0.5个百分点的提升。对这一任务与模型而言，h=64位于经验“拐点”附近：它在跨种子稳定性、准确率和资源规模之间取得了较均衡的结果。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另一方面，理论压缩比不能直接视为端侧加速比。h=64的理论乘加量只有参考模型的25%，但单样本CPU延迟仍为参考模型的87.94%。如果目标是部署，后续实验应优先在真实推理后端与目标批量大小上测量，并同时报告中位数与尾延迟。</w:t>
      </w:r>
    </w:p>
    <w:p>
      <w:pPr>
        <w:pStyle w:val="Heading2"/>
        <w:keepNext/>
        <w:keepLines/>
      </w:pPr>
      <w:r>
        <w:t>5.2 可用于后续研究的方向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动态宽度：按样本置信度在h=32、64、128之间切换，并把平均计算预算作为约束。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风险校准：比较最大软最大概率、熵或温度缩放能否可靠触发更宽模型。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更真实的推理后端：比较PyTorch eager、TorchScript、Core ML或其他编译后端的固定开销。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更复杂任务：在Fashion-MNIST、CIFAR或卷积网络上验证拐点是否仍存在。</w:t>
      </w:r>
    </w:p>
    <w:p>
      <w:pPr>
        <w:pStyle w:val="Heading1"/>
        <w:keepNext/>
        <w:keepLines/>
      </w:pPr>
      <w:r>
        <w:t>6 局限与有效性威胁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任务与结构较简单。MNIST上的单隐藏层MLP不能代表现代视觉模型，其数值结论不应直接外推到卷积网络或Transformer。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随机性覆盖有限。每个宽度只有3个种子，足以暴露h=4的不稳定性，但不足以给出高精度置信区间。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延迟只来自一台机器。结果依赖Apple A18 Pro、CPU单线程、PyTorch eager与系统状态；它不是通用硬件排名。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微基准范围有限。计时不含数据加载、归一化、进程启动和模型加载，因此不能等同于端到端应用时延。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阈值分析使用测试集均值做描述性比较。若把宽度选择纳入正式模型开发流程，应在验证集上确定阈值，只对最终方案进行一次测试集评估。</w:t>
      </w:r>
    </w:p>
    <w:p>
      <w:pPr>
        <w:pStyle w:val="ListBullet"/>
        <w:spacing w:after="30" w:line="300" w:lineRule="auto"/>
      </w:pPr>
      <w:r>
        <w:rPr>
          <w:rFonts w:ascii="Times New Roman" w:hAnsi="Times New Roman" w:cs="Times New Roman" w:eastAsia="Noto Serif CJK SC"/>
          <w:color w:val="000000"/>
        </w:rPr>
        <w:t>h=4采用60轮上限，其余宽度为30轮。该调整用于诊断极窄网络的收敛问题，已在配置和原始结果中明确披露。</w:t>
      </w:r>
    </w:p>
    <w:p>
      <w:pPr>
        <w:pStyle w:val="Heading1"/>
        <w:keepNext/>
        <w:keepLines/>
      </w:pPr>
      <w:r>
        <w:t>7 结论</w:t>
      </w:r>
    </w:p>
    <w:p>
      <w:pPr>
        <w:keepLines w:val="0"/>
        <w:spacing w:before="0" w:after="16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在本实验条件下，隐藏层宽度从4增加到256会持续提高MNIST测试准确率，但h=64之后的边际收益很小。若希望将相对h=256的平均准确率损失控制在0.5个百分点内，h=64是已测试候选中的最小宽度，并可减少75%的参数与MACs；若容许约1个百分点损失，h=32可将资源量降低87.5%。真实CPU延迟的改善远小于理论计算量下降，说明高质量的轻量化结论必须同时包含准确率、资源量和目标硬件延迟。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因此，这项工作可以视为一个已经闭环的可复现实证研究：问题明确、训练和评估协议固定、原始数据完整、跨种子结果可汇总、资源与延迟指标可复查。它适合作为课程项目、技术博客或后续动态宽度研究的基线；若要投稿为研究论文，则仍需更强任务、更广硬件、更严格统计检验以及方法层面的新贡献。</w:t>
      </w:r>
    </w:p>
    <w:p>
      <w:pPr>
        <w:pStyle w:val="Heading1"/>
        <w:keepNext/>
        <w:keepLines/>
      </w:pPr>
      <w:r>
        <w:t>8 复现实验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仓库提供环境检查、单次训练、批量宽度实验、准确率分析、CPU延迟基准和综合权衡分析。完整复现流程如下：</w:t>
      </w:r>
    </w:p>
    <w:p>
      <w:pPr>
        <w:spacing w:after="40"/>
        <w:ind w:left="360"/>
      </w:pPr>
      <w:r>
        <w:rPr>
          <w:rFonts w:ascii="DejaVu Sans Mono" w:hAnsi="DejaVu Sans Mono" w:eastAsia="Noto Serif CJK SC"/>
          <w:color w:val="000000"/>
          <w:sz w:val="18"/>
        </w:rPr>
        <w:t>conda env create -f environment.yml</w:t>
      </w:r>
    </w:p>
    <w:p>
      <w:pPr>
        <w:spacing w:after="40"/>
        <w:ind w:left="360"/>
      </w:pPr>
      <w:r>
        <w:rPr>
          <w:rFonts w:ascii="DejaVu Sans Mono" w:hAnsi="DejaVu Sans Mono" w:eastAsia="Noto Serif CJK SC"/>
          <w:color w:val="000000"/>
          <w:sz w:val="18"/>
        </w:rPr>
        <w:t>conda activate mnist-study</w:t>
      </w:r>
    </w:p>
    <w:p>
      <w:pPr>
        <w:spacing w:after="40"/>
        <w:ind w:left="360"/>
      </w:pPr>
      <w:r>
        <w:rPr>
          <w:rFonts w:ascii="DejaVu Sans Mono" w:hAnsi="DejaVu Sans Mono" w:eastAsia="Noto Serif CJK SC"/>
          <w:color w:val="000000"/>
          <w:sz w:val="18"/>
        </w:rPr>
        <w:t>bash scripts/reproduce.sh</w:t>
      </w:r>
    </w:p>
    <w:p>
      <w:pPr>
        <w:keepLines w:val="0"/>
        <w:spacing w:before="0" w:after="100" w:lineRule="auto" w:line="324"/>
        <w:ind w:firstLine="440"/>
        <w:jc w:val="both"/>
      </w:pPr>
      <w:r>
        <w:rPr>
          <w:rFonts w:ascii="Times New Roman" w:hAnsi="Times New Roman" w:cs="Times New Roman" w:eastAsia="Noto Serif CJK SC"/>
          <w:color w:val="000000"/>
        </w:rPr>
        <w:t>仓库已包含本报告使用的原始CSV、汇总CSV与图像，读者即使不重新训练，也可直接运行analyze.py与analyze_tradeoff.py复核统计结果和绘图。</w:t>
      </w:r>
    </w:p>
    <w:p>
      <w:pPr>
        <w:pStyle w:val="Heading1"/>
        <w:keepNext/>
        <w:keepLines/>
      </w:pPr>
      <w:r>
        <w:t>参考文献</w:t>
      </w:r>
    </w:p>
    <w:p>
      <w:pPr>
        <w:keepLines w:val="0"/>
        <w:spacing w:before="0" w:after="80" w:lineRule="auto" w:line="324"/>
        <w:ind w:left="259" w:hanging="259"/>
        <w:jc w:val="both"/>
      </w:pPr>
      <w:r>
        <w:rPr>
          <w:rFonts w:ascii="Times New Roman" w:hAnsi="Times New Roman" w:cs="Times New Roman" w:eastAsia="Noto Serif CJK SC"/>
          <w:color w:val="000000"/>
        </w:rPr>
        <w:t>[1] LeCun Y, Bottou L, Bengio Y, Haffner P. Gradient-based learning applied to document recognition. Proceedings of the IEEE, 1998, 86(11): 2278–2324.</w:t>
      </w:r>
    </w:p>
    <w:p>
      <w:pPr>
        <w:keepLines w:val="0"/>
        <w:spacing w:before="0" w:after="80" w:lineRule="auto" w:line="324"/>
        <w:ind w:left="259" w:hanging="259"/>
        <w:jc w:val="both"/>
      </w:pPr>
      <w:r>
        <w:rPr>
          <w:rFonts w:ascii="Times New Roman" w:hAnsi="Times New Roman" w:cs="Times New Roman" w:eastAsia="Noto Serif CJK SC"/>
          <w:color w:val="000000"/>
        </w:rPr>
        <w:t>[2] Paszke A, Gross S, Massa F, et al. PyTorch: An imperative style, high-performance deep learning library. Advances in Neural Information Processing Systems, 2019, 32.</w:t>
      </w:r>
    </w:p>
    <w:sectPr w:rsidR="00FC693F" w:rsidRPr="0006063C" w:rsidSect="00034616">
      <w:footerReference w:type="default" r:id="rId9"/>
      <w:pgSz w:w="11906" w:h="16838"/>
      <w:pgMar w:top="1247" w:right="1134" w:bottom="1134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Noto Serif CJK SC"/>
        <w:color w:val="000000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Times New Roman" w:hAnsi="Times New Roman" w:eastAsia="Noto Sans CJK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Noto Serif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Noto Serif CJK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Noto Serif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