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 mc:Ignorable="w14 w15 w16se w16cid w16 w16cex w16sdtdh wp14">
  <w:body>
    <w:p w14:paraId="16E38AED">
      <w:pPr>
        <w:spacing w:after="200" w:line="276" w:lineRule="auto"/>
      </w:pPr>
    </w:p>
    <w:p w14:paraId="76797730">
      <w:pPr>
        <w:spacing w:after="200" w:line="276" w:lineRule="auto"/>
      </w:pPr>
    </w:p>
    <w:p w14:paraId="3B9EEEC6">
      <w:pPr>
        <w:pStyle w:val="Title"/>
        <w:jc w:val="center"/>
      </w:pPr>
      <w:r>
        <w:rPr>
          <w:rFonts w:ascii="Times New Roman" w:hAnsi="Times New Roman" w:eastAsia="黑体" w:cs="Times New Roman"/>
          <w:color w:val="17365D" w:themeColor="text2" w:themeShade="BF"/>
          <w:spacing w:val="5"/>
          <w:kern w:val="28"/>
          <w:sz w:val="52"/>
          <w:szCs w:val="52"/>
        </w:rPr>
        <w:t>基于图像与文本多模态融合的细粒度鸟类分类实验报告</w:t>
      </w:r>
    </w:p>
    <w:p w14:paraId="4FE98903">
      <w:pPr>
        <w:spacing w:after="200" w:line="276" w:lineRule="auto"/>
      </w:pPr>
      <w:r>
        <w:rPr>
          <w:rFonts w:ascii="Times New Roman" w:hAnsi="Times New Roman" w:eastAsia="宋体" w:cs="Times New Roman"/>
          <w:sz w:val="22"/>
          <w:szCs w:val="22"/>
        </w:rPr>
        <w:t xml:space="preserve">实验日期：2026-10-13    实验环境：CPU（24 线程），PyTorch 2.4.1，Python 3.8</w:t>
      </w:r>
    </w:p>
    <w:p w14:paraId="4257A66B">
      <w:pPr>
        <w:pStyle w:val="Heading1"/>
      </w:pPr>
      <w:r>
        <w:rPr>
          <w:rFonts w:ascii="Times New Roman" w:hAnsi="Times New Roman" w:eastAsia="黑体" w:cs="Times New Roman"/>
          <w:b/>
          <w:bCs/>
          <w:color w:val="000000"/>
          <w:sz w:val="28"/>
          <w:szCs w:val="28"/>
        </w:rPr>
        <w:t>一、实验目的</w:t>
      </w:r>
    </w:p>
    <w:p w14:paraId="070DF915">
      <w:pPr>
        <w:spacing w:after="200" w:line="276" w:lineRule="auto"/>
      </w:pPr>
      <w:r>
        <w:rPr>
          <w:rFonts w:ascii="Times New Roman" w:hAnsi="Times New Roman" w:eastAsia="宋体" w:cs="Times New Roman"/>
          <w:sz w:val="22"/>
          <w:szCs w:val="22"/>
        </w:rPr>
        <w:t>本实验在 CUB-200 鸟类数据集子集（100 类）上，分别构建图像单模态、文本单模态基线模型，并在此基础上实现早融合（Early Fusion）、晚融合（Late Fusion）、注意力融合（Attention Fusion）三种图文多模态融合策略，比较五种方法在 100 类细粒度鸟类分类任务上的性能差异，分析不同模态的贡献以及融合方式对分类效果的影响。</w:t>
      </w:r>
    </w:p>
    <w:p w14:paraId="1F97FCB5">
      <w:pPr>
        <w:pStyle w:val="Heading1"/>
      </w:pPr>
      <w:r>
        <w:rPr>
          <w:rFonts w:ascii="Times New Roman" w:hAnsi="Times New Roman" w:eastAsia="黑体" w:cs="Times New Roman"/>
          <w:b/>
          <w:bCs/>
          <w:color w:val="000000"/>
          <w:sz w:val="28"/>
          <w:szCs w:val="28"/>
        </w:rPr>
        <w:t>二、数据集</w:t>
      </w:r>
    </w:p>
    <w:p w14:paraId="0C05BD29">
      <w:pPr>
        <w:spacing w:after="200" w:line="276" w:lineRule="auto"/>
      </w:pPr>
      <w:r>
        <w:rPr>
          <w:rFonts w:ascii="Times New Roman" w:hAnsi="Times New Roman" w:eastAsia="宋体" w:cs="Times New Roman"/>
          <w:sz w:val="22"/>
          <w:szCs w:val="22"/>
        </w:rPr>
        <w:t>数据集为 CUB-200-2011 的子集，共 100 个鸟类类别，5 871 张图像。每张图像配有 10 条英文描述文本（caption），描述鸟的羽色、喙形、翅膀等外观特征。</w:t>
      </w:r>
    </w:p>
    <w:p w14:paraId="6BD5DFEF">
      <w:pPr>
        <w:spacing w:after="200" w:line="276" w:lineRule="auto"/>
      </w:pPr>
      <w:r>
        <w:rPr>
          <w:rFonts w:ascii="Times New Roman" w:hAnsi="Times New Roman" w:eastAsia="宋体" w:cs="Times New Roman"/>
          <w:sz w:val="22"/>
          <w:szCs w:val="22"/>
        </w:rPr>
        <w:t>数据预处理：对每张图像读取其对应的 caption 文件（其中 7 张图像缺少文本标注，已剔除），最终保留 5 864 个有效样本。按类别分层随机划分为训练集 / 验证集 / 测试集 = 70% / 15% / 15%，随机种子固定为 42，得到训练集 4 093 条、验证集 858 条、测试集 913 条。</w:t>
      </w:r>
    </w:p>
    <w:p w14:paraId="524C836A">
      <w:pPr>
        <w:spacing w:after="200" w:line="276" w:lineRule="auto"/>
      </w:pPr>
      <w:r>
        <w:rPr>
          <w:rFonts w:ascii="Times New Roman" w:hAnsi="Times New Roman" w:eastAsia="宋体" w:cs="Times New Roman"/>
          <w:sz w:val="22"/>
          <w:szCs w:val="22"/>
        </w:rPr>
        <w:t>图像预处理：训练阶段采用 RandomResizedCrop(224) + 随机水平翻转进行数据增强；验证与测试阶段采用 Resize(256) + CenterCrop(224)；均使用 ImageNet 均值方差标准化。文本预处理：使用 BERT tokenizer 分词，最大长度 64，训练时从 10 条 caption 中随机采样一条。</w:t>
      </w:r>
    </w:p>
    <w:p w14:paraId="2D744529">
      <w:pPr>
        <w:pStyle w:val="Heading1"/>
      </w:pPr>
      <w:r>
        <w:rPr>
          <w:rFonts w:ascii="Times New Roman" w:hAnsi="Times New Roman" w:eastAsia="黑体" w:cs="Times New Roman"/>
          <w:b/>
          <w:bCs/>
          <w:color w:val="000000"/>
          <w:sz w:val="28"/>
          <w:szCs w:val="28"/>
        </w:rPr>
        <w:t>三、模型与方法</w:t>
      </w:r>
    </w:p>
    <w:p w14:paraId="6A0B1329">
      <w:pPr>
        <w:pStyle w:val="Heading2"/>
      </w:pPr>
      <w:r>
        <w:rPr>
          <w:rFonts w:ascii="Times New Roman" w:hAnsi="Times New Roman" w:eastAsia="黑体" w:cs="Times New Roman"/>
          <w:b/>
          <w:bCs/>
          <w:color w:val="000000"/>
          <w:sz w:val="26"/>
          <w:szCs w:val="26"/>
        </w:rPr>
        <w:t>3.1 图像单模态基线</w:t>
      </w:r>
    </w:p>
    <w:p w14:paraId="3CDFF1F6">
      <w:pPr>
        <w:spacing w:after="200" w:line="276" w:lineRule="auto"/>
      </w:pPr>
      <w:r>
        <w:rPr>
          <w:rFonts w:ascii="Times New Roman" w:hAnsi="Times New Roman" w:eastAsia="宋体" w:cs="Times New Roman"/>
          <w:sz w:val="22"/>
          <w:szCs w:val="22"/>
        </w:rPr>
        <w:t>采用 ImageNet 预训练的 ResNet18 作为骨干网络，将原 1000 类全连接层替换为 100 类分类头，在训练集上进行端到端微调。优化器 AdamW（lr=1e-4，weight_decay=1e-4），batch_size=16，训练 12 轮；每轮在验证集上评估，保存验证准确率最高的模型用于测试。</w:t>
      </w:r>
    </w:p>
    <w:p w14:paraId="4C153734">
      <w:pPr>
        <w:pStyle w:val="Heading2"/>
      </w:pPr>
      <w:r>
        <w:rPr>
          <w:rFonts w:ascii="Times New Roman" w:hAnsi="Times New Roman" w:eastAsia="黑体" w:cs="Times New Roman"/>
          <w:b/>
          <w:bCs/>
          <w:color w:val="000000"/>
          <w:sz w:val="26"/>
          <w:szCs w:val="26"/>
        </w:rPr>
        <w:t>3.2 文本单模态基线</w:t>
      </w:r>
    </w:p>
    <w:p w14:paraId="20CB8F9F">
      <w:pPr>
        <w:spacing w:after="200" w:line="276" w:lineRule="auto"/>
      </w:pPr>
      <w:r>
        <w:rPr>
          <w:rFonts w:ascii="Times New Roman" w:hAnsi="Times New Roman" w:eastAsia="宋体" w:cs="Times New Roman"/>
          <w:sz w:val="22"/>
          <w:szCs w:val="22"/>
        </w:rPr>
        <w:t>采用预训练 BERT (bert-base-uncased) 作为文本编码器，对最后一层隐藏状态按 attention_mask 做掩码平均池化（masked mean pooling）得到句子向量，再接线性层输出 100 类 logits。优化器 AdamW（lr=2e-5），batch_size=16，训练 10 轮。</w:t>
      </w:r>
    </w:p>
    <w:p w14:paraId="7D924C21">
      <w:pPr>
        <w:pStyle w:val="Heading2"/>
      </w:pPr>
      <w:r>
        <w:rPr>
          <w:rFonts w:ascii="Times New Roman" w:hAnsi="Times New Roman" w:eastAsia="黑体" w:cs="Times New Roman"/>
          <w:b/>
          <w:bCs/>
          <w:color w:val="000000"/>
          <w:sz w:val="26"/>
          <w:szCs w:val="26"/>
        </w:rPr>
        <w:t>3.3 多模态融合模型</w:t>
      </w:r>
    </w:p>
    <w:p w14:paraId="44B2DB33">
      <w:pPr>
        <w:spacing w:after="200" w:line="276" w:lineRule="auto"/>
      </w:pPr>
      <w:r>
        <w:rPr>
          <w:rFonts w:ascii="Times New Roman" w:hAnsi="Times New Roman" w:eastAsia="宋体" w:cs="Times New Roman"/>
          <w:sz w:val="22"/>
          <w:szCs w:val="22"/>
        </w:rPr>
        <w:t>三种融合模型共用相同的编码器：图像侧为 ResNet18（去除 avgpool 与 fc），文本侧为 BERT；两路特征均通过投影层映射到统一的 256 维空间。考虑 CPU 训练资源，编码器主干参数冻结，仅训练投影层、融合层与分类头（可训练参数约 0.5–0.7M，总参数约 121M）。优化器 AdamW（lr=1e-3），batch_size=16，训练 10 轮。</w:t>
      </w:r>
    </w:p>
    <w:p w14:paraId="2F85402C">
      <w:pPr>
        <w:spacing w:after="200" w:line="276" w:lineRule="auto"/>
      </w:pPr>
      <w:r>
        <w:rPr>
          <w:rFonts w:ascii="Times New Roman" w:hAnsi="Times New Roman" w:eastAsia="宋体" w:cs="Times New Roman"/>
          <w:sz w:val="22"/>
          <w:szCs w:val="22"/>
        </w:rPr>
        <w:t>（1）早融合（Early Fusion）：将图像全局特征向量与文本特征向量直接拼接（512 维），送入两层 MLP 分类器。属于特征级融合，融合发生在决策之前。</w:t>
      </w:r>
    </w:p>
    <w:p w14:paraId="2412789E">
      <w:pPr>
        <w:spacing w:after="200" w:line="276" w:lineRule="auto"/>
      </w:pPr>
      <w:r>
        <w:rPr>
          <w:rFonts w:ascii="Times New Roman" w:hAnsi="Times New Roman" w:eastAsia="宋体" w:cs="Times New Roman"/>
          <w:sz w:val="22"/>
          <w:szCs w:val="22"/>
        </w:rPr>
        <w:t>（2）晚融合（Late Fusion）：图像、文本两路各自经过独立的 MLP 分类头得到 100 维 logits，将两路 logits 相加作为最终输出。属于决策级融合，两模态独立预测后再合并。</w:t>
      </w:r>
    </w:p>
    <w:p w14:paraId="5F3B93A8">
      <w:pPr>
        <w:spacing w:after="200" w:line="276" w:lineRule="auto"/>
      </w:pPr>
      <w:r>
        <w:rPr>
          <w:rFonts w:ascii="Times New Roman" w:hAnsi="Times New Roman" w:eastAsia="宋体" w:cs="Times New Roman"/>
          <w:sz w:val="22"/>
          <w:szCs w:val="22"/>
        </w:rPr>
        <w:t>（3）注意力融合（Attention Fusion）：将图像 ResNet 输出的 7×7 特征图展平为 49 个空间 token，以文本向量作为 query、49 个图像 token 作为 key/value 进行单头跨模态注意力（4 heads），再经残差连接 + LayerNorm 后接 MLP 分类。该方式让文本特征能够“查询”图像中最相关的空间区域，属于更细粒度的特征交互。</w:t>
      </w:r>
    </w:p>
    <w:p w14:paraId="795F9103">
      <w:pPr>
        <w:pStyle w:val="Heading1"/>
      </w:pPr>
      <w:r>
        <w:rPr>
          <w:rFonts w:ascii="Times New Roman" w:hAnsi="Times New Roman" w:eastAsia="黑体" w:cs="Times New Roman"/>
          <w:b/>
          <w:bCs/>
          <w:color w:val="000000"/>
          <w:sz w:val="28"/>
          <w:szCs w:val="28"/>
        </w:rPr>
        <w:t>四、实验结果</w:t>
      </w:r>
    </w:p>
    <w:p w14:paraId="7F8D2AB2">
      <w:pPr>
        <w:spacing w:after="200" w:line="276" w:lineRule="auto"/>
      </w:pPr>
      <w:r>
        <w:rPr>
          <w:rFonts w:ascii="Times New Roman" w:hAnsi="Times New Roman" w:eastAsia="宋体" w:cs="Times New Roman"/>
          <w:sz w:val="22"/>
          <w:szCs w:val="22"/>
        </w:rPr>
        <w:t>五种模型在测试集（913 张）上的整体指标如下表（精确率 / 召回率 / F1 均为宏平均）：</w:t>
      </w:r>
    </w:p>
    <w:tbl>
      <w:tblPr>
        <w:tblStyle w:val="LightGrid-Accent1"/>
        <w:tblW w:w="0" w:type="auto"/>
        <w:jc w:val="center"/>
        <w:tbl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blBorders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w="1440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  <w:insideH w:val="nil"/>
              <w:insideV w:val="single" w:sz="8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64B174">
            <w:pPr>
              <w:spacing w:after="200" w:line="276" w:lineRule="auto"/>
            </w:pPr>
            <w:r/>
            <w:r>
              <w:rPr>
                <w:rFonts w:ascii="Times New Roman" w:hAnsi="Times New Roman" w:eastAsia="黑体" w:cs="Times New Roman"/>
                <w:b/>
                <w:bCs/>
                <w:sz w:val="22"/>
                <w:szCs w:val="22"/>
              </w:rPr>
              <w:t>模型</w:t>
            </w:r>
          </w:p>
        </w:tc>
        <w:tc>
          <w:tcPr>
            <w:tcW w:w="1440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  <w:insideH w:val="nil"/>
              <w:insideV w:val="single" w:sz="8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2211CB">
            <w:pPr>
              <w:spacing w:after="200" w:line="276" w:lineRule="auto"/>
            </w:pPr>
            <w:r/>
            <w:r>
              <w:rPr>
                <w:rFonts w:ascii="Times New Roman" w:hAnsi="Times New Roman" w:eastAsia="黑体" w:cs="Times New Roman"/>
                <w:b/>
                <w:bCs/>
                <w:sz w:val="22"/>
                <w:szCs w:val="22"/>
              </w:rPr>
              <w:t>best_val_acc</w:t>
            </w:r>
          </w:p>
        </w:tc>
        <w:tc>
          <w:tcPr>
            <w:tcW w:w="1440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  <w:insideH w:val="nil"/>
              <w:insideV w:val="single" w:sz="8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4C68E5">
            <w:pPr>
              <w:spacing w:after="200" w:line="276" w:lineRule="auto"/>
            </w:pPr>
            <w:r/>
            <w:r>
              <w:rPr>
                <w:rFonts w:ascii="Times New Roman" w:hAnsi="Times New Roman" w:eastAsia="黑体" w:cs="Times New Roman"/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1440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  <w:insideH w:val="nil"/>
              <w:insideV w:val="single" w:sz="8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CE7D26">
            <w:pPr>
              <w:spacing w:after="200" w:line="276" w:lineRule="auto"/>
            </w:pPr>
            <w:r/>
            <w:r>
              <w:rPr>
                <w:rFonts w:ascii="Times New Roman" w:hAnsi="Times New Roman" w:eastAsia="黑体" w:cs="Times New Roman"/>
                <w:b/>
                <w:bCs/>
                <w:sz w:val="22"/>
                <w:szCs w:val="22"/>
              </w:rPr>
              <w:t>Precision</w:t>
            </w:r>
          </w:p>
        </w:tc>
        <w:tc>
          <w:tcPr>
            <w:tcW w:w="1440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  <w:insideH w:val="nil"/>
              <w:insideV w:val="single" w:sz="8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BAE3BD">
            <w:pPr>
              <w:spacing w:after="200" w:line="276" w:lineRule="auto"/>
            </w:pPr>
            <w:r/>
            <w:r>
              <w:rPr>
                <w:rFonts w:ascii="Times New Roman" w:hAnsi="Times New Roman" w:eastAsia="黑体" w:cs="Times New Roman"/>
                <w:b/>
                <w:bCs/>
                <w:sz w:val="22"/>
                <w:szCs w:val="22"/>
              </w:rPr>
              <w:t>Recall</w:t>
            </w:r>
          </w:p>
        </w:tc>
        <w:tc>
          <w:tcPr>
            <w:tcW w:w="1440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  <w:insideH w:val="nil"/>
              <w:insideV w:val="single" w:sz="8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9558B6">
            <w:pPr>
              <w:spacing w:after="200" w:line="276" w:lineRule="auto"/>
            </w:pPr>
            <w:r/>
            <w:r>
              <w:rPr>
                <w:rFonts w:ascii="Times New Roman" w:hAnsi="Times New Roman" w:eastAsia="黑体" w:cs="Times New Roman"/>
                <w:b/>
                <w:bCs/>
                <w:sz w:val="22"/>
                <w:szCs w:val="22"/>
              </w:rPr>
              <w:t>F1</w:t>
            </w:r>
          </w:p>
        </w:tc>
      </w:tr>
      <w:tr>
        <w:tc>
          <w:tcPr>
            <w:tcW w:w="14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  <w:insideV w:val="single" w:sz="8" w:space="0" w:color="4F81BD"/>
            </w:tcBorders>
            <w:shd w:val="clear" w:fill="D4E0E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3FE375">
            <w:pPr>
              <w:spacing w:after="200" w:line="276" w:lineRule="auto"/>
            </w:pPr>
            <w:r/>
            <w:r>
              <w:rPr>
                <w:rFonts w:ascii="Times New Roman" w:hAnsi="Times New Roman" w:eastAsia="宋体" w:cs="Times New Roman"/>
                <w:b/>
                <w:bCs/>
                <w:sz w:val="22"/>
                <w:szCs w:val="22"/>
              </w:rPr>
              <w:t>图像单模态 (ResNet18 微调)</w:t>
            </w:r>
          </w:p>
        </w:tc>
        <w:tc>
          <w:tcPr>
            <w:tcW w:w="14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  <w:insideV w:val="single" w:sz="8" w:space="0" w:color="4F81BD"/>
            </w:tcBorders>
            <w:shd w:val="clear" w:fill="D4E0E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2FEF60">
            <w:pPr>
              <w:spacing w:after="200" w:line="276" w:lineRule="auto"/>
            </w:pPr>
            <w:r/>
            <w:r>
              <w:rPr>
                <w:rFonts w:ascii="Times New Roman" w:hAnsi="Times New Roman" w:eastAsia="宋体" w:cs="Times New Roman"/>
                <w:sz w:val="22"/>
                <w:szCs w:val="22"/>
              </w:rPr>
              <w:t>0.8019</w:t>
            </w:r>
          </w:p>
        </w:tc>
        <w:tc>
          <w:tcPr>
            <w:tcW w:w="14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  <w:insideV w:val="single" w:sz="8" w:space="0" w:color="4F81BD"/>
            </w:tcBorders>
            <w:shd w:val="clear" w:fill="D4E0E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64393E">
            <w:pPr>
              <w:spacing w:after="200" w:line="276" w:lineRule="auto"/>
            </w:pPr>
            <w:r/>
            <w:r>
              <w:rPr>
                <w:rFonts w:ascii="Times New Roman" w:hAnsi="Times New Roman" w:eastAsia="宋体" w:cs="Times New Roman"/>
                <w:sz w:val="22"/>
                <w:szCs w:val="22"/>
              </w:rPr>
              <w:t>0.7908</w:t>
            </w:r>
          </w:p>
        </w:tc>
        <w:tc>
          <w:tcPr>
            <w:tcW w:w="14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  <w:insideV w:val="single" w:sz="8" w:space="0" w:color="4F81BD"/>
            </w:tcBorders>
            <w:shd w:val="clear" w:fill="D4E0E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747DA7">
            <w:pPr>
              <w:spacing w:after="200" w:line="276" w:lineRule="auto"/>
            </w:pPr>
            <w:r/>
            <w:r>
              <w:rPr>
                <w:rFonts w:ascii="Times New Roman" w:hAnsi="Times New Roman" w:eastAsia="宋体" w:cs="Times New Roman"/>
                <w:sz w:val="22"/>
                <w:szCs w:val="22"/>
              </w:rPr>
              <w:t>0.8114</w:t>
            </w:r>
          </w:p>
        </w:tc>
        <w:tc>
          <w:tcPr>
            <w:tcW w:w="14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  <w:insideV w:val="single" w:sz="8" w:space="0" w:color="4F81BD"/>
            </w:tcBorders>
            <w:shd w:val="clear" w:fill="D4E0E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317093">
            <w:pPr>
              <w:spacing w:after="200" w:line="276" w:lineRule="auto"/>
            </w:pPr>
            <w:r/>
            <w:r>
              <w:rPr>
                <w:rFonts w:ascii="Times New Roman" w:hAnsi="Times New Roman" w:eastAsia="宋体" w:cs="Times New Roman"/>
                <w:sz w:val="22"/>
                <w:szCs w:val="22"/>
              </w:rPr>
              <w:t>0.7915</w:t>
            </w:r>
          </w:p>
        </w:tc>
        <w:tc>
          <w:tcPr>
            <w:tcW w:w="14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  <w:insideV w:val="single" w:sz="8" w:space="0" w:color="4F81BD"/>
            </w:tcBorders>
            <w:shd w:val="clear" w:fill="D4E0E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E5539A">
            <w:pPr>
              <w:spacing w:after="200" w:line="276" w:lineRule="auto"/>
            </w:pPr>
            <w:r/>
            <w:r>
              <w:rPr>
                <w:rFonts w:ascii="Times New Roman" w:hAnsi="Times New Roman" w:eastAsia="宋体" w:cs="Times New Roman"/>
                <w:sz w:val="22"/>
                <w:szCs w:val="22"/>
              </w:rPr>
              <w:t>0.7913</w:t>
            </w:r>
          </w:p>
        </w:tc>
      </w:tr>
      <w:tr>
        <w:tc>
          <w:tcPr>
            <w:tcW w:w="14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  <w:insideV w:val="single" w:sz="8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4B9D12">
            <w:pPr>
              <w:spacing w:after="200" w:line="276" w:lineRule="auto"/>
            </w:pPr>
            <w:r/>
            <w:r>
              <w:rPr>
                <w:rFonts w:ascii="Times New Roman" w:hAnsi="Times New Roman" w:eastAsia="宋体" w:cs="Times New Roman"/>
                <w:b/>
                <w:bCs/>
                <w:sz w:val="22"/>
                <w:szCs w:val="22"/>
              </w:rPr>
              <w:t>文本单模态 (BERT 微调)</w:t>
            </w:r>
          </w:p>
        </w:tc>
        <w:tc>
          <w:tcPr>
            <w:tcW w:w="14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  <w:insideV w:val="single" w:sz="8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3E0B78">
            <w:pPr>
              <w:spacing w:after="200" w:line="276" w:lineRule="auto"/>
            </w:pPr>
            <w:r/>
            <w:r>
              <w:rPr>
                <w:rFonts w:ascii="Times New Roman" w:hAnsi="Times New Roman" w:eastAsia="宋体" w:cs="Times New Roman"/>
                <w:sz w:val="22"/>
                <w:szCs w:val="22"/>
              </w:rPr>
              <w:t>—</w:t>
            </w:r>
          </w:p>
        </w:tc>
        <w:tc>
          <w:tcPr>
            <w:tcW w:w="14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  <w:insideV w:val="single" w:sz="8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9866F1">
            <w:pPr>
              <w:spacing w:after="200" w:line="276" w:lineRule="auto"/>
            </w:pPr>
            <w:r/>
            <w:r>
              <w:rPr>
                <w:rFonts w:ascii="Times New Roman" w:hAnsi="Times New Roman" w:eastAsia="宋体" w:cs="Times New Roman"/>
                <w:sz w:val="22"/>
                <w:szCs w:val="22"/>
              </w:rPr>
              <w:t>0.3516</w:t>
            </w:r>
          </w:p>
        </w:tc>
        <w:tc>
          <w:tcPr>
            <w:tcW w:w="14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  <w:insideV w:val="single" w:sz="8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D900F2">
            <w:pPr>
              <w:spacing w:after="200" w:line="276" w:lineRule="auto"/>
            </w:pPr>
            <w:r/>
            <w:r>
              <w:rPr>
                <w:rFonts w:ascii="Times New Roman" w:hAnsi="Times New Roman" w:eastAsia="宋体" w:cs="Times New Roman"/>
                <w:sz w:val="22"/>
                <w:szCs w:val="22"/>
              </w:rPr>
              <w:t>0.3495</w:t>
            </w:r>
          </w:p>
        </w:tc>
        <w:tc>
          <w:tcPr>
            <w:tcW w:w="14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  <w:insideV w:val="single" w:sz="8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0790E0">
            <w:pPr>
              <w:spacing w:after="200" w:line="276" w:lineRule="auto"/>
            </w:pPr>
            <w:r/>
            <w:r>
              <w:rPr>
                <w:rFonts w:ascii="Times New Roman" w:hAnsi="Times New Roman" w:eastAsia="宋体" w:cs="Times New Roman"/>
                <w:sz w:val="22"/>
                <w:szCs w:val="22"/>
              </w:rPr>
              <w:t>0.3505</w:t>
            </w:r>
          </w:p>
        </w:tc>
        <w:tc>
          <w:tcPr>
            <w:tcW w:w="14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  <w:insideV w:val="single" w:sz="8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8D666E">
            <w:pPr>
              <w:spacing w:after="200" w:line="276" w:lineRule="auto"/>
            </w:pPr>
            <w:r/>
            <w:r>
              <w:rPr>
                <w:rFonts w:ascii="Times New Roman" w:hAnsi="Times New Roman" w:eastAsia="宋体" w:cs="Times New Roman"/>
                <w:sz w:val="22"/>
                <w:szCs w:val="22"/>
              </w:rPr>
              <w:t>0.3281</w:t>
            </w:r>
          </w:p>
        </w:tc>
      </w:tr>
      <w:tr>
        <w:tc>
          <w:tcPr>
            <w:tcW w:w="14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  <w:insideV w:val="single" w:sz="8" w:space="0" w:color="4F81BD"/>
            </w:tcBorders>
            <w:shd w:val="clear" w:fill="D4E0E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0FEFE6">
            <w:pPr>
              <w:spacing w:after="200" w:line="276" w:lineRule="auto"/>
            </w:pPr>
            <w:r/>
            <w:r>
              <w:rPr>
                <w:rFonts w:ascii="Times New Roman" w:hAnsi="Times New Roman" w:eastAsia="宋体" w:cs="Times New Roman"/>
                <w:b/>
                <w:bCs/>
                <w:sz w:val="22"/>
                <w:szCs w:val="22"/>
              </w:rPr>
              <w:t>多模态·早融合 (Early)</w:t>
            </w:r>
          </w:p>
        </w:tc>
        <w:tc>
          <w:tcPr>
            <w:tcW w:w="14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  <w:insideV w:val="single" w:sz="8" w:space="0" w:color="4F81BD"/>
            </w:tcBorders>
            <w:shd w:val="clear" w:fill="D4E0E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CA2C4E">
            <w:pPr>
              <w:spacing w:after="200" w:line="276" w:lineRule="auto"/>
            </w:pPr>
            <w:r/>
            <w:r>
              <w:rPr>
                <w:rFonts w:ascii="Times New Roman" w:hAnsi="Times New Roman" w:eastAsia="宋体" w:cs="Times New Roman"/>
                <w:sz w:val="22"/>
                <w:szCs w:val="22"/>
              </w:rPr>
              <w:t>0.6690</w:t>
            </w:r>
          </w:p>
        </w:tc>
        <w:tc>
          <w:tcPr>
            <w:tcW w:w="14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  <w:insideV w:val="single" w:sz="8" w:space="0" w:color="4F81BD"/>
            </w:tcBorders>
            <w:shd w:val="clear" w:fill="D4E0E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6FA344">
            <w:pPr>
              <w:spacing w:after="200" w:line="276" w:lineRule="auto"/>
            </w:pPr>
            <w:r/>
            <w:r>
              <w:rPr>
                <w:rFonts w:ascii="Times New Roman" w:hAnsi="Times New Roman" w:eastAsia="宋体" w:cs="Times New Roman"/>
                <w:sz w:val="22"/>
                <w:szCs w:val="22"/>
              </w:rPr>
              <w:t>0.6835</w:t>
            </w:r>
          </w:p>
        </w:tc>
        <w:tc>
          <w:tcPr>
            <w:tcW w:w="14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  <w:insideV w:val="single" w:sz="8" w:space="0" w:color="4F81BD"/>
            </w:tcBorders>
            <w:shd w:val="clear" w:fill="D4E0E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9DCEC2">
            <w:pPr>
              <w:spacing w:after="200" w:line="276" w:lineRule="auto"/>
            </w:pPr>
            <w:r/>
            <w:r>
              <w:rPr>
                <w:rFonts w:ascii="Times New Roman" w:hAnsi="Times New Roman" w:eastAsia="宋体" w:cs="Times New Roman"/>
                <w:sz w:val="22"/>
                <w:szCs w:val="22"/>
              </w:rPr>
              <w:t>0.7007</w:t>
            </w:r>
          </w:p>
        </w:tc>
        <w:tc>
          <w:tcPr>
            <w:tcW w:w="14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  <w:insideV w:val="single" w:sz="8" w:space="0" w:color="4F81BD"/>
            </w:tcBorders>
            <w:shd w:val="clear" w:fill="D4E0E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528870">
            <w:pPr>
              <w:spacing w:after="200" w:line="276" w:lineRule="auto"/>
            </w:pPr>
            <w:r/>
            <w:r>
              <w:rPr>
                <w:rFonts w:ascii="Times New Roman" w:hAnsi="Times New Roman" w:eastAsia="宋体" w:cs="Times New Roman"/>
                <w:sz w:val="22"/>
                <w:szCs w:val="22"/>
              </w:rPr>
              <w:t>0.6843</w:t>
            </w:r>
          </w:p>
        </w:tc>
        <w:tc>
          <w:tcPr>
            <w:tcW w:w="14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  <w:insideV w:val="single" w:sz="8" w:space="0" w:color="4F81BD"/>
            </w:tcBorders>
            <w:shd w:val="clear" w:fill="D4E0E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90EE86">
            <w:pPr>
              <w:spacing w:after="200" w:line="276" w:lineRule="auto"/>
            </w:pPr>
            <w:r/>
            <w:r>
              <w:rPr>
                <w:rFonts w:ascii="Times New Roman" w:hAnsi="Times New Roman" w:eastAsia="宋体" w:cs="Times New Roman"/>
                <w:sz w:val="22"/>
                <w:szCs w:val="22"/>
              </w:rPr>
              <w:t>0.6745</w:t>
            </w:r>
          </w:p>
        </w:tc>
      </w:tr>
      <w:tr>
        <w:tc>
          <w:tcPr>
            <w:tcW w:w="14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  <w:insideV w:val="single" w:sz="8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98ED35">
            <w:pPr>
              <w:spacing w:after="200" w:line="276" w:lineRule="auto"/>
            </w:pPr>
            <w:r/>
            <w:r>
              <w:rPr>
                <w:rFonts w:ascii="Times New Roman" w:hAnsi="Times New Roman" w:eastAsia="宋体" w:cs="Times New Roman"/>
                <w:b/>
                <w:bCs/>
                <w:sz w:val="22"/>
                <w:szCs w:val="22"/>
              </w:rPr>
              <w:t>多模态·晚融合 (Late)</w:t>
            </w:r>
          </w:p>
        </w:tc>
        <w:tc>
          <w:tcPr>
            <w:tcW w:w="14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  <w:insideV w:val="single" w:sz="8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30FA37">
            <w:pPr>
              <w:spacing w:after="200" w:line="276" w:lineRule="auto"/>
            </w:pPr>
            <w:r/>
            <w:r>
              <w:rPr>
                <w:rFonts w:ascii="Times New Roman" w:hAnsi="Times New Roman" w:eastAsia="宋体" w:cs="Times New Roman"/>
                <w:sz w:val="22"/>
                <w:szCs w:val="22"/>
              </w:rPr>
              <w:t>0.6620</w:t>
            </w:r>
          </w:p>
        </w:tc>
        <w:tc>
          <w:tcPr>
            <w:tcW w:w="14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  <w:insideV w:val="single" w:sz="8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85AB93">
            <w:pPr>
              <w:spacing w:after="200" w:line="276" w:lineRule="auto"/>
            </w:pPr>
            <w:r/>
            <w:r>
              <w:rPr>
                <w:rFonts w:ascii="Times New Roman" w:hAnsi="Times New Roman" w:eastAsia="宋体" w:cs="Times New Roman"/>
                <w:sz w:val="22"/>
                <w:szCs w:val="22"/>
              </w:rPr>
              <w:t>0.6572</w:t>
            </w:r>
          </w:p>
        </w:tc>
        <w:tc>
          <w:tcPr>
            <w:tcW w:w="14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  <w:insideV w:val="single" w:sz="8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DD719D">
            <w:pPr>
              <w:spacing w:after="200" w:line="276" w:lineRule="auto"/>
            </w:pPr>
            <w:r/>
            <w:r>
              <w:rPr>
                <w:rFonts w:ascii="Times New Roman" w:hAnsi="Times New Roman" w:eastAsia="宋体" w:cs="Times New Roman"/>
                <w:sz w:val="22"/>
                <w:szCs w:val="22"/>
              </w:rPr>
              <w:t>0.6932</w:t>
            </w:r>
          </w:p>
        </w:tc>
        <w:tc>
          <w:tcPr>
            <w:tcW w:w="14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  <w:insideV w:val="single" w:sz="8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574514">
            <w:pPr>
              <w:spacing w:after="200" w:line="276" w:lineRule="auto"/>
            </w:pPr>
            <w:r/>
            <w:r>
              <w:rPr>
                <w:rFonts w:ascii="Times New Roman" w:hAnsi="Times New Roman" w:eastAsia="宋体" w:cs="Times New Roman"/>
                <w:sz w:val="22"/>
                <w:szCs w:val="22"/>
              </w:rPr>
              <w:t>0.6569</w:t>
            </w:r>
          </w:p>
        </w:tc>
        <w:tc>
          <w:tcPr>
            <w:tcW w:w="14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  <w:insideV w:val="single" w:sz="8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009282">
            <w:pPr>
              <w:spacing w:after="200" w:line="276" w:lineRule="auto"/>
            </w:pPr>
            <w:r/>
            <w:r>
              <w:rPr>
                <w:rFonts w:ascii="Times New Roman" w:hAnsi="Times New Roman" w:eastAsia="宋体" w:cs="Times New Roman"/>
                <w:sz w:val="22"/>
                <w:szCs w:val="22"/>
              </w:rPr>
              <w:t>0.6526</w:t>
            </w:r>
          </w:p>
        </w:tc>
      </w:tr>
      <w:tr>
        <w:tc>
          <w:tcPr>
            <w:tcW w:w="14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  <w:insideV w:val="single" w:sz="8" w:space="0" w:color="4F81BD"/>
            </w:tcBorders>
            <w:shd w:val="clear" w:fill="D4E0E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471467">
            <w:pPr>
              <w:spacing w:after="200" w:line="276" w:lineRule="auto"/>
            </w:pPr>
            <w:r/>
            <w:r>
              <w:rPr>
                <w:rFonts w:ascii="Times New Roman" w:hAnsi="Times New Roman" w:eastAsia="宋体" w:cs="Times New Roman"/>
                <w:b/>
                <w:bCs/>
                <w:sz w:val="22"/>
                <w:szCs w:val="22"/>
              </w:rPr>
              <w:t>多模态·注意力融合 (Attention)</w:t>
            </w:r>
          </w:p>
        </w:tc>
        <w:tc>
          <w:tcPr>
            <w:tcW w:w="14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  <w:insideV w:val="single" w:sz="8" w:space="0" w:color="4F81BD"/>
            </w:tcBorders>
            <w:shd w:val="clear" w:fill="D4E0E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3668BA">
            <w:pPr>
              <w:spacing w:after="200" w:line="276" w:lineRule="auto"/>
            </w:pPr>
            <w:r/>
            <w:r>
              <w:rPr>
                <w:rFonts w:ascii="Times New Roman" w:hAnsi="Times New Roman" w:eastAsia="宋体" w:cs="Times New Roman"/>
                <w:sz w:val="22"/>
                <w:szCs w:val="22"/>
              </w:rPr>
              <w:t>0.6608</w:t>
            </w:r>
          </w:p>
        </w:tc>
        <w:tc>
          <w:tcPr>
            <w:tcW w:w="14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  <w:insideV w:val="single" w:sz="8" w:space="0" w:color="4F81BD"/>
            </w:tcBorders>
            <w:shd w:val="clear" w:fill="D4E0E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DD7406">
            <w:pPr>
              <w:spacing w:after="200" w:line="276" w:lineRule="auto"/>
            </w:pPr>
            <w:r/>
            <w:r>
              <w:rPr>
                <w:rFonts w:ascii="Times New Roman" w:hAnsi="Times New Roman" w:eastAsia="宋体" w:cs="Times New Roman"/>
                <w:sz w:val="22"/>
                <w:szCs w:val="22"/>
              </w:rPr>
              <w:t>0.6539</w:t>
            </w:r>
          </w:p>
        </w:tc>
        <w:tc>
          <w:tcPr>
            <w:tcW w:w="14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  <w:insideV w:val="single" w:sz="8" w:space="0" w:color="4F81BD"/>
            </w:tcBorders>
            <w:shd w:val="clear" w:fill="D4E0E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C56E66">
            <w:pPr>
              <w:spacing w:after="200" w:line="276" w:lineRule="auto"/>
            </w:pPr>
            <w:r/>
            <w:r>
              <w:rPr>
                <w:rFonts w:ascii="Times New Roman" w:hAnsi="Times New Roman" w:eastAsia="宋体" w:cs="Times New Roman"/>
                <w:sz w:val="22"/>
                <w:szCs w:val="22"/>
              </w:rPr>
              <w:t>0.6878</w:t>
            </w:r>
          </w:p>
        </w:tc>
        <w:tc>
          <w:tcPr>
            <w:tcW w:w="14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  <w:insideV w:val="single" w:sz="8" w:space="0" w:color="4F81BD"/>
            </w:tcBorders>
            <w:shd w:val="clear" w:fill="D4E0E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930C74">
            <w:pPr>
              <w:spacing w:after="200" w:line="276" w:lineRule="auto"/>
            </w:pPr>
            <w:r/>
            <w:r>
              <w:rPr>
                <w:rFonts w:ascii="Times New Roman" w:hAnsi="Times New Roman" w:eastAsia="宋体" w:cs="Times New Roman"/>
                <w:sz w:val="22"/>
                <w:szCs w:val="22"/>
              </w:rPr>
              <w:t>0.6549</w:t>
            </w:r>
          </w:p>
        </w:tc>
        <w:tc>
          <w:tcPr>
            <w:tcW w:w="14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  <w:insideV w:val="single" w:sz="8" w:space="0" w:color="4F81BD"/>
            </w:tcBorders>
            <w:shd w:val="clear" w:fill="D4E0E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B3AB5C">
            <w:pPr>
              <w:spacing w:after="200" w:line="276" w:lineRule="auto"/>
            </w:pPr>
            <w:r/>
            <w:r>
              <w:rPr>
                <w:rFonts w:ascii="Times New Roman" w:hAnsi="Times New Roman" w:eastAsia="宋体" w:cs="Times New Roman"/>
                <w:sz w:val="22"/>
                <w:szCs w:val="22"/>
              </w:rPr>
              <w:t>0.6456</w:t>
            </w:r>
          </w:p>
        </w:tc>
      </w:tr>
    </w:tbl>
    <w:p w14:paraId="002DBACF">
      <w:pPr>
        <w:spacing w:after="200" w:line="276" w:lineRule="auto"/>
      </w:pPr>
    </w:p>
    <w:p w14:paraId="75AADCD9">
      <w:pPr>
        <w:spacing w:after="200" w:line="276" w:lineRule="auto"/>
      </w:pPr>
      <w:r>
        <w:rPr>
          <w:rFonts w:ascii="Times New Roman" w:hAnsi="Times New Roman" w:eastAsia="宋体" w:cs="Times New Roman"/>
          <w:sz w:val="22"/>
          <w:szCs w:val="22"/>
        </w:rPr>
        <w:t>各模型训练过程中的损失与准确率曲线如下图所示：</w:t>
      </w:r>
    </w:p>
    <w:p w14:paraId="41839067">
      <w:pPr>
        <w:jc w:val="center"/>
      </w:pPr>
      <w:r>
        <w:drawing>
          <wp:inline distT="0" distB="0" distL="0" distR="0">
            <wp:extent cx="5400675" cy="2000250"/>
            <wp:effectExtent l="0" t="0" r="0" b="0"/>
            <wp:docPr id="100000" name="Picture 100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0" name="image10000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1B8F9">
      <w:pPr>
        <w:jc w:val="center"/>
      </w:pPr>
      <w:r>
        <w:rPr>
          <w:rFonts w:ascii="Times New Roman" w:hAnsi="Times New Roman" w:eastAsia="宋体" w:cs="Times New Roman"/>
          <w:sz w:val="22"/>
          <w:szCs w:val="22"/>
        </w:rPr>
        <w:t xml:space="preserve">图 1  训练损失曲线（左）与准确率曲线（右）</w:t>
      </w:r>
    </w:p>
    <w:p w14:paraId="3EBFD36F">
      <w:pPr>
        <w:pStyle w:val="Heading1"/>
      </w:pPr>
      <w:r>
        <w:rPr>
          <w:rFonts w:ascii="Times New Roman" w:hAnsi="Times New Roman" w:eastAsia="黑体" w:cs="Times New Roman"/>
          <w:b/>
          <w:bCs/>
          <w:color w:val="000000"/>
          <w:sz w:val="28"/>
          <w:szCs w:val="28"/>
        </w:rPr>
        <w:t>五、结果分析</w:t>
      </w:r>
    </w:p>
    <w:p w14:paraId="473BD062">
      <w:pPr>
        <w:spacing w:after="200" w:line="276" w:lineRule="auto"/>
      </w:pPr>
      <w:r>
        <w:rPr>
          <w:rFonts w:ascii="Times New Roman" w:hAnsi="Times New Roman" w:eastAsia="宋体" w:cs="Times New Roman"/>
          <w:sz w:val="22"/>
          <w:szCs w:val="22"/>
        </w:rPr>
        <w:t>1. 模态贡献差异显著。图像单模态（Acc=0.791，F1=0.791）大幅领先文本单模态（Acc=0.352，F1=0.328）。细粒度鸟类分类的关键线索是羽色、喙形、斑纹等视觉细节，而 caption 文本粒度较粗，不同类别间的文本描述存在大量重叠词汇，100 类区分能力有限。</w:t>
      </w:r>
    </w:p>
    <w:p w14:paraId="00414DF3">
      <w:pPr>
        <w:spacing w:after="200" w:line="276" w:lineRule="auto"/>
      </w:pPr>
      <w:r>
        <w:rPr>
          <w:rFonts w:ascii="Times New Roman" w:hAnsi="Times New Roman" w:eastAsia="宋体" w:cs="Times New Roman"/>
          <w:sz w:val="22"/>
          <w:szCs w:val="22"/>
        </w:rPr>
        <w:t>2. 融合优于文本、但暂低于纯图像。三种融合模型的 Acc 在 0.65–0.68 之间，较纯文本基线提升约一倍，说明图像特征在融合中起主导作用；但仍低于图像单模态的 0.791。主要原因是融合实验中两个编码器主干均被冻结，仅训练轻量投影层，图像特征未能针对本数据集充分适配；同时弱模态（文本）在特征空间中的噪声会对强模态（图像）产生一定干扰。</w:t>
      </w:r>
    </w:p>
    <w:p w14:paraId="73378E67">
      <w:pPr>
        <w:spacing w:after="200" w:line="276" w:lineRule="auto"/>
      </w:pPr>
      <w:r>
        <w:rPr>
          <w:rFonts w:ascii="Times New Roman" w:hAnsi="Times New Roman" w:eastAsia="宋体" w:cs="Times New Roman"/>
          <w:sz w:val="22"/>
          <w:szCs w:val="22"/>
        </w:rPr>
        <w:t>3. 三种融合方式对比：早融合（0.684）&gt; 晚融合（0.657）≈ 注意力融合（0.654）。在冻结特征的设定下，简单拼接 + MLP 已能充分利用两路特征；注意力机制需要更多可训练参数与数据才能体现优势，在当前冻结主干 + 小数据量的条件下未能超过早融合。</w:t>
      </w:r>
    </w:p>
    <w:p w14:paraId="2B4FA6B0">
      <w:pPr>
        <w:spacing w:after="200" w:line="276" w:lineRule="auto"/>
      </w:pPr>
      <w:r>
        <w:rPr>
          <w:rFonts w:ascii="Times New Roman" w:hAnsi="Times New Roman" w:eastAsia="宋体" w:cs="Times New Roman"/>
          <w:sz w:val="22"/>
          <w:szCs w:val="22"/>
        </w:rPr>
        <w:t>4. 过拟合情况。图像基线在第 12 轮训练准确率达 0.99，而验证准确率为 0.79，存在一定过拟合；融合模型由于主干冻结、可训练参数少，训练/验证差距相对较小。</w:t>
      </w:r>
    </w:p>
    <w:p w14:paraId="6758677D">
      <w:pPr>
        <w:pStyle w:val="Heading1"/>
      </w:pPr>
      <w:r>
        <w:rPr>
          <w:rFonts w:ascii="Times New Roman" w:hAnsi="Times New Roman" w:eastAsia="黑体" w:cs="Times New Roman"/>
          <w:b/>
          <w:bCs/>
          <w:color w:val="000000"/>
          <w:sz w:val="28"/>
          <w:szCs w:val="28"/>
        </w:rPr>
        <w:t>六、结论与展望</w:t>
      </w:r>
    </w:p>
    <w:p w14:paraId="595CA329">
      <w:pPr>
        <w:spacing w:after="200" w:line="276" w:lineRule="auto"/>
      </w:pPr>
      <w:r>
        <w:rPr>
          <w:rFonts w:ascii="Times New Roman" w:hAnsi="Times New Roman" w:eastAsia="宋体" w:cs="Times New Roman"/>
          <w:sz w:val="22"/>
          <w:szCs w:val="22"/>
        </w:rPr>
        <w:t>本实验完成了图像、文本单模态基线与三种多模态融合模型的搭建与训练，验证了在细粒度鸟类分类任务中视觉模态的主导作用，以及多模态融合相对纯文本模态的显著提升。三种融合方式中，早融合以最低的实现复杂度取得了最好的效果。</w:t>
      </w:r>
    </w:p>
    <w:p w14:paraId="023F5878">
      <w:pPr>
        <w:spacing w:after="200" w:line="276" w:lineRule="auto"/>
      </w:pPr>
      <w:r>
        <w:rPr>
          <w:rFonts w:ascii="Times New Roman" w:hAnsi="Times New Roman" w:eastAsia="宋体" w:cs="Times New Roman"/>
          <w:sz w:val="22"/>
          <w:szCs w:val="22"/>
        </w:rPr>
        <w:t>后续改进方向：（1）解冻编码器主干进行端到端微调（需 GPU 支持），融合模型性能有望超过图像单模态；（2）文本侧使用全部 10 条 caption 而非随机单条，或采用 CLIP 等图文对齐的预训练编码器，可增强跨模态语义对齐；（3）引入更多数据增强与正则化手段缓解图像分支的过拟合。</w:t>
      </w:r>
    </w:p>
    <w:p w14:paraId="3A8E42C3">
      <w:pPr>
        <w:pStyle w:val="Heading1"/>
      </w:pPr>
      <w:r>
        <w:rPr>
          <w:rFonts w:ascii="Times New Roman" w:hAnsi="Times New Roman" w:eastAsia="黑体" w:cs="Times New Roman"/>
          <w:b/>
          <w:bCs/>
          <w:color w:val="000000"/>
          <w:sz w:val="28"/>
          <w:szCs w:val="28"/>
        </w:rPr>
        <w:t>附录：代码文件说明</w:t>
      </w:r>
    </w:p>
    <w:tbl>
      <w:tblPr>
        <w:tblStyle w:val="LightGrid-Accent1"/>
        <w:tblW w:w="0" w:type="auto"/>
        <w:tbl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blBorders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4320"/>
        <w:gridCol w:w="4320"/>
      </w:tblGrid>
      <w:tr>
        <w:tc>
          <w:tcPr>
            <w:tcW w:w="4320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  <w:insideH w:val="nil"/>
              <w:insideV w:val="single" w:sz="8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B122CD">
            <w:pPr>
              <w:spacing w:after="200" w:line="276" w:lineRule="auto"/>
            </w:pPr>
            <w:r/>
            <w:r>
              <w:rPr>
                <w:rFonts w:ascii="Times New Roman" w:hAnsi="Times New Roman" w:eastAsia="黑体" w:cs="Times New Roman"/>
                <w:b/>
                <w:bCs/>
                <w:sz w:val="22"/>
                <w:szCs w:val="22"/>
              </w:rPr>
              <w:t>文件</w:t>
            </w:r>
          </w:p>
        </w:tc>
        <w:tc>
          <w:tcPr>
            <w:tcW w:w="4320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  <w:insideH w:val="nil"/>
              <w:insideV w:val="single" w:sz="8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3467B7">
            <w:pPr>
              <w:spacing w:after="200" w:line="276" w:lineRule="auto"/>
            </w:pPr>
            <w:r/>
            <w:r>
              <w:rPr>
                <w:rFonts w:ascii="Times New Roman" w:hAnsi="Times New Roman" w:eastAsia="黑体" w:cs="Times New Roman"/>
                <w:b/>
                <w:bCs/>
                <w:sz w:val="22"/>
                <w:szCs w:val="22"/>
              </w:rPr>
              <w:t>说明</w:t>
            </w:r>
          </w:p>
        </w:tc>
      </w:tr>
      <w:tr>
        <w:tc>
          <w:tcPr>
            <w:tcW w:w="432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  <w:insideV w:val="single" w:sz="8" w:space="0" w:color="4F81BD"/>
            </w:tcBorders>
            <w:shd w:val="clear" w:fill="D4E0E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72856B">
            <w:pPr>
              <w:spacing w:after="200" w:line="276" w:lineRule="auto"/>
            </w:pPr>
            <w:r/>
            <w:r>
              <w:rPr>
                <w:rFonts w:ascii="Times New Roman" w:hAnsi="Times New Roman" w:eastAsia="宋体" w:cs="Times New Roman"/>
                <w:b/>
                <w:bCs/>
                <w:sz w:val="22"/>
                <w:szCs w:val="22"/>
              </w:rPr>
              <w:t>00_prepare_data.py</w:t>
            </w:r>
          </w:p>
        </w:tc>
        <w:tc>
          <w:tcPr>
            <w:tcW w:w="432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  <w:insideV w:val="single" w:sz="8" w:space="0" w:color="4F81BD"/>
            </w:tcBorders>
            <w:shd w:val="clear" w:fill="D4E0E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475835">
            <w:pPr>
              <w:spacing w:after="200" w:line="276" w:lineRule="auto"/>
            </w:pPr>
            <w:r/>
            <w:r>
              <w:rPr>
                <w:rFonts w:ascii="Times New Roman" w:hAnsi="Times New Roman" w:eastAsia="宋体" w:cs="Times New Roman"/>
                <w:sz w:val="22"/>
                <w:szCs w:val="22"/>
              </w:rPr>
              <w:t>数据准备：扫描 raw/ 目录，分层切分并生成 annotations_{train,val,test}.json</w:t>
            </w:r>
          </w:p>
        </w:tc>
      </w:tr>
      <w:tr>
        <w:tc>
          <w:tcPr>
            <w:tcW w:w="432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  <w:insideV w:val="single" w:sz="8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392D07">
            <w:pPr>
              <w:spacing w:after="200" w:line="276" w:lineRule="auto"/>
            </w:pPr>
            <w:r/>
            <w:r>
              <w:rPr>
                <w:rFonts w:ascii="Times New Roman" w:hAnsi="Times New Roman" w:eastAsia="宋体" w:cs="Times New Roman"/>
                <w:b/>
                <w:bCs/>
                <w:sz w:val="22"/>
                <w:szCs w:val="22"/>
              </w:rPr>
              <w:t>01_singleModal_ImageOnly.py</w:t>
            </w:r>
          </w:p>
        </w:tc>
        <w:tc>
          <w:tcPr>
            <w:tcW w:w="432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  <w:insideV w:val="single" w:sz="8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5FF786">
            <w:pPr>
              <w:spacing w:after="200" w:line="276" w:lineRule="auto"/>
            </w:pPr>
            <w:r/>
            <w:r>
              <w:rPr>
                <w:rFonts w:ascii="Times New Roman" w:hAnsi="Times New Roman" w:eastAsia="宋体" w:cs="Times New Roman"/>
                <w:sz w:val="22"/>
                <w:szCs w:val="22"/>
              </w:rPr>
              <w:t>图像单模态基线（ResNet18 微调）</w:t>
            </w:r>
          </w:p>
        </w:tc>
      </w:tr>
      <w:tr>
        <w:tc>
          <w:tcPr>
            <w:tcW w:w="432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  <w:insideV w:val="single" w:sz="8" w:space="0" w:color="4F81BD"/>
            </w:tcBorders>
            <w:shd w:val="clear" w:fill="D4E0E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5FBB1D">
            <w:pPr>
              <w:spacing w:after="200" w:line="276" w:lineRule="auto"/>
            </w:pPr>
            <w:r/>
            <w:r>
              <w:rPr>
                <w:rFonts w:ascii="Times New Roman" w:hAnsi="Times New Roman" w:eastAsia="宋体" w:cs="Times New Roman"/>
                <w:b/>
                <w:bCs/>
                <w:sz w:val="22"/>
                <w:szCs w:val="22"/>
              </w:rPr>
              <w:t>02_singleModal_TextOnly.py</w:t>
            </w:r>
          </w:p>
        </w:tc>
        <w:tc>
          <w:tcPr>
            <w:tcW w:w="432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  <w:insideV w:val="single" w:sz="8" w:space="0" w:color="4F81BD"/>
            </w:tcBorders>
            <w:shd w:val="clear" w:fill="D4E0E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59FB0E">
            <w:pPr>
              <w:spacing w:after="200" w:line="276" w:lineRule="auto"/>
            </w:pPr>
            <w:r/>
            <w:r>
              <w:rPr>
                <w:rFonts w:ascii="Times New Roman" w:hAnsi="Times New Roman" w:eastAsia="宋体" w:cs="Times New Roman"/>
                <w:sz w:val="22"/>
                <w:szCs w:val="22"/>
              </w:rPr>
              <w:t>文本单模态基线（BERT 微调）</w:t>
            </w:r>
          </w:p>
        </w:tc>
      </w:tr>
      <w:tr>
        <w:tc>
          <w:tcPr>
            <w:tcW w:w="432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  <w:insideV w:val="single" w:sz="8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67EB5A">
            <w:pPr>
              <w:spacing w:after="200" w:line="276" w:lineRule="auto"/>
            </w:pPr>
            <w:r/>
            <w:r>
              <w:rPr>
                <w:rFonts w:ascii="Times New Roman" w:hAnsi="Times New Roman" w:eastAsia="宋体" w:cs="Times New Roman"/>
                <w:b/>
                <w:bCs/>
                <w:sz w:val="22"/>
                <w:szCs w:val="22"/>
              </w:rPr>
              <w:t>03_image_encoder.py</w:t>
            </w:r>
          </w:p>
        </w:tc>
        <w:tc>
          <w:tcPr>
            <w:tcW w:w="432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  <w:insideV w:val="single" w:sz="8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FF15CC">
            <w:pPr>
              <w:spacing w:after="200" w:line="276" w:lineRule="auto"/>
            </w:pPr>
            <w:r/>
            <w:r>
              <w:rPr>
                <w:rFonts w:ascii="Times New Roman" w:hAnsi="Times New Roman" w:eastAsia="宋体" w:cs="Times New Roman"/>
                <w:sz w:val="22"/>
                <w:szCs w:val="22"/>
              </w:rPr>
              <w:t>图像编码器模块（ResNet 系列，支持全局向量/空间 token 两种输出）</w:t>
            </w:r>
          </w:p>
        </w:tc>
      </w:tr>
      <w:tr>
        <w:tc>
          <w:tcPr>
            <w:tcW w:w="432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  <w:insideV w:val="single" w:sz="8" w:space="0" w:color="4F81BD"/>
            </w:tcBorders>
            <w:shd w:val="clear" w:fill="D4E0E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9DC690">
            <w:pPr>
              <w:spacing w:after="200" w:line="276" w:lineRule="auto"/>
            </w:pPr>
            <w:r/>
            <w:r>
              <w:rPr>
                <w:rFonts w:ascii="Times New Roman" w:hAnsi="Times New Roman" w:eastAsia="宋体" w:cs="Times New Roman"/>
                <w:b/>
                <w:bCs/>
                <w:sz w:val="22"/>
                <w:szCs w:val="22"/>
              </w:rPr>
              <w:t>03_text_encoder.py</w:t>
            </w:r>
          </w:p>
        </w:tc>
        <w:tc>
          <w:tcPr>
            <w:tcW w:w="432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  <w:insideV w:val="single" w:sz="8" w:space="0" w:color="4F81BD"/>
            </w:tcBorders>
            <w:shd w:val="clear" w:fill="D4E0E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9C7A57">
            <w:pPr>
              <w:spacing w:after="200" w:line="276" w:lineRule="auto"/>
            </w:pPr>
            <w:r/>
            <w:r>
              <w:rPr>
                <w:rFonts w:ascii="Times New Roman" w:hAnsi="Times New Roman" w:eastAsia="宋体" w:cs="Times New Roman"/>
                <w:sz w:val="22"/>
                <w:szCs w:val="22"/>
              </w:rPr>
              <w:t>文本编码器模块（BERT，支持 cls/mean 两种池化）</w:t>
            </w:r>
          </w:p>
        </w:tc>
      </w:tr>
      <w:tr>
        <w:tc>
          <w:tcPr>
            <w:tcW w:w="432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  <w:insideV w:val="single" w:sz="8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A84760">
            <w:pPr>
              <w:spacing w:after="200" w:line="276" w:lineRule="auto"/>
            </w:pPr>
            <w:r/>
            <w:r>
              <w:rPr>
                <w:rFonts w:ascii="Times New Roman" w:hAnsi="Times New Roman" w:eastAsia="宋体" w:cs="Times New Roman"/>
                <w:b/>
                <w:bCs/>
                <w:sz w:val="22"/>
                <w:szCs w:val="22"/>
              </w:rPr>
              <w:t>04_multimodal_fusion.py</w:t>
            </w:r>
          </w:p>
        </w:tc>
        <w:tc>
          <w:tcPr>
            <w:tcW w:w="432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  <w:insideV w:val="single" w:sz="8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1CE724">
            <w:pPr>
              <w:spacing w:after="200" w:line="276" w:lineRule="auto"/>
            </w:pPr>
            <w:r/>
            <w:r>
              <w:rPr>
                <w:rFonts w:ascii="Times New Roman" w:hAnsi="Times New Roman" w:eastAsia="宋体" w:cs="Times New Roman"/>
                <w:sz w:val="22"/>
                <w:szCs w:val="22"/>
              </w:rPr>
              <w:t>多模态融合主脚本（--mode early/late/attention/all）</w:t>
            </w:r>
          </w:p>
        </w:tc>
      </w:tr>
    </w:tbl>
    <w:p w14:paraId="1F8FE9A0">
      <w:pPr>
        <w:spacing w:after="200" w:line="276" w:lineRule="auto"/>
      </w:pPr>
    </w:p>
    <w:sectPr>
      <w:pgSz w:w="12240" w:h="15840"/>
      <w:pgMar w:top="1440" w:right="1800" w:bottom="1440" w:left="1800" w:header="720" w:footer="720" w:gutter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2026-10-15T09:00:32.936Z</dcterms:modified>
  <cp:category/>
</cp:coreProperties>
</file>