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CD242" w14:textId="77777777" w:rsidR="004A6B95" w:rsidRPr="00C434F3" w:rsidRDefault="004A6B95" w:rsidP="00C434F3">
      <w:pPr>
        <w:pStyle w:val="Title"/>
        <w:tabs>
          <w:tab w:val="left" w:pos="3460"/>
        </w:tabs>
        <w:spacing w:after="0" w:line="480" w:lineRule="auto"/>
        <w:jc w:val="center"/>
        <w:rPr>
          <w:rFonts w:ascii="Times New Roman" w:hAnsi="Times New Roman" w:cs="Times New Roman"/>
          <w:b/>
          <w:bCs/>
          <w:sz w:val="24"/>
          <w:szCs w:val="24"/>
        </w:rPr>
      </w:pPr>
    </w:p>
    <w:p w14:paraId="284B0785" w14:textId="77777777" w:rsidR="004A6B95" w:rsidRPr="00C434F3" w:rsidRDefault="004A6B95" w:rsidP="00C434F3">
      <w:pPr>
        <w:pStyle w:val="Title"/>
        <w:tabs>
          <w:tab w:val="left" w:pos="3460"/>
        </w:tabs>
        <w:spacing w:after="0" w:line="480" w:lineRule="auto"/>
        <w:jc w:val="center"/>
        <w:rPr>
          <w:rFonts w:ascii="Times New Roman" w:hAnsi="Times New Roman" w:cs="Times New Roman"/>
          <w:b/>
          <w:bCs/>
          <w:sz w:val="24"/>
          <w:szCs w:val="24"/>
        </w:rPr>
      </w:pPr>
    </w:p>
    <w:p w14:paraId="616C2F1D" w14:textId="458121F5" w:rsidR="004A6B95" w:rsidRPr="00C434F3" w:rsidRDefault="004A6B95" w:rsidP="00C434F3">
      <w:pPr>
        <w:pStyle w:val="Title"/>
        <w:tabs>
          <w:tab w:val="left" w:pos="3460"/>
        </w:tabs>
        <w:spacing w:after="0" w:line="480" w:lineRule="auto"/>
        <w:jc w:val="center"/>
        <w:rPr>
          <w:rFonts w:ascii="Times New Roman" w:hAnsi="Times New Roman" w:cs="Times New Roman"/>
          <w:b/>
          <w:bCs/>
          <w:sz w:val="24"/>
          <w:szCs w:val="24"/>
        </w:rPr>
      </w:pPr>
      <w:r w:rsidRPr="00C434F3">
        <w:rPr>
          <w:rFonts w:ascii="Times New Roman" w:hAnsi="Times New Roman" w:cs="Times New Roman"/>
          <w:b/>
          <w:bCs/>
          <w:sz w:val="24"/>
          <w:szCs w:val="24"/>
        </w:rPr>
        <w:t xml:space="preserve">Assignment: </w:t>
      </w:r>
      <w:r w:rsidR="00010858" w:rsidRPr="00C434F3">
        <w:rPr>
          <w:rFonts w:ascii="Times New Roman" w:hAnsi="Times New Roman" w:cs="Times New Roman"/>
          <w:b/>
          <w:bCs/>
          <w:sz w:val="24"/>
          <w:szCs w:val="24"/>
        </w:rPr>
        <w:t>Exploring Non-Traditional Health Data</w:t>
      </w:r>
    </w:p>
    <w:p w14:paraId="0E58556A" w14:textId="77777777" w:rsidR="004A6B95" w:rsidRPr="00C434F3" w:rsidRDefault="004A6B95" w:rsidP="00C434F3">
      <w:pPr>
        <w:spacing w:after="0" w:line="480" w:lineRule="auto"/>
        <w:rPr>
          <w:rFonts w:ascii="Times New Roman" w:hAnsi="Times New Roman" w:cs="Times New Roman"/>
        </w:rPr>
      </w:pPr>
    </w:p>
    <w:p w14:paraId="6DD169DE" w14:textId="77777777" w:rsidR="004A6B95" w:rsidRPr="00C434F3" w:rsidRDefault="004A6B95" w:rsidP="00C434F3">
      <w:pPr>
        <w:spacing w:after="0" w:line="480" w:lineRule="auto"/>
        <w:jc w:val="center"/>
        <w:rPr>
          <w:rFonts w:ascii="Times New Roman" w:hAnsi="Times New Roman" w:cs="Times New Roman"/>
        </w:rPr>
      </w:pPr>
      <w:r w:rsidRPr="00C434F3">
        <w:rPr>
          <w:rFonts w:ascii="Times New Roman" w:hAnsi="Times New Roman" w:cs="Times New Roman"/>
        </w:rPr>
        <w:t>Maira Tanweer Chachar</w:t>
      </w:r>
    </w:p>
    <w:p w14:paraId="15D769DB" w14:textId="77777777" w:rsidR="004A6B95" w:rsidRPr="00C434F3" w:rsidRDefault="004A6B95" w:rsidP="00C434F3">
      <w:pPr>
        <w:spacing w:after="0" w:line="480" w:lineRule="auto"/>
        <w:jc w:val="center"/>
        <w:rPr>
          <w:rFonts w:ascii="Times New Roman" w:hAnsi="Times New Roman" w:cs="Times New Roman"/>
        </w:rPr>
      </w:pPr>
      <w:r w:rsidRPr="00C434F3">
        <w:rPr>
          <w:rFonts w:ascii="Times New Roman" w:hAnsi="Times New Roman" w:cs="Times New Roman"/>
        </w:rPr>
        <w:t>Houston Community College</w:t>
      </w:r>
    </w:p>
    <w:p w14:paraId="0404A1F2" w14:textId="77777777" w:rsidR="004A6B95" w:rsidRPr="00C434F3" w:rsidRDefault="004A6B95" w:rsidP="00C434F3">
      <w:pPr>
        <w:spacing w:after="0" w:line="480" w:lineRule="auto"/>
        <w:jc w:val="center"/>
        <w:rPr>
          <w:rFonts w:ascii="Times New Roman" w:hAnsi="Times New Roman" w:cs="Times New Roman"/>
        </w:rPr>
      </w:pPr>
      <w:r w:rsidRPr="00C434F3">
        <w:rPr>
          <w:rFonts w:ascii="Times New Roman" w:hAnsi="Times New Roman" w:cs="Times New Roman"/>
        </w:rPr>
        <w:t>ITAI 4375: Artificial Intelligence in Healthcare</w:t>
      </w:r>
    </w:p>
    <w:p w14:paraId="40C57AE9" w14:textId="77777777" w:rsidR="004A6B95" w:rsidRPr="00C434F3" w:rsidRDefault="004A6B95" w:rsidP="00C434F3">
      <w:pPr>
        <w:spacing w:after="0" w:line="480" w:lineRule="auto"/>
        <w:jc w:val="center"/>
        <w:rPr>
          <w:rFonts w:ascii="Times New Roman" w:hAnsi="Times New Roman" w:cs="Times New Roman"/>
        </w:rPr>
      </w:pPr>
      <w:r w:rsidRPr="00C434F3">
        <w:rPr>
          <w:rFonts w:ascii="Times New Roman" w:hAnsi="Times New Roman" w:cs="Times New Roman"/>
        </w:rPr>
        <w:t>Dr. Doreen Rosenstrauch</w:t>
      </w:r>
    </w:p>
    <w:p w14:paraId="730906BF" w14:textId="68993A76" w:rsidR="004A6B95" w:rsidRPr="00C434F3" w:rsidRDefault="004A6B95" w:rsidP="00C434F3">
      <w:pPr>
        <w:spacing w:after="0" w:line="480" w:lineRule="auto"/>
        <w:jc w:val="center"/>
        <w:rPr>
          <w:rFonts w:ascii="Times New Roman" w:hAnsi="Times New Roman" w:cs="Times New Roman"/>
        </w:rPr>
      </w:pPr>
      <w:r w:rsidRPr="00C434F3">
        <w:rPr>
          <w:rFonts w:ascii="Times New Roman" w:hAnsi="Times New Roman" w:cs="Times New Roman"/>
        </w:rPr>
        <w:t>0</w:t>
      </w:r>
      <w:r w:rsidR="00010858" w:rsidRPr="00C434F3">
        <w:rPr>
          <w:rFonts w:ascii="Times New Roman" w:hAnsi="Times New Roman" w:cs="Times New Roman"/>
        </w:rPr>
        <w:t>3</w:t>
      </w:r>
      <w:r w:rsidRPr="00C434F3">
        <w:rPr>
          <w:rFonts w:ascii="Times New Roman" w:hAnsi="Times New Roman" w:cs="Times New Roman"/>
        </w:rPr>
        <w:t>/</w:t>
      </w:r>
      <w:r w:rsidR="00010858" w:rsidRPr="00C434F3">
        <w:rPr>
          <w:rFonts w:ascii="Times New Roman" w:hAnsi="Times New Roman" w:cs="Times New Roman"/>
        </w:rPr>
        <w:t>02</w:t>
      </w:r>
      <w:r w:rsidRPr="00C434F3">
        <w:rPr>
          <w:rFonts w:ascii="Times New Roman" w:hAnsi="Times New Roman" w:cs="Times New Roman"/>
        </w:rPr>
        <w:t>/2026</w:t>
      </w:r>
    </w:p>
    <w:p w14:paraId="3C54BFE1" w14:textId="77777777" w:rsidR="004A6B95" w:rsidRPr="00C434F3" w:rsidRDefault="004A6B95" w:rsidP="00C434F3">
      <w:pPr>
        <w:spacing w:after="0" w:line="480" w:lineRule="auto"/>
        <w:rPr>
          <w:rFonts w:ascii="Times New Roman" w:hAnsi="Times New Roman" w:cs="Times New Roman"/>
        </w:rPr>
      </w:pPr>
    </w:p>
    <w:p w14:paraId="1A51E332" w14:textId="77777777" w:rsidR="004A6B95" w:rsidRPr="00C434F3" w:rsidRDefault="004A6B95" w:rsidP="00C434F3">
      <w:pPr>
        <w:spacing w:after="0" w:line="480" w:lineRule="auto"/>
        <w:rPr>
          <w:rFonts w:ascii="Times New Roman" w:hAnsi="Times New Roman" w:cs="Times New Roman"/>
        </w:rPr>
      </w:pPr>
    </w:p>
    <w:p w14:paraId="5285C171" w14:textId="77777777" w:rsidR="004A6B95" w:rsidRPr="00C434F3" w:rsidRDefault="004A6B95" w:rsidP="00C434F3">
      <w:pPr>
        <w:spacing w:after="0" w:line="480" w:lineRule="auto"/>
        <w:rPr>
          <w:rFonts w:ascii="Times New Roman" w:hAnsi="Times New Roman" w:cs="Times New Roman"/>
        </w:rPr>
      </w:pPr>
    </w:p>
    <w:p w14:paraId="705AE271" w14:textId="77777777" w:rsidR="004A6B95" w:rsidRPr="00C434F3" w:rsidRDefault="004A6B95" w:rsidP="00C434F3">
      <w:pPr>
        <w:spacing w:after="0" w:line="480" w:lineRule="auto"/>
        <w:rPr>
          <w:rFonts w:ascii="Times New Roman" w:hAnsi="Times New Roman" w:cs="Times New Roman"/>
        </w:rPr>
      </w:pPr>
    </w:p>
    <w:p w14:paraId="69ADF372" w14:textId="77777777" w:rsidR="004A6B95" w:rsidRPr="00C434F3" w:rsidRDefault="004A6B95" w:rsidP="00C434F3">
      <w:pPr>
        <w:spacing w:after="0" w:line="480" w:lineRule="auto"/>
        <w:rPr>
          <w:rFonts w:ascii="Times New Roman" w:hAnsi="Times New Roman" w:cs="Times New Roman"/>
        </w:rPr>
      </w:pPr>
    </w:p>
    <w:p w14:paraId="516159EB" w14:textId="77777777" w:rsidR="004A6B95" w:rsidRPr="00C434F3" w:rsidRDefault="004A6B95" w:rsidP="00C434F3">
      <w:pPr>
        <w:spacing w:after="0" w:line="480" w:lineRule="auto"/>
        <w:rPr>
          <w:rFonts w:ascii="Times New Roman" w:hAnsi="Times New Roman" w:cs="Times New Roman"/>
        </w:rPr>
      </w:pPr>
    </w:p>
    <w:p w14:paraId="1EC36FBA" w14:textId="77777777" w:rsidR="004A6B95" w:rsidRPr="00C434F3" w:rsidRDefault="004A6B95" w:rsidP="00C434F3">
      <w:pPr>
        <w:spacing w:after="0" w:line="480" w:lineRule="auto"/>
        <w:rPr>
          <w:rFonts w:ascii="Times New Roman" w:hAnsi="Times New Roman" w:cs="Times New Roman"/>
        </w:rPr>
      </w:pPr>
    </w:p>
    <w:p w14:paraId="4AA206DD" w14:textId="77777777" w:rsidR="004A6B95" w:rsidRPr="00C434F3" w:rsidRDefault="004A6B95" w:rsidP="00C434F3">
      <w:pPr>
        <w:spacing w:after="0" w:line="480" w:lineRule="auto"/>
        <w:rPr>
          <w:rFonts w:ascii="Times New Roman" w:hAnsi="Times New Roman" w:cs="Times New Roman"/>
        </w:rPr>
      </w:pPr>
    </w:p>
    <w:p w14:paraId="44EE3363" w14:textId="77777777" w:rsidR="004A6B95" w:rsidRPr="00C434F3" w:rsidRDefault="004A6B95" w:rsidP="00C434F3">
      <w:pPr>
        <w:spacing w:after="0" w:line="480" w:lineRule="auto"/>
        <w:rPr>
          <w:rFonts w:ascii="Times New Roman" w:hAnsi="Times New Roman" w:cs="Times New Roman"/>
        </w:rPr>
      </w:pPr>
    </w:p>
    <w:p w14:paraId="01363469" w14:textId="77777777" w:rsidR="004A6B95" w:rsidRPr="00C434F3" w:rsidRDefault="004A6B95" w:rsidP="00C434F3">
      <w:pPr>
        <w:spacing w:after="0" w:line="480" w:lineRule="auto"/>
        <w:rPr>
          <w:rFonts w:ascii="Times New Roman" w:hAnsi="Times New Roman" w:cs="Times New Roman"/>
        </w:rPr>
      </w:pPr>
    </w:p>
    <w:p w14:paraId="178552A6" w14:textId="77777777" w:rsidR="004A6B95" w:rsidRPr="00C434F3" w:rsidRDefault="004A6B95" w:rsidP="00C434F3">
      <w:pPr>
        <w:spacing w:after="0" w:line="480" w:lineRule="auto"/>
        <w:rPr>
          <w:rFonts w:ascii="Times New Roman" w:hAnsi="Times New Roman" w:cs="Times New Roman"/>
        </w:rPr>
      </w:pPr>
    </w:p>
    <w:p w14:paraId="70C06E1D" w14:textId="77777777" w:rsidR="004A6B95" w:rsidRPr="00C434F3" w:rsidRDefault="004A6B95" w:rsidP="00C434F3">
      <w:pPr>
        <w:spacing w:after="0" w:line="480" w:lineRule="auto"/>
        <w:rPr>
          <w:rFonts w:ascii="Times New Roman" w:hAnsi="Times New Roman" w:cs="Times New Roman"/>
        </w:rPr>
      </w:pPr>
    </w:p>
    <w:p w14:paraId="214D42A4" w14:textId="77777777" w:rsidR="004A6B95" w:rsidRPr="00C434F3" w:rsidRDefault="004A6B95" w:rsidP="00C434F3">
      <w:pPr>
        <w:spacing w:after="0" w:line="480" w:lineRule="auto"/>
        <w:rPr>
          <w:rFonts w:ascii="Times New Roman" w:hAnsi="Times New Roman" w:cs="Times New Roman"/>
        </w:rPr>
      </w:pPr>
    </w:p>
    <w:p w14:paraId="2C023F42" w14:textId="77777777" w:rsidR="004A6B95" w:rsidRPr="00C434F3" w:rsidRDefault="004A6B95" w:rsidP="00C434F3">
      <w:pPr>
        <w:spacing w:after="0" w:line="480" w:lineRule="auto"/>
        <w:rPr>
          <w:rFonts w:ascii="Times New Roman" w:hAnsi="Times New Roman" w:cs="Times New Roman"/>
        </w:rPr>
      </w:pPr>
    </w:p>
    <w:p w14:paraId="0679097E" w14:textId="108F4278" w:rsidR="00DB7713" w:rsidRPr="00C434F3" w:rsidRDefault="00010858" w:rsidP="00C434F3">
      <w:pPr>
        <w:spacing w:after="0" w:line="480" w:lineRule="auto"/>
        <w:jc w:val="center"/>
        <w:rPr>
          <w:rFonts w:ascii="Times New Roman" w:hAnsi="Times New Roman" w:cs="Times New Roman"/>
          <w:b/>
          <w:bCs/>
        </w:rPr>
      </w:pPr>
      <w:r w:rsidRPr="00C434F3">
        <w:rPr>
          <w:rFonts w:ascii="Times New Roman" w:hAnsi="Times New Roman" w:cs="Times New Roman"/>
          <w:b/>
          <w:bCs/>
        </w:rPr>
        <w:lastRenderedPageBreak/>
        <w:t>Introduction</w:t>
      </w:r>
    </w:p>
    <w:p w14:paraId="2FE50997" w14:textId="77777777" w:rsidR="00010858" w:rsidRPr="00C434F3" w:rsidRDefault="00010858" w:rsidP="00C434F3">
      <w:pPr>
        <w:pStyle w:val="NormalWeb"/>
        <w:spacing w:line="480" w:lineRule="auto"/>
        <w:ind w:firstLine="720"/>
      </w:pPr>
      <w:r w:rsidRPr="00C434F3">
        <w:t xml:space="preserve">Genetic testing has become one of the most influential forms of </w:t>
      </w:r>
      <w:proofErr w:type="spellStart"/>
      <w:proofErr w:type="gramStart"/>
      <w:r w:rsidRPr="00C434F3">
        <w:t>non traditional</w:t>
      </w:r>
      <w:proofErr w:type="spellEnd"/>
      <w:proofErr w:type="gramEnd"/>
      <w:r w:rsidRPr="00C434F3">
        <w:t xml:space="preserve"> health data in modern healthcare. Direct to consumer companies such as 23andMe have made genetic information accessible to millions of people, allowing individuals to learn about their ancestry, inherited traits, and potential health risks without visiting a clinical geneticist. As of 2025, more than fifteen million people have submitted their DNA to 23andMe alone, creating one of the largest privately owned genetic databases in the world (Gerke et al., 2025). The rapid growth of consumer genomics has created new opportunities for personalized health insights, but it has also raised important ethical, privacy, and regulatory concerns. Understanding how genetic testing works and how its data can be used is essential for evaluating its benefits and risks.</w:t>
      </w:r>
    </w:p>
    <w:p w14:paraId="5006BC24" w14:textId="070CB820" w:rsidR="00DB7713" w:rsidRPr="00C434F3" w:rsidRDefault="00010858" w:rsidP="00C434F3">
      <w:pPr>
        <w:spacing w:after="0" w:line="480" w:lineRule="auto"/>
        <w:jc w:val="center"/>
        <w:rPr>
          <w:rFonts w:ascii="Times New Roman" w:hAnsi="Times New Roman" w:cs="Times New Roman"/>
          <w:b/>
          <w:bCs/>
        </w:rPr>
      </w:pPr>
      <w:r w:rsidRPr="00C434F3">
        <w:rPr>
          <w:rFonts w:ascii="Times New Roman" w:hAnsi="Times New Roman" w:cs="Times New Roman"/>
          <w:b/>
          <w:bCs/>
        </w:rPr>
        <w:t>What Genetic Testing Services Like 23andMe Do</w:t>
      </w:r>
    </w:p>
    <w:p w14:paraId="6DD934DB" w14:textId="77777777" w:rsidR="00010858" w:rsidRPr="00C434F3" w:rsidRDefault="00010858" w:rsidP="00C434F3">
      <w:pPr>
        <w:pStyle w:val="NormalWeb"/>
        <w:spacing w:line="480" w:lineRule="auto"/>
        <w:ind w:firstLine="720"/>
      </w:pPr>
      <w:r w:rsidRPr="00C434F3">
        <w:t>Genetic testing services analyze a person’s DNA to identify genetic variants associated with ancestry, inherited traits, and potential disease risks. Companies such as 23andMe use saliva samples to extract DNA and examine hundreds of thousands of genetic markers. These markers can reveal information about predispositions to conditions such as breast cancer, celiac disease, or late onset Alzheimer’s disease. Research shows that direct to consumer genetic testing can help individuals detect potential genetic conditions early and encourage proactive health behaviors (Patel, 2025). For example, individuals who learn they carry a BRCA1 or BRCA2 variant may choose to undergo earlier or more frequent cancer screenings.</w:t>
      </w:r>
    </w:p>
    <w:p w14:paraId="40CDB503" w14:textId="77777777" w:rsidR="00010858" w:rsidRPr="00C434F3" w:rsidRDefault="00010858" w:rsidP="00C434F3">
      <w:pPr>
        <w:pStyle w:val="NormalWeb"/>
        <w:spacing w:line="480" w:lineRule="auto"/>
        <w:ind w:firstLine="720"/>
      </w:pPr>
      <w:r w:rsidRPr="00C434F3">
        <w:t xml:space="preserve">In addition to </w:t>
      </w:r>
      <w:proofErr w:type="gramStart"/>
      <w:r w:rsidRPr="00C434F3">
        <w:t>health related</w:t>
      </w:r>
      <w:proofErr w:type="gramEnd"/>
      <w:r w:rsidRPr="00C434F3">
        <w:t xml:space="preserve"> insights, genetic testing companies provide ancestry reports that trace geographic origins and identify potential relatives. These features have contributed to </w:t>
      </w:r>
      <w:r w:rsidRPr="00C434F3">
        <w:lastRenderedPageBreak/>
        <w:t xml:space="preserve">the widespread popularity of consumer genomics. However, the </w:t>
      </w:r>
      <w:proofErr w:type="gramStart"/>
      <w:r w:rsidRPr="00C434F3">
        <w:t>health related</w:t>
      </w:r>
      <w:proofErr w:type="gramEnd"/>
      <w:r w:rsidRPr="00C434F3">
        <w:t xml:space="preserve"> components are increasingly emphasized as companies expand their medically relevant offerings. The integration of genetic data with digital health tools and artificial intelligence is also accelerating, making genetic information more actionable than ever before.</w:t>
      </w:r>
    </w:p>
    <w:p w14:paraId="4BA91FB0" w14:textId="03042F97" w:rsidR="00DB7713" w:rsidRPr="00C434F3" w:rsidRDefault="00010858" w:rsidP="00C434F3">
      <w:pPr>
        <w:spacing w:after="0" w:line="480" w:lineRule="auto"/>
        <w:jc w:val="center"/>
        <w:rPr>
          <w:rFonts w:ascii="Times New Roman" w:hAnsi="Times New Roman" w:cs="Times New Roman"/>
          <w:b/>
          <w:bCs/>
        </w:rPr>
      </w:pPr>
      <w:r w:rsidRPr="00C434F3">
        <w:rPr>
          <w:rFonts w:ascii="Times New Roman" w:hAnsi="Times New Roman" w:cs="Times New Roman"/>
          <w:b/>
          <w:bCs/>
        </w:rPr>
        <w:t>How Genetic Testing Data Can Improve Health Outcomes</w:t>
      </w:r>
    </w:p>
    <w:p w14:paraId="16D6F150" w14:textId="77777777" w:rsidR="00010858" w:rsidRPr="00C434F3" w:rsidRDefault="00963826" w:rsidP="00C434F3">
      <w:pPr>
        <w:pStyle w:val="NormalWeb"/>
        <w:spacing w:line="480" w:lineRule="auto"/>
      </w:pPr>
      <w:r w:rsidRPr="00C434F3">
        <w:rPr>
          <w:b/>
          <w:bCs/>
        </w:rPr>
        <w:tab/>
      </w:r>
      <w:r w:rsidR="00010858" w:rsidRPr="00C434F3">
        <w:t>Genetic testing has the potential to significantly improve health outcomes by supporting personalized medicine. Personalized medicine uses genetic information to tailor prevention strategies, treatments, and lifestyle recommendations to an individual’s unique genetic profile. Studies show that genetic risk information can motivate individuals to adopt healthier behaviors, such as improved diet, increased physical activity, or smoking cessation (Patel, 2025). Genetic testing can also help clinicians identify patients who may respond better to specific medications, a field known as pharmacogenomics.</w:t>
      </w:r>
    </w:p>
    <w:p w14:paraId="4EF44C13" w14:textId="77777777" w:rsidR="00010858" w:rsidRPr="00C434F3" w:rsidRDefault="00010858" w:rsidP="00C434F3">
      <w:pPr>
        <w:pStyle w:val="NormalWeb"/>
        <w:spacing w:line="480" w:lineRule="auto"/>
        <w:ind w:firstLine="720"/>
      </w:pPr>
      <w:r w:rsidRPr="00C434F3">
        <w:t xml:space="preserve">Large scale genetic databases also play an important role in public health research. According to JAMA, genomic and phenotypic data are increasingly essential for developing artificial intelligence and machine learning tools that can predict disease risk and improve diagnostic accuracy (Prince and Spector </w:t>
      </w:r>
      <w:proofErr w:type="spellStart"/>
      <w:r w:rsidRPr="00C434F3">
        <w:t>Bagdady</w:t>
      </w:r>
      <w:proofErr w:type="spellEnd"/>
      <w:r w:rsidRPr="00C434F3">
        <w:t>, 2025). These databases allow researchers to study genetic patterns across diverse populations, identify new disease associated variants, and develop more effective interventions. For example, polygenic risk scores, which combine the effects of many genetic variants, are being used to predict risks for conditions such as heart disease and diabetes.</w:t>
      </w:r>
    </w:p>
    <w:p w14:paraId="32318C23" w14:textId="2DB6BE49" w:rsidR="00DB7713" w:rsidRPr="00C434F3" w:rsidRDefault="00010858" w:rsidP="00C434F3">
      <w:pPr>
        <w:pStyle w:val="NormalWeb"/>
        <w:spacing w:line="480" w:lineRule="auto"/>
        <w:ind w:firstLine="720"/>
      </w:pPr>
      <w:r w:rsidRPr="00C434F3">
        <w:lastRenderedPageBreak/>
        <w:t>The scale of consumer genetic testing has created unprecedented opportunities for population level insights. With more than fifteen million genetic profiles in its database, 23andMe has contributed to numerous research studies, including collaborations with academic institutions and pharmaceutical companies. These partnerships have led to discoveries related to Parkinson’s disease, depression, and autoimmune disorders. As genetic databases continue to grow, their potential to advance medical research will expand as well.</w:t>
      </w:r>
      <w:r w:rsidR="00963826" w:rsidRPr="00C434F3">
        <w:t xml:space="preserve"> </w:t>
      </w:r>
    </w:p>
    <w:p w14:paraId="1D77CE01" w14:textId="77777777" w:rsidR="00010858" w:rsidRPr="00C434F3" w:rsidRDefault="00010858" w:rsidP="00C434F3">
      <w:pPr>
        <w:spacing w:after="0" w:line="480" w:lineRule="auto"/>
        <w:jc w:val="center"/>
        <w:rPr>
          <w:rFonts w:ascii="Times New Roman" w:hAnsi="Times New Roman" w:cs="Times New Roman"/>
          <w:b/>
          <w:bCs/>
        </w:rPr>
      </w:pPr>
      <w:r w:rsidRPr="00C434F3">
        <w:rPr>
          <w:rFonts w:ascii="Times New Roman" w:hAnsi="Times New Roman" w:cs="Times New Roman"/>
          <w:b/>
          <w:bCs/>
        </w:rPr>
        <w:t>Ethical Concerns and Potential Risks</w:t>
      </w:r>
    </w:p>
    <w:p w14:paraId="564D917A" w14:textId="77777777" w:rsidR="00010858" w:rsidRPr="00C434F3" w:rsidRDefault="00010858" w:rsidP="00C434F3">
      <w:pPr>
        <w:pStyle w:val="NormalWeb"/>
        <w:spacing w:line="480" w:lineRule="auto"/>
        <w:ind w:firstLine="720"/>
      </w:pPr>
      <w:r w:rsidRPr="00C434F3">
        <w:t xml:space="preserve">Despite its benefits, genetic testing raises significant ethical concerns. One of the most pressing issues is privacy. Genetic data is uniquely sensitive because it contains information not only about the individual but also about their biological relatives. A 2025 BMJ analysis highlighted concerns about the future of 23andMe’s </w:t>
      </w:r>
      <w:proofErr w:type="gramStart"/>
      <w:r w:rsidRPr="00C434F3">
        <w:t>fifteen million person</w:t>
      </w:r>
      <w:proofErr w:type="gramEnd"/>
      <w:r w:rsidRPr="00C434F3">
        <w:t xml:space="preserve"> genetic database following the company’s bankruptcy filing, noting that the sale or transfer of such data could pose serious privacy risks (Gerke et al., 2025). Unlike medical records, genetic data held by consumer companies is not protected by the Health Insurance Portability and Accountability Act. This means that consumers have fewer legal protections regarding how their genetic information is stored, shared, or sold.</w:t>
      </w:r>
    </w:p>
    <w:p w14:paraId="78D2D154" w14:textId="77777777" w:rsidR="00010858" w:rsidRPr="00C434F3" w:rsidRDefault="00010858" w:rsidP="00C434F3">
      <w:pPr>
        <w:pStyle w:val="NormalWeb"/>
        <w:spacing w:line="480" w:lineRule="auto"/>
        <w:ind w:firstLine="720"/>
      </w:pPr>
      <w:r w:rsidRPr="00C434F3">
        <w:t xml:space="preserve">Another concern is the commercialization of genetic databases. JAMA reports that large genetic datasets are increasingly valuable for developing artificial intelligence driven health technologies, raising questions about who profits from this data and whether consumers truly understand how their information is used (Prince and Spector </w:t>
      </w:r>
      <w:proofErr w:type="spellStart"/>
      <w:r w:rsidRPr="00C434F3">
        <w:t>Bagdady</w:t>
      </w:r>
      <w:proofErr w:type="spellEnd"/>
      <w:r w:rsidRPr="00C434F3">
        <w:t xml:space="preserve">, 2025). There is also the risk of genetic discrimination. Although laws such as the Genetic Information Nondiscrimination </w:t>
      </w:r>
      <w:r w:rsidRPr="00C434F3">
        <w:lastRenderedPageBreak/>
        <w:t xml:space="preserve">Act offer some protections, they do not cover areas such as life insurance or </w:t>
      </w:r>
      <w:proofErr w:type="gramStart"/>
      <w:r w:rsidRPr="00C434F3">
        <w:t>long term</w:t>
      </w:r>
      <w:proofErr w:type="gramEnd"/>
      <w:r w:rsidRPr="00C434F3">
        <w:t xml:space="preserve"> care insurance.</w:t>
      </w:r>
    </w:p>
    <w:p w14:paraId="544900EA" w14:textId="3EFAC28C" w:rsidR="00010858" w:rsidRPr="00C434F3" w:rsidRDefault="00010858" w:rsidP="00C434F3">
      <w:pPr>
        <w:pStyle w:val="NormalWeb"/>
        <w:spacing w:line="480" w:lineRule="auto"/>
        <w:ind w:firstLine="720"/>
      </w:pPr>
      <w:r w:rsidRPr="00C434F3">
        <w:t>Psychological impacts must also be considered. Learning about genetic risks can cause anxiety, confusion, or false reassurance. Research shows that consumers often misinterpret genetic risk information, especially when results are presented without clinical guidance (Patel, 2025). This highlights the need for improved education and counseling to help individuals understand their results.</w:t>
      </w:r>
    </w:p>
    <w:p w14:paraId="44DF5799" w14:textId="77777777" w:rsidR="00010858" w:rsidRPr="00C434F3" w:rsidRDefault="00010858" w:rsidP="00C434F3">
      <w:pPr>
        <w:spacing w:after="0" w:line="480" w:lineRule="auto"/>
        <w:jc w:val="center"/>
        <w:rPr>
          <w:rFonts w:ascii="Times New Roman" w:hAnsi="Times New Roman" w:cs="Times New Roman"/>
          <w:b/>
          <w:bCs/>
        </w:rPr>
      </w:pPr>
      <w:r w:rsidRPr="00C434F3">
        <w:rPr>
          <w:rFonts w:ascii="Times New Roman" w:hAnsi="Times New Roman" w:cs="Times New Roman"/>
          <w:b/>
          <w:bCs/>
        </w:rPr>
        <w:t>Conclusion</w:t>
      </w:r>
    </w:p>
    <w:p w14:paraId="73CE8769" w14:textId="5530D9FF" w:rsidR="00010858" w:rsidRPr="00C434F3" w:rsidRDefault="00010858" w:rsidP="00C434F3">
      <w:pPr>
        <w:spacing w:after="0" w:line="480" w:lineRule="auto"/>
        <w:rPr>
          <w:rFonts w:ascii="Times New Roman" w:hAnsi="Times New Roman" w:cs="Times New Roman"/>
        </w:rPr>
      </w:pPr>
      <w:r w:rsidRPr="00C434F3">
        <w:rPr>
          <w:rFonts w:ascii="Times New Roman" w:hAnsi="Times New Roman" w:cs="Times New Roman"/>
          <w:b/>
          <w:bCs/>
        </w:rPr>
        <w:tab/>
      </w:r>
      <w:r w:rsidRPr="00C434F3">
        <w:rPr>
          <w:rFonts w:ascii="Times New Roman" w:hAnsi="Times New Roman" w:cs="Times New Roman"/>
        </w:rPr>
        <w:t xml:space="preserve">Genetic testing represents a powerful form of </w:t>
      </w:r>
      <w:proofErr w:type="spellStart"/>
      <w:proofErr w:type="gramStart"/>
      <w:r w:rsidRPr="00C434F3">
        <w:rPr>
          <w:rFonts w:ascii="Times New Roman" w:hAnsi="Times New Roman" w:cs="Times New Roman"/>
        </w:rPr>
        <w:t>non traditional</w:t>
      </w:r>
      <w:proofErr w:type="spellEnd"/>
      <w:proofErr w:type="gramEnd"/>
      <w:r w:rsidRPr="00C434F3">
        <w:rPr>
          <w:rFonts w:ascii="Times New Roman" w:hAnsi="Times New Roman" w:cs="Times New Roman"/>
        </w:rPr>
        <w:t xml:space="preserve"> health data with the potential to transform healthcare. It enables individuals to learn about their health risks, supports personalized medicine, and contributes to large scale research that advances scientific understanding. However, the rapid expansion of consumer genomics also raises important ethical and privacy concerns. As genetic databases grow and become increasingly integrated into digital health systems, strong protections and transparent policies will be essential. Genetic testing will continue to play a major role in the future of health data, but its benefits must be balanced with responsible data stewardship and respect for individual privacy.</w:t>
      </w:r>
    </w:p>
    <w:p w14:paraId="31D9F574" w14:textId="77777777" w:rsidR="00CE6427" w:rsidRPr="00C434F3" w:rsidRDefault="00CE6427" w:rsidP="00C434F3">
      <w:pPr>
        <w:spacing w:after="0" w:line="480" w:lineRule="auto"/>
        <w:rPr>
          <w:rFonts w:ascii="Times New Roman" w:hAnsi="Times New Roman" w:cs="Times New Roman"/>
        </w:rPr>
      </w:pPr>
      <w:r w:rsidRPr="00C434F3">
        <w:rPr>
          <w:rFonts w:ascii="Times New Roman" w:hAnsi="Times New Roman" w:cs="Times New Roman"/>
        </w:rPr>
        <w:br w:type="page"/>
      </w:r>
    </w:p>
    <w:p w14:paraId="11AA3BB6" w14:textId="77777777" w:rsidR="00CE6427" w:rsidRPr="00C434F3" w:rsidRDefault="00CE6427" w:rsidP="00C434F3">
      <w:pPr>
        <w:spacing w:after="0" w:line="480" w:lineRule="auto"/>
        <w:jc w:val="center"/>
        <w:rPr>
          <w:rFonts w:ascii="Times New Roman" w:hAnsi="Times New Roman" w:cs="Times New Roman"/>
          <w:b/>
          <w:bCs/>
        </w:rPr>
      </w:pPr>
      <w:r w:rsidRPr="00C434F3">
        <w:rPr>
          <w:rFonts w:ascii="Times New Roman" w:hAnsi="Times New Roman" w:cs="Times New Roman"/>
          <w:b/>
          <w:bCs/>
        </w:rPr>
        <w:lastRenderedPageBreak/>
        <w:t>References</w:t>
      </w:r>
    </w:p>
    <w:p w14:paraId="7E1F1525" w14:textId="350658E4" w:rsidR="00010858" w:rsidRPr="00C434F3" w:rsidRDefault="00010858" w:rsidP="00C434F3">
      <w:pPr>
        <w:pStyle w:val="NormalWeb"/>
        <w:spacing w:line="480" w:lineRule="auto"/>
      </w:pPr>
      <w:r w:rsidRPr="00C434F3">
        <w:t xml:space="preserve">Gerke, S., Jacoby, M., and Cohen, I. (2025). 23andMe’s bankruptcy raises concerns about </w:t>
      </w:r>
      <w:r w:rsidR="00C434F3">
        <w:tab/>
      </w:r>
      <w:r w:rsidRPr="00C434F3">
        <w:t xml:space="preserve">privacy in the era of big data. </w:t>
      </w:r>
      <w:r w:rsidRPr="00C434F3">
        <w:rPr>
          <w:rStyle w:val="Emphasis"/>
          <w:rFonts w:eastAsiaTheme="majorEastAsia"/>
        </w:rPr>
        <w:t>The BMJ</w:t>
      </w:r>
      <w:r w:rsidRPr="00C434F3">
        <w:t xml:space="preserve">. </w:t>
      </w:r>
    </w:p>
    <w:p w14:paraId="097B2FA5" w14:textId="4F8CE91C" w:rsidR="00010858" w:rsidRPr="00C434F3" w:rsidRDefault="00010858" w:rsidP="00C434F3">
      <w:pPr>
        <w:pStyle w:val="NormalWeb"/>
        <w:spacing w:line="480" w:lineRule="auto"/>
      </w:pPr>
      <w:r w:rsidRPr="00C434F3">
        <w:t xml:space="preserve">Patel, A. (2025). Balancing innovation and ethics: The role of genetic testing in health and </w:t>
      </w:r>
      <w:r w:rsidR="00C434F3">
        <w:tab/>
      </w:r>
      <w:r w:rsidRPr="00C434F3">
        <w:t xml:space="preserve">identity. </w:t>
      </w:r>
      <w:r w:rsidRPr="00C434F3">
        <w:rPr>
          <w:rStyle w:val="Emphasis"/>
          <w:rFonts w:eastAsiaTheme="majorEastAsia"/>
        </w:rPr>
        <w:t>Voices in Bioethics</w:t>
      </w:r>
      <w:r w:rsidRPr="00C434F3">
        <w:t xml:space="preserve">. </w:t>
      </w:r>
    </w:p>
    <w:p w14:paraId="55DF8284" w14:textId="6BD7BF8B" w:rsidR="00010858" w:rsidRPr="00C434F3" w:rsidRDefault="00010858" w:rsidP="00C434F3">
      <w:pPr>
        <w:pStyle w:val="NormalWeb"/>
        <w:spacing w:line="480" w:lineRule="auto"/>
      </w:pPr>
      <w:r w:rsidRPr="00C434F3">
        <w:t xml:space="preserve">Prince, A., and Spector </w:t>
      </w:r>
      <w:proofErr w:type="spellStart"/>
      <w:r w:rsidRPr="00C434F3">
        <w:t>Bagdady</w:t>
      </w:r>
      <w:proofErr w:type="spellEnd"/>
      <w:r w:rsidRPr="00C434F3">
        <w:t xml:space="preserve">, K. (2025). Protecting privacy when genetic databases are </w:t>
      </w:r>
      <w:r w:rsidR="00C434F3">
        <w:tab/>
      </w:r>
      <w:r w:rsidRPr="00C434F3">
        <w:t xml:space="preserve">commercialized. </w:t>
      </w:r>
      <w:r w:rsidRPr="00C434F3">
        <w:rPr>
          <w:rStyle w:val="Emphasis"/>
          <w:rFonts w:eastAsiaTheme="majorEastAsia"/>
        </w:rPr>
        <w:t>JAMA</w:t>
      </w:r>
      <w:r w:rsidRPr="00C434F3">
        <w:t xml:space="preserve">. </w:t>
      </w:r>
    </w:p>
    <w:p w14:paraId="7A9ED6EB" w14:textId="4EDC38AC" w:rsidR="00010858" w:rsidRPr="00C434F3" w:rsidRDefault="00010858" w:rsidP="00C434F3">
      <w:pPr>
        <w:pStyle w:val="NormalWeb"/>
        <w:spacing w:line="480" w:lineRule="auto"/>
      </w:pPr>
      <w:r w:rsidRPr="00C434F3">
        <w:t xml:space="preserve">Nill, A., and </w:t>
      </w:r>
      <w:proofErr w:type="spellStart"/>
      <w:r w:rsidRPr="00C434F3">
        <w:t>Laczniak</w:t>
      </w:r>
      <w:proofErr w:type="spellEnd"/>
      <w:r w:rsidRPr="00C434F3">
        <w:t xml:space="preserve">, G. (2022). Direct to consumer genetic testing and its marketing: Ethical </w:t>
      </w:r>
      <w:r w:rsidR="00C434F3">
        <w:tab/>
      </w:r>
      <w:r w:rsidRPr="00C434F3">
        <w:t xml:space="preserve">and public policy implications. </w:t>
      </w:r>
      <w:r w:rsidRPr="00C434F3">
        <w:rPr>
          <w:rStyle w:val="Emphasis"/>
          <w:rFonts w:eastAsiaTheme="majorEastAsia"/>
        </w:rPr>
        <w:t>Journal of Business Ethics</w:t>
      </w:r>
      <w:r w:rsidRPr="00C434F3">
        <w:t xml:space="preserve">. </w:t>
      </w:r>
    </w:p>
    <w:p w14:paraId="4D66C869" w14:textId="77777777" w:rsidR="00CE6427" w:rsidRPr="00C434F3" w:rsidRDefault="00CE6427" w:rsidP="00C434F3">
      <w:pPr>
        <w:spacing w:after="0" w:line="480" w:lineRule="auto"/>
        <w:rPr>
          <w:rFonts w:ascii="Times New Roman" w:hAnsi="Times New Roman" w:cs="Times New Roman"/>
        </w:rPr>
      </w:pPr>
    </w:p>
    <w:sectPr w:rsidR="00CE6427" w:rsidRPr="00C434F3">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1C9B6" w14:textId="77777777" w:rsidR="0081511A" w:rsidRDefault="0081511A" w:rsidP="00CE6427">
      <w:pPr>
        <w:spacing w:after="0" w:line="240" w:lineRule="auto"/>
      </w:pPr>
      <w:r>
        <w:separator/>
      </w:r>
    </w:p>
  </w:endnote>
  <w:endnote w:type="continuationSeparator" w:id="0">
    <w:p w14:paraId="4179278A" w14:textId="77777777" w:rsidR="0081511A" w:rsidRDefault="0081511A" w:rsidP="00CE6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918A1" w14:textId="77777777" w:rsidR="0081511A" w:rsidRDefault="0081511A" w:rsidP="00CE6427">
      <w:pPr>
        <w:spacing w:after="0" w:line="240" w:lineRule="auto"/>
      </w:pPr>
      <w:r>
        <w:separator/>
      </w:r>
    </w:p>
  </w:footnote>
  <w:footnote w:type="continuationSeparator" w:id="0">
    <w:p w14:paraId="560F44F0" w14:textId="77777777" w:rsidR="0081511A" w:rsidRDefault="0081511A" w:rsidP="00CE64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75338360"/>
      <w:docPartObj>
        <w:docPartGallery w:val="Page Numbers (Top of Page)"/>
        <w:docPartUnique/>
      </w:docPartObj>
    </w:sdtPr>
    <w:sdtContent>
      <w:p w14:paraId="716722E8" w14:textId="77777777" w:rsidR="00CE6427" w:rsidRDefault="00CE6427" w:rsidP="00496FD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CB309CE" w14:textId="77777777" w:rsidR="00CE6427" w:rsidRDefault="00CE6427" w:rsidP="00CE642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1955487"/>
      <w:docPartObj>
        <w:docPartGallery w:val="Page Numbers (Top of Page)"/>
        <w:docPartUnique/>
      </w:docPartObj>
    </w:sdtPr>
    <w:sdtContent>
      <w:p w14:paraId="6295BE47" w14:textId="77777777" w:rsidR="00CE6427" w:rsidRDefault="00CE6427" w:rsidP="00496FD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5B1A5F3" w14:textId="77777777" w:rsidR="00CE6427" w:rsidRDefault="00CE6427" w:rsidP="00CE6427">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00C81"/>
    <w:multiLevelType w:val="hybridMultilevel"/>
    <w:tmpl w:val="CBA88B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36F6C86"/>
    <w:multiLevelType w:val="multilevel"/>
    <w:tmpl w:val="60FC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174302">
    <w:abstractNumId w:val="0"/>
  </w:num>
  <w:num w:numId="2" w16cid:durableId="857887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A04"/>
    <w:rsid w:val="00010858"/>
    <w:rsid w:val="000154C6"/>
    <w:rsid w:val="00103BB7"/>
    <w:rsid w:val="001A2183"/>
    <w:rsid w:val="001E0D46"/>
    <w:rsid w:val="002B3A1E"/>
    <w:rsid w:val="0041212E"/>
    <w:rsid w:val="00463E95"/>
    <w:rsid w:val="004A6B95"/>
    <w:rsid w:val="004B1102"/>
    <w:rsid w:val="00512908"/>
    <w:rsid w:val="005874A7"/>
    <w:rsid w:val="0081511A"/>
    <w:rsid w:val="00830577"/>
    <w:rsid w:val="00852D88"/>
    <w:rsid w:val="00963826"/>
    <w:rsid w:val="00BA591B"/>
    <w:rsid w:val="00C434F3"/>
    <w:rsid w:val="00C65A04"/>
    <w:rsid w:val="00CC410B"/>
    <w:rsid w:val="00CE6427"/>
    <w:rsid w:val="00D97C14"/>
    <w:rsid w:val="00DB7713"/>
    <w:rsid w:val="00E24312"/>
    <w:rsid w:val="00E8697D"/>
    <w:rsid w:val="00EB5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3842F5"/>
  <w15:chartTrackingRefBased/>
  <w15:docId w15:val="{045E5589-C16B-A94E-9F1A-FD21615BD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A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5A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A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A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A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A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A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A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A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A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5A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A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A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A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A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A04"/>
    <w:rPr>
      <w:rFonts w:eastAsiaTheme="majorEastAsia" w:cstheme="majorBidi"/>
      <w:color w:val="272727" w:themeColor="text1" w:themeTint="D8"/>
    </w:rPr>
  </w:style>
  <w:style w:type="paragraph" w:styleId="Title">
    <w:name w:val="Title"/>
    <w:basedOn w:val="Normal"/>
    <w:next w:val="Normal"/>
    <w:link w:val="TitleChar"/>
    <w:uiPriority w:val="10"/>
    <w:qFormat/>
    <w:rsid w:val="00C65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A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A04"/>
    <w:pPr>
      <w:spacing w:before="160"/>
      <w:jc w:val="center"/>
    </w:pPr>
    <w:rPr>
      <w:i/>
      <w:iCs/>
      <w:color w:val="404040" w:themeColor="text1" w:themeTint="BF"/>
    </w:rPr>
  </w:style>
  <w:style w:type="character" w:customStyle="1" w:styleId="QuoteChar">
    <w:name w:val="Quote Char"/>
    <w:basedOn w:val="DefaultParagraphFont"/>
    <w:link w:val="Quote"/>
    <w:uiPriority w:val="29"/>
    <w:rsid w:val="00C65A04"/>
    <w:rPr>
      <w:i/>
      <w:iCs/>
      <w:color w:val="404040" w:themeColor="text1" w:themeTint="BF"/>
    </w:rPr>
  </w:style>
  <w:style w:type="paragraph" w:styleId="ListParagraph">
    <w:name w:val="List Paragraph"/>
    <w:basedOn w:val="Normal"/>
    <w:uiPriority w:val="34"/>
    <w:qFormat/>
    <w:rsid w:val="00C65A04"/>
    <w:pPr>
      <w:ind w:left="720"/>
      <w:contextualSpacing/>
    </w:pPr>
  </w:style>
  <w:style w:type="character" w:styleId="IntenseEmphasis">
    <w:name w:val="Intense Emphasis"/>
    <w:basedOn w:val="DefaultParagraphFont"/>
    <w:uiPriority w:val="21"/>
    <w:qFormat/>
    <w:rsid w:val="00C65A04"/>
    <w:rPr>
      <w:i/>
      <w:iCs/>
      <w:color w:val="0F4761" w:themeColor="accent1" w:themeShade="BF"/>
    </w:rPr>
  </w:style>
  <w:style w:type="paragraph" w:styleId="IntenseQuote">
    <w:name w:val="Intense Quote"/>
    <w:basedOn w:val="Normal"/>
    <w:next w:val="Normal"/>
    <w:link w:val="IntenseQuoteChar"/>
    <w:uiPriority w:val="30"/>
    <w:qFormat/>
    <w:rsid w:val="00C65A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A04"/>
    <w:rPr>
      <w:i/>
      <w:iCs/>
      <w:color w:val="0F4761" w:themeColor="accent1" w:themeShade="BF"/>
    </w:rPr>
  </w:style>
  <w:style w:type="character" w:styleId="IntenseReference">
    <w:name w:val="Intense Reference"/>
    <w:basedOn w:val="DefaultParagraphFont"/>
    <w:uiPriority w:val="32"/>
    <w:qFormat/>
    <w:rsid w:val="00C65A04"/>
    <w:rPr>
      <w:b/>
      <w:bCs/>
      <w:smallCaps/>
      <w:color w:val="0F4761" w:themeColor="accent1" w:themeShade="BF"/>
      <w:spacing w:val="5"/>
    </w:rPr>
  </w:style>
  <w:style w:type="character" w:styleId="Emphasis">
    <w:name w:val="Emphasis"/>
    <w:basedOn w:val="DefaultParagraphFont"/>
    <w:uiPriority w:val="20"/>
    <w:qFormat/>
    <w:rsid w:val="004A6B95"/>
    <w:rPr>
      <w:i/>
      <w:iCs/>
    </w:rPr>
  </w:style>
  <w:style w:type="paragraph" w:styleId="Bibliography">
    <w:name w:val="Bibliography"/>
    <w:basedOn w:val="Normal"/>
    <w:next w:val="Normal"/>
    <w:uiPriority w:val="37"/>
    <w:unhideWhenUsed/>
    <w:rsid w:val="00CE6427"/>
    <w:pPr>
      <w:spacing w:after="0" w:line="480" w:lineRule="auto"/>
      <w:ind w:left="720" w:hanging="720"/>
    </w:pPr>
  </w:style>
  <w:style w:type="paragraph" w:styleId="Header">
    <w:name w:val="header"/>
    <w:basedOn w:val="Normal"/>
    <w:link w:val="HeaderChar"/>
    <w:uiPriority w:val="99"/>
    <w:unhideWhenUsed/>
    <w:rsid w:val="00CE64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6427"/>
  </w:style>
  <w:style w:type="paragraph" w:styleId="Footer">
    <w:name w:val="footer"/>
    <w:basedOn w:val="Normal"/>
    <w:link w:val="FooterChar"/>
    <w:uiPriority w:val="99"/>
    <w:unhideWhenUsed/>
    <w:rsid w:val="00CE64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427"/>
  </w:style>
  <w:style w:type="character" w:styleId="PageNumber">
    <w:name w:val="page number"/>
    <w:basedOn w:val="DefaultParagraphFont"/>
    <w:uiPriority w:val="99"/>
    <w:semiHidden/>
    <w:unhideWhenUsed/>
    <w:rsid w:val="00CE6427"/>
  </w:style>
  <w:style w:type="paragraph" w:styleId="NormalWeb">
    <w:name w:val="Normal (Web)"/>
    <w:basedOn w:val="Normal"/>
    <w:uiPriority w:val="99"/>
    <w:unhideWhenUsed/>
    <w:rsid w:val="000108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108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8755">
      <w:bodyDiv w:val="1"/>
      <w:marLeft w:val="0"/>
      <w:marRight w:val="0"/>
      <w:marTop w:val="0"/>
      <w:marBottom w:val="0"/>
      <w:divBdr>
        <w:top w:val="none" w:sz="0" w:space="0" w:color="auto"/>
        <w:left w:val="none" w:sz="0" w:space="0" w:color="auto"/>
        <w:bottom w:val="none" w:sz="0" w:space="0" w:color="auto"/>
        <w:right w:val="none" w:sz="0" w:space="0" w:color="auto"/>
      </w:divBdr>
    </w:div>
    <w:div w:id="500897468">
      <w:bodyDiv w:val="1"/>
      <w:marLeft w:val="0"/>
      <w:marRight w:val="0"/>
      <w:marTop w:val="0"/>
      <w:marBottom w:val="0"/>
      <w:divBdr>
        <w:top w:val="none" w:sz="0" w:space="0" w:color="auto"/>
        <w:left w:val="none" w:sz="0" w:space="0" w:color="auto"/>
        <w:bottom w:val="none" w:sz="0" w:space="0" w:color="auto"/>
        <w:right w:val="none" w:sz="0" w:space="0" w:color="auto"/>
      </w:divBdr>
    </w:div>
    <w:div w:id="738480756">
      <w:bodyDiv w:val="1"/>
      <w:marLeft w:val="0"/>
      <w:marRight w:val="0"/>
      <w:marTop w:val="0"/>
      <w:marBottom w:val="0"/>
      <w:divBdr>
        <w:top w:val="none" w:sz="0" w:space="0" w:color="auto"/>
        <w:left w:val="none" w:sz="0" w:space="0" w:color="auto"/>
        <w:bottom w:val="none" w:sz="0" w:space="0" w:color="auto"/>
        <w:right w:val="none" w:sz="0" w:space="0" w:color="auto"/>
      </w:divBdr>
    </w:div>
    <w:div w:id="763722032">
      <w:bodyDiv w:val="1"/>
      <w:marLeft w:val="0"/>
      <w:marRight w:val="0"/>
      <w:marTop w:val="0"/>
      <w:marBottom w:val="0"/>
      <w:divBdr>
        <w:top w:val="none" w:sz="0" w:space="0" w:color="auto"/>
        <w:left w:val="none" w:sz="0" w:space="0" w:color="auto"/>
        <w:bottom w:val="none" w:sz="0" w:space="0" w:color="auto"/>
        <w:right w:val="none" w:sz="0" w:space="0" w:color="auto"/>
      </w:divBdr>
    </w:div>
    <w:div w:id="834687578">
      <w:bodyDiv w:val="1"/>
      <w:marLeft w:val="0"/>
      <w:marRight w:val="0"/>
      <w:marTop w:val="0"/>
      <w:marBottom w:val="0"/>
      <w:divBdr>
        <w:top w:val="none" w:sz="0" w:space="0" w:color="auto"/>
        <w:left w:val="none" w:sz="0" w:space="0" w:color="auto"/>
        <w:bottom w:val="none" w:sz="0" w:space="0" w:color="auto"/>
        <w:right w:val="none" w:sz="0" w:space="0" w:color="auto"/>
      </w:divBdr>
    </w:div>
    <w:div w:id="1457606503">
      <w:bodyDiv w:val="1"/>
      <w:marLeft w:val="0"/>
      <w:marRight w:val="0"/>
      <w:marTop w:val="0"/>
      <w:marBottom w:val="0"/>
      <w:divBdr>
        <w:top w:val="none" w:sz="0" w:space="0" w:color="auto"/>
        <w:left w:val="none" w:sz="0" w:space="0" w:color="auto"/>
        <w:bottom w:val="none" w:sz="0" w:space="0" w:color="auto"/>
        <w:right w:val="none" w:sz="0" w:space="0" w:color="auto"/>
      </w:divBdr>
    </w:div>
    <w:div w:id="1544757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1084</Words>
  <Characters>6184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MiuMiu</dc:creator>
  <cp:keywords/>
  <dc:description/>
  <cp:lastModifiedBy>mairatanweer.chachar-W215506300</cp:lastModifiedBy>
  <cp:revision>3</cp:revision>
  <dcterms:created xsi:type="dcterms:W3CDTF">2026-03-03T19:19:00Z</dcterms:created>
  <dcterms:modified xsi:type="dcterms:W3CDTF">2026-03-03T19:19:00Z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id="nkEJAugj"/&gt;&lt;style id="http://www.zotero.org/styles/apa" locale="en-US" hasBibliography="1" bibliographyStyleHasBeenSet="1"/&gt;&lt;prefs&gt;&lt;pref name="fieldType" value="Field"/&gt;&lt;/prefs&gt;&lt;/data&gt;</vt:lpwstr>
  </property>
</Properties>
</file>