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Barangay Cresencia Village aims to have a good establishment of Human Rights with in partnership with the City Government. A part of the Human Rights  advocacy is the right to health and education for every household. DSWD's Program, Pantawid Pamilyang Pilipino</w:t>
      </w:r>
    </w:p>
    <w:p w:rsidR="00000000" w:rsidDel="00000000" w:rsidP="00000000" w:rsidRDefault="00000000" w:rsidRPr="00000000">
      <w:pPr>
        <w:contextualSpacing w:val="0"/>
        <w:rPr/>
      </w:pPr>
      <w:r w:rsidDel="00000000" w:rsidR="00000000" w:rsidRPr="00000000">
        <w:rPr>
          <w:rtl w:val="0"/>
        </w:rPr>
        <w:t xml:space="preserve">Program (4Ps) is a human development measure of the national government that provides conditional cash grants to the poorest of the poor, to improve the health, nutrition, and the education of children aged 0-18. It is patterned after the conditional cash transfer (CCT) schemes in Latin American and african countries, which have lifted millions of people around the world from poverty. The program has dual objective as the flagship poverty alleviation program of the Aquino administration: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contextualSpacing w:val="1"/>
        <w:jc w:val="both"/>
        <w:rPr>
          <w:rFonts w:ascii="Arial" w:cs="Arial" w:eastAsia="Arial" w:hAnsi="Arial"/>
          <w:sz w:val="22"/>
          <w:szCs w:val="22"/>
        </w:rPr>
      </w:pPr>
      <w:r w:rsidDel="00000000" w:rsidR="00000000" w:rsidRPr="00000000">
        <w:rPr>
          <w:i w:val="1"/>
          <w:color w:val="222222"/>
          <w:rtl w:val="0"/>
        </w:rPr>
        <w:t xml:space="preserve">social assistance,</w:t>
      </w:r>
      <w:r w:rsidDel="00000000" w:rsidR="00000000" w:rsidRPr="00000000">
        <w:rPr>
          <w:color w:val="222222"/>
          <w:rtl w:val="0"/>
        </w:rPr>
        <w:t xml:space="preserve"> giving monetary support to extremely poor families to respond to their immediate needs; and</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contextualSpacing w:val="1"/>
        <w:jc w:val="both"/>
        <w:rPr>
          <w:rFonts w:ascii="Arial" w:cs="Arial" w:eastAsia="Arial" w:hAnsi="Arial"/>
          <w:sz w:val="22"/>
          <w:szCs w:val="22"/>
        </w:rPr>
      </w:pPr>
      <w:r w:rsidDel="00000000" w:rsidR="00000000" w:rsidRPr="00000000">
        <w:rPr>
          <w:i w:val="1"/>
          <w:color w:val="222222"/>
          <w:rtl w:val="0"/>
        </w:rPr>
        <w:t xml:space="preserve">social development,</w:t>
      </w:r>
      <w:r w:rsidDel="00000000" w:rsidR="00000000" w:rsidRPr="00000000">
        <w:rPr>
          <w:color w:val="222222"/>
          <w:rtl w:val="0"/>
        </w:rPr>
        <w:t xml:space="preserve"> breaking the intergenerational poverty cycle by investing in the health and education of poor children through programs such as:</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line="384.00000000000006" w:lineRule="auto"/>
        <w:ind w:left="1440" w:hanging="360"/>
        <w:contextualSpacing w:val="1"/>
        <w:rPr>
          <w:rFonts w:ascii="Arial" w:cs="Arial" w:eastAsia="Arial" w:hAnsi="Arial"/>
          <w:sz w:val="22"/>
          <w:szCs w:val="22"/>
        </w:rPr>
      </w:pPr>
      <w:r w:rsidDel="00000000" w:rsidR="00000000" w:rsidRPr="00000000">
        <w:rPr>
          <w:color w:val="222222"/>
          <w:rtl w:val="0"/>
        </w:rPr>
        <w:t xml:space="preserve">health check-ups for pregnant women and children aged 0 to 5;</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line="384.00000000000006" w:lineRule="auto"/>
        <w:ind w:left="1440" w:hanging="360"/>
        <w:contextualSpacing w:val="1"/>
        <w:rPr>
          <w:rFonts w:ascii="Arial" w:cs="Arial" w:eastAsia="Arial" w:hAnsi="Arial"/>
          <w:sz w:val="22"/>
          <w:szCs w:val="22"/>
        </w:rPr>
      </w:pPr>
      <w:r w:rsidDel="00000000" w:rsidR="00000000" w:rsidRPr="00000000">
        <w:rPr>
          <w:color w:val="222222"/>
          <w:rtl w:val="0"/>
        </w:rPr>
        <w:t xml:space="preserve">deworming of schoolchildren aged 6 to 14;</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line="384.00000000000006" w:lineRule="auto"/>
        <w:ind w:left="1440" w:hanging="360"/>
        <w:contextualSpacing w:val="1"/>
        <w:rPr>
          <w:rFonts w:ascii="Arial" w:cs="Arial" w:eastAsia="Arial" w:hAnsi="Arial"/>
          <w:sz w:val="22"/>
          <w:szCs w:val="22"/>
        </w:rPr>
      </w:pPr>
      <w:r w:rsidDel="00000000" w:rsidR="00000000" w:rsidRPr="00000000">
        <w:rPr>
          <w:color w:val="222222"/>
          <w:rtl w:val="0"/>
        </w:rPr>
        <w:t xml:space="preserve">enrollment of children in daycare, elementary, and secondary schools; and</w:t>
      </w:r>
    </w:p>
    <w:p w:rsidR="00000000" w:rsidDel="00000000" w:rsidP="00000000" w:rsidRDefault="00000000" w:rsidRPr="00000000">
      <w:pPr>
        <w:numPr>
          <w:ilvl w:val="1"/>
          <w:numId w:val="2"/>
        </w:numPr>
        <w:pBdr>
          <w:top w:color="auto" w:space="0" w:sz="0" w:val="none"/>
          <w:bottom w:color="auto" w:space="0" w:sz="0" w:val="none"/>
          <w:right w:color="auto" w:space="0" w:sz="0" w:val="none"/>
          <w:between w:color="auto" w:space="0" w:sz="0" w:val="none"/>
        </w:pBdr>
        <w:spacing w:line="384.00000000000006" w:lineRule="auto"/>
        <w:ind w:left="1440" w:hanging="360"/>
        <w:contextualSpacing w:val="1"/>
        <w:rPr>
          <w:rFonts w:ascii="Arial" w:cs="Arial" w:eastAsia="Arial" w:hAnsi="Arial"/>
          <w:sz w:val="22"/>
          <w:szCs w:val="22"/>
        </w:rPr>
      </w:pPr>
      <w:r w:rsidDel="00000000" w:rsidR="00000000" w:rsidRPr="00000000">
        <w:rPr>
          <w:color w:val="222222"/>
          <w:rtl w:val="0"/>
        </w:rPr>
        <w:t xml:space="preserve">family development sessions.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84.00000000000006" w:lineRule="auto"/>
        <w:ind w:left="0" w:firstLine="0"/>
        <w:contextualSpacing w:val="0"/>
        <w:rPr>
          <w:color w:val="222222"/>
        </w:rPr>
      </w:pPr>
      <w:r w:rsidDel="00000000" w:rsidR="00000000" w:rsidRPr="00000000">
        <w:rPr>
          <w:color w:val="222222"/>
          <w:rtl w:val="0"/>
        </w:rPr>
        <w:t xml:space="preserve">The 4Ps also has two types of cash grants that are given out to household-beneficiaries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color w:val="222222"/>
          <w:u w:val="none"/>
        </w:rPr>
      </w:pPr>
      <w:r w:rsidDel="00000000" w:rsidR="00000000" w:rsidRPr="00000000">
        <w:rPr>
          <w:color w:val="222222"/>
          <w:rtl w:val="0"/>
        </w:rPr>
        <w:t xml:space="preserve">health grant: P500 per household every month, or a total of P6,000 every year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color w:val="222222"/>
          <w:u w:val="none"/>
        </w:rPr>
      </w:pPr>
      <w:r w:rsidDel="00000000" w:rsidR="00000000" w:rsidRPr="00000000">
        <w:rPr>
          <w:color w:val="222222"/>
          <w:rtl w:val="0"/>
        </w:rPr>
        <w:t xml:space="preserve">education grant: P300 per child every month for ten months, or a total of P3,000 every year (a household may register a maximum of three children for the program)</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84.00000000000006" w:lineRule="auto"/>
        <w:contextualSpacing w:val="0"/>
        <w:rPr>
          <w:color w:val="222222"/>
        </w:rPr>
      </w:pPr>
      <w:r w:rsidDel="00000000" w:rsidR="00000000" w:rsidRPr="00000000">
        <w:rPr>
          <w:color w:val="222222"/>
          <w:rtl w:val="0"/>
        </w:rPr>
        <w:t xml:space="preserve">In order to receive the above mentioned subsidies, all the succeeding conditions must be met by the household-beneficiaries:</w:t>
        <w:br w:type="textWrapping"/>
        <w:br w:type="textWrapping"/>
        <w:t xml:space="preserve">1. Pregnant women must avail pre- and post-natal care, and be attended during childbirth by a trained professional;</w:t>
        <w:br w:type="textWrapping"/>
        <w:t xml:space="preserve">2. Parents or guardians must attend the family development sessions, which include topics on responsible parenting, health, and nutrition;</w:t>
        <w:br w:type="textWrapping"/>
        <w:t xml:space="preserve">3. Children aged 0-5 must receive regular preventive health check-ups and vaccines;</w:t>
        <w:br w:type="textWrapping"/>
        <w:t xml:space="preserve">4. Children aged 6-14 must receive deworming pills twice a year; and</w:t>
        <w:br w:type="textWrapping"/>
        <w:t xml:space="preserve">5. Children-beneficiaries aged 3-18 must enroll in school, and maintain an attendance of at least 85% of class days every month.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line="384.00000000000006" w:lineRule="auto"/>
        <w:contextualSpacing w:val="0"/>
        <w:rPr>
          <w:color w:val="222222"/>
        </w:rPr>
      </w:pPr>
      <w:r w:rsidDel="00000000" w:rsidR="00000000" w:rsidRPr="00000000">
        <w:rPr>
          <w:color w:val="222222"/>
          <w:rtl w:val="0"/>
        </w:rPr>
        <w:t xml:space="preserve">© DSWD Gov</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rFonts w:ascii="Roboto" w:cs="Roboto" w:eastAsia="Roboto" w:hAnsi="Roboto"/>
        <w:color w:val="22222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