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8"/>
        <w:gridCol w:w="2508"/>
      </w:tblGrid>
      <w:tr w14:paraId="63C1D1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8286" w:type="dxa"/>
            <w:gridSpan w:val="2"/>
            <w:tcBorders>
              <w:bottom w:val="nil"/>
            </w:tcBorders>
            <w:vAlign w:val="center"/>
          </w:tcPr>
          <w:p w14:paraId="657C11C0">
            <w:pPr>
              <w:adjustRightInd w:val="0"/>
              <w:snapToGrid w:val="0"/>
              <w:spacing w:line="180" w:lineRule="atLeast"/>
              <w:jc w:val="center"/>
              <w:rPr>
                <w:rFonts w:ascii="宋体" w:hAnsi="宋体"/>
                <w:b/>
                <w:sz w:val="32"/>
                <w:szCs w:val="32"/>
              </w:rPr>
            </w:pPr>
            <w:bookmarkStart w:id="0" w:name="_Hlk176438648"/>
            <w:r>
              <w:rPr>
                <w:rFonts w:hint="eastAsia" w:ascii="宋体" w:hAnsi="宋体"/>
                <w:b/>
                <w:sz w:val="28"/>
                <w:szCs w:val="24"/>
              </w:rPr>
              <w:t>“华航唯实杯”第十三届浙江省大学生工程实践与创新能力大赛</w:t>
            </w:r>
          </w:p>
        </w:tc>
      </w:tr>
      <w:tr w14:paraId="50D9C08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8286" w:type="dxa"/>
            <w:gridSpan w:val="2"/>
            <w:tcBorders>
              <w:top w:val="nil"/>
            </w:tcBorders>
            <w:vAlign w:val="center"/>
          </w:tcPr>
          <w:p w14:paraId="07F4AE92">
            <w:pPr>
              <w:adjustRightInd w:val="0"/>
              <w:snapToGrid w:val="0"/>
              <w:spacing w:line="180" w:lineRule="atLeast"/>
              <w:jc w:val="righ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</w:t>
            </w:r>
            <w:r>
              <w:rPr>
                <w:rFonts w:ascii="宋体" w:hAnsi="宋体"/>
                <w:b/>
                <w:sz w:val="24"/>
              </w:rPr>
              <w:t xml:space="preserve">            </w:t>
            </w:r>
            <w:r>
              <w:rPr>
                <w:rFonts w:hint="eastAsia" w:ascii="宋体" w:hAnsi="宋体"/>
                <w:b/>
                <w:sz w:val="24"/>
              </w:rPr>
              <w:t>作品号码：</w:t>
            </w:r>
            <w:r>
              <w:rPr>
                <w:rFonts w:hint="eastAsia" w:ascii="宋体" w:hAnsi="宋体"/>
                <w:b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b/>
                <w:sz w:val="24"/>
                <w:u w:val="single"/>
              </w:rPr>
              <w:t xml:space="preserve">         </w:t>
            </w:r>
            <w:r>
              <w:rPr>
                <w:rFonts w:hint="eastAsia" w:ascii="宋体" w:hAnsi="宋体"/>
                <w:b/>
                <w:sz w:val="24"/>
              </w:rPr>
              <w:t>（</w:t>
            </w:r>
            <w:r>
              <w:rPr>
                <w:rFonts w:hint="eastAsia" w:ascii="宋体" w:hAnsi="宋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由组委会填写</w:t>
            </w:r>
            <w:r>
              <w:rPr>
                <w:rFonts w:hint="eastAsia" w:ascii="宋体" w:hAnsi="宋体"/>
                <w:b/>
                <w:sz w:val="24"/>
              </w:rPr>
              <w:t>）</w:t>
            </w:r>
          </w:p>
        </w:tc>
      </w:tr>
      <w:tr w14:paraId="38553F8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5778" w:type="dxa"/>
            <w:vMerge w:val="restart"/>
            <w:vAlign w:val="center"/>
          </w:tcPr>
          <w:p w14:paraId="1D8A8641">
            <w:pPr>
              <w:pStyle w:val="Title"/>
              <w:keepNext w:val="0"/>
              <w:widowControl/>
              <w:spacing w:line="400" w:lineRule="exact" w:before="0" w:after="0"/>
              <w:ind w:firstLine="0"/>
              <w:jc w:val="center"/>
              <w:rPr>
                <w:rFonts w:ascii="华文行楷" w:eastAsia="华文行楷"/>
                <w:b/>
                <w:sz w:val="28"/>
                <w:szCs w:val="28"/>
              </w:rPr>
            </w:pPr>
            <w:r>
              <w:rPr>
                <w:rFonts w:hint="eastAsia" w:ascii="宋体" w:eastAsia="宋体" w:hAnsi="宋体"/>
                <w:b/>
                <w:color w:val="000000"/>
                <w:sz w:val="44"/>
                <w:szCs w:val="44"/>
              </w:rPr>
              <w:t>作品说明书</w:t>
            </w:r>
          </w:p>
        </w:tc>
        <w:tc>
          <w:tcPr>
            <w:tcW w:w="2508" w:type="dxa"/>
            <w:shd w:val="clear" w:color="auto" w:fill="E6E6E6"/>
            <w:vAlign w:val="center"/>
          </w:tcPr>
          <w:p w14:paraId="664D236F">
            <w:pPr>
              <w:adjustRightInd w:val="0"/>
              <w:snapToGrid w:val="0"/>
              <w:spacing w:line="180" w:lineRule="atLeast"/>
              <w:jc w:val="center"/>
              <w:rPr>
                <w:rFonts w:ascii="华文行楷" w:eastAsia="华文行楷"/>
                <w:b/>
                <w:sz w:val="24"/>
              </w:rPr>
            </w:pPr>
            <w:r>
              <w:rPr>
                <w:rFonts w:hint="eastAsia"/>
                <w:sz w:val="24"/>
              </w:rPr>
              <w:t>参赛项目</w:t>
            </w:r>
          </w:p>
        </w:tc>
      </w:tr>
      <w:tr w14:paraId="439DBCE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5778" w:type="dxa"/>
            <w:vMerge w:val="continue"/>
            <w:vAlign w:val="center"/>
          </w:tcPr>
          <w:p w14:paraId="3972EE97">
            <w:pPr>
              <w:spacing w:line="480" w:lineRule="exact"/>
              <w:jc w:val="center"/>
              <w:rPr>
                <w:rFonts w:ascii="黑体" w:eastAsia="黑体"/>
                <w:b/>
                <w:sz w:val="44"/>
                <w:szCs w:val="44"/>
              </w:rPr>
            </w:pPr>
          </w:p>
        </w:tc>
        <w:tc>
          <w:tcPr>
            <w:tcW w:w="2508" w:type="dxa"/>
            <w:shd w:val="clear" w:color="auto" w:fill="E6E6E6"/>
            <w:vAlign w:val="center"/>
          </w:tcPr>
          <w:p>
            <w:pPr>
              <w:keepNext w:val="0"/>
              <w:widowControl/>
              <w:spacing w:lineRule="exact" w:line="400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“智能＋”赛道</w:t>
              <w:br/>
              <w:t>智能分拣</w:t>
            </w:r>
          </w:p>
        </w:tc>
      </w:tr>
      <w:tr w14:paraId="638BC6A6">
        <w:trPr>
          <w:cantSplit/>
        </w:trPr>
        <w:tc>
          <w:tcPr>
            <w:tcW w:w="8286" w:type="dxa"/>
            <w:gridSpan w:val="2"/>
            <w:vAlign w:val="top"/>
            <w:tcBorders>
              <w:top w:val="single" w:sz="8" w:color="auto"/>
              <w:bottom w:val="nil"/>
            </w:tcBorders>
          </w:tcPr>
          <w:p>
            <w:pPr>
              <w:keepNext w:val="0"/>
              <w:keepLines/>
              <w:pageBreakBefore w:val="0"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一、参赛作品简介</w:t>
            </w:r>
          </w:p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几何物块视觉识别与自动分拣系统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本作品面向多形状、多颜色物块的智能分拣任务，采用双摄像头、笔记本、香橙派与STM32F407组成感知及控制系统，以X、Y、Z直线运动机构、六盒转盘和舵机夹爪完成物块搬运。系统围绕识别、定位、抓取、归盒与信息显示构建作业流程，工作区样例如图1所示。</w:t>
            </w:r>
          </w:p>
        </w:tc>
      </w:tr>
      <w:tr w14:paraId="638BC6A6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spacing w:line="240" w:lineRule="auto" w:before="8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5999" cy="13443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space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1344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图1 项目相机采集的物块与抓取工作区</w:t>
            </w:r>
          </w:p>
        </w:tc>
      </w:tr>
      <w:tr w14:paraId="638BC6A6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视觉端利用SAM提取物块轮廓及位置，结合通用视觉模型判断几何形状与颜色，无需为每批物块重新训练专用分类器；几何规则作为辅助。上位机将图像坐标转换为机构目标坐标，按类别分配储物盒，并调度转盘、夹爪及三轴动作。</w:t>
            </w:r>
          </w:p>
        </w:tc>
      </w:tr>
      <w:tr w14:paraId="638BC6A6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系统提供视觉预览、手动控制、标定示教、自动抓放和日志记录。现阶段已具备软件与控制链路基础，正在完善复杂几何体及镂空件识别、全场标定和整机连续作业验证。总体架构如图2所示。</w:t>
            </w:r>
          </w:p>
        </w:tc>
      </w:tr>
      <w:tr w14:paraId="638BC6A6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single" w:sz="8" w:color="auto"/>
            </w:tcBorders>
          </w:tcPr>
          <w:p>
            <w:pPr>
              <w:keepNext w:val="0"/>
              <w:spacing w:line="240" w:lineRule="auto" w:before="8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1711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171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图2 系统总体架构示意图</w:t>
            </w:r>
          </w:p>
        </w:tc>
      </w:tr>
      <w:tr w14:paraId="54A4D005">
        <w:trPr>
          <w:cantSplit/>
        </w:trPr>
        <w:tc>
          <w:tcPr>
            <w:tcW w:w="8286" w:type="dxa"/>
            <w:gridSpan w:val="2"/>
            <w:vAlign w:val="top"/>
            <w:tcBorders>
              <w:top w:val="single" w:sz="8" w:color="auto"/>
              <w:bottom w:val="nil"/>
            </w:tcBorders>
          </w:tcPr>
          <w:p>
            <w:pPr>
              <w:keepNext w:val="0"/>
              <w:keepLines/>
              <w:pageBreakBefore w:val="0"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二、作品设计方案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作品采用分层设计，将图像理解、任务决策与底层运动分开。笔记本承担分割、分类、坐标换算及任务管理；香橙派承担双摄采集和通信转发；STM32负责解析指令、访问驱动器并执行运动。六盒转盘将类别选择集中在固定投放位置，减少末端在多个投放点之间的移动。</w:t>
            </w:r>
          </w:p>
        </w:tc>
      </w:tr>
      <w:tr w14:paraId="54A4D005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2.1 硬件设计方案</w:t>
            </w:r>
          </w:p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2.1.1 双摄感知与计算模块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主视相机覆盖抓取区，提供物块数量、轮廓与平面位置；副视相机补充侧面信息，辅助区分投影相近的几何体。相机可直接接入笔记本，也可由香橙派通过图传链路提供图像。识别在笔记本运行，避免将较重的视觉推理压在采集端。</w:t>
            </w:r>
          </w:p>
        </w:tc>
      </w:tr>
      <w:tr w14:paraId="54A4D005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2.1.2 控制与驱动模块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STM32F407通过USB虚拟串口与上位机通信，再经USART向EMM V5驱动器发送运动及查询指令。执行端包含Z升降轴、X和Y平移轴、转盘轴以及舵机夹爪。上位机利用位置回读检查动作完成情况，舵机通过PWM控制预备、夹紧与松开。实际回读接线、轴向和行程须在整机验收时逐项确认。</w:t>
            </w:r>
          </w:p>
        </w:tc>
      </w:tr>
      <w:tr w14:paraId="54A4D005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2.1.3 转盘与末端执行机构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转盘设置六个储物盒，各盒相隔60°，物块由夹爪在固定位置P0投放。X、Y轴负责对准，Z轴负责接近和提升。初始位置附近存在通道约束，出程先沿Y轴离开盒区再抬升，抓取区内的横向移动在已验证的安全高度进行；回程按相反顺序返回。</w:t>
            </w:r>
          </w:p>
        </w:tc>
      </w:tr>
      <w:tr w14:paraId="54A4D005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2.2 软件与视觉算法</w:t>
            </w:r>
          </w:p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2.2.1 托盘校正与实例分割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两路图像分别选四点建立透视变换，将工作区校正到统一托盘平面。当前交付版先以颜色前景生成候选区域，再向SAM提供内部提示点，得到实例掩膜。面积、边缘和前景覆盖率过滤用于去除托盘及盘外干扰，并对重复掩膜或同一物块的相邻面进行合并。流程见图3。</w:t>
            </w:r>
          </w:p>
        </w:tc>
      </w:tr>
      <w:tr w14:paraId="54A4D005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spacing w:line="240" w:lineRule="auto" w:before="8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0000" cy="195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sual-flow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9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图3 交付版视觉识别流程示意图</w:t>
            </w:r>
          </w:p>
        </w:tc>
      </w:tr>
      <w:tr w14:paraId="54A4D005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2.2.2 形状颜色识别与双摄协同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当前交付版配置以云端视觉模型为主分类器，输入校正后的主视图及可用副视图，输出物块形状、主体颜色和中心估计；再按中心邻近关系与SAM目标匹配，保留分割位置。云端失败时回退到轮廓圆度、锐角数、长宽比等几何判据及既有登记规则。双摄通过位置和颜色进行匹配，并非三维重建，同色重叠目标仍需复核。</w:t>
            </w:r>
          </w:p>
        </w:tc>
      </w:tr>
      <w:tr w14:paraId="54A4D005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新上位机另设本地通用视觉模型与云端裁剪分类入口，以掩膜颜色统计提供主体色参考，并增加可见孔洞分析。该路径用于评估首次出现物块的识别能力，不将单幅轮廓直接等同于完整三维形状。镂空件还需区分真实孔洞、印字和阴影，未确定结果不得作为可靠分类结论。</w:t>
            </w:r>
          </w:p>
        </w:tc>
      </w:tr>
      <w:tr w14:paraId="54A4D005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2.2.3 坐标标定与目标管理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视觉中心使用托盘归一化坐标u、v表示，通过多点仿射标定转换为X、Y目标脉冲：</w:t>
            </w:r>
          </w:p>
        </w:tc>
      </w:tr>
      <w:tr w14:paraId="54A4D005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X＝a·u＋b·v＋tx    Y＝c·u＋d·v＋ty</w:t>
            </w:r>
          </w:p>
        </w:tc>
      </w:tr>
      <w:tr w14:paraId="54A4D005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采样需覆盖工作区并使用新鲜的位置回读；拟合后以独立点验证误差，检查目标和路线是否处于各轴限位内。改变相机、工作区或机械零点后重新复核。现有标定尚存在局部误差及限位冲突，不能直接作为全场精度结论。物块高度引起的视差及镂空体抓点选择是后续完善重点。</w:t>
            </w:r>
          </w:p>
        </w:tc>
      </w:tr>
      <w:tr w14:paraId="54A4D005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2.3 上下位机协同与自动作业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系统支持手动调试和自动抓放。自动流程先识别类别与位置，再确定盒号；转盘对准后，夹爪经通道到达安全高度，X、Y对准目标，Z下探夹取，抬升后返回P0松爪，最后更新类别、盒号和件数。新上位机按形状、颜色及镂空状态形成类别键，最多分配六盒；分类标准可按实际任务调整。动作顺序见图4。</w:t>
            </w:r>
          </w:p>
        </w:tc>
      </w:tr>
      <w:tr w14:paraId="54A4D005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spacing w:line="240" w:lineRule="auto" w:before="8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0000" cy="15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-flow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5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图4 自动抓放动作顺序示意图</w:t>
            </w:r>
          </w:p>
        </w:tc>
      </w:tr>
      <w:tr w14:paraId="54A4D005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single" w:sz="8" w:color="auto"/>
            </w:tcBorders>
          </w:tcPr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2.4 状态反馈与异常处理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通信包含请求编号、校验、应答和遥测，闭环定位由固件回读位置并补差。新上位机加入显式解除停止、过期位置拒绝、路线预检及完成后位置复核。旧流程的自动解锁、角度语义及部分时序问题已列入整改，需统一验收；原点、硬限位、独立故障保护和落料确认仍需结合实机完善。比赛通信及模型部署方式以现场规则为准。</w:t>
            </w:r>
          </w:p>
        </w:tc>
      </w:tr>
      <w:tr w14:paraId="6C1FC175">
        <w:trPr>
          <w:cantSplit/>
        </w:trPr>
        <w:tc>
          <w:tcPr>
            <w:tcW w:w="8286" w:type="dxa"/>
            <w:gridSpan w:val="2"/>
            <w:vAlign w:val="top"/>
            <w:tcBorders>
              <w:top w:val="single" w:sz="8" w:color="auto"/>
              <w:bottom w:val="nil"/>
            </w:tcBorders>
          </w:tcPr>
          <w:p>
            <w:pPr>
              <w:keepNext w:val="0"/>
              <w:keepLines/>
              <w:pageBreakBefore w:val="0"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三、制作与测试记录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项目按机构与驱动联调、图传与协议对接、视觉标定、自动流程集成推进。已形成STM32固件、香橙派服务和一体化上位机，并另建支持本地与云端识别的新界面。</w:t>
            </w:r>
          </w:p>
        </w:tc>
      </w:tr>
      <w:tr w14:paraId="6C1FC175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3.1 调试问题与处理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针对方块整体投影呈六边形的问题，加入顶面分析与视觉模型判断；针对托盘及重复面片误检，增加前景提示、边缘过滤和掩膜合并。标定检查发现残差偏大及目标越限，拟通过分散采点、独立验证和统一限位整改。连续分盒角度和停止取消问题已定位，新上位机采用绝对盒位及锁存取消。</w:t>
            </w:r>
          </w:p>
        </w:tc>
      </w:tr>
      <w:tr w14:paraId="6C1FC175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single" w:sz="8" w:color="auto"/>
            </w:tcBorders>
          </w:tcPr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3.2 已有验证与后续测试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归档的离线测试中，旧自动抓放、客户端及预备定位共56项单元测试通过。对一张含9件物块的渲染图，本地视觉模型形状判断为7件正确，热启动单件约1.2至1.6秒；该结果不代表现场准确率，且全图分割另有耗时。当前仍需统计实拍形状颜色准确率、标定毫米误差、抓放成功率及连续运行耗时，镂空件单独验收。</w:t>
            </w:r>
          </w:p>
        </w:tc>
      </w:tr>
      <w:tr w14:paraId="19BE686D">
        <w:trPr>
          <w:cantSplit/>
        </w:trPr>
        <w:tc>
          <w:tcPr>
            <w:tcW w:w="8286" w:type="dxa"/>
            <w:gridSpan w:val="2"/>
            <w:vAlign w:val="top"/>
            <w:tcBorders>
              <w:top w:val="single" w:sz="8" w:color="auto"/>
              <w:bottom w:val="nil"/>
            </w:tcBorders>
          </w:tcPr>
          <w:p>
            <w:pPr>
              <w:keepNext w:val="0"/>
              <w:keepLines/>
              <w:pageBreakBefore w:val="0"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四、创新点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1）分割与语义识别分工。由SAM提供物块边界与位置，通用视觉模型判断形状，面向无需逐批训练的应用需求，并保留几何辅助路径。</w:t>
            </w:r>
          </w:p>
        </w:tc>
      </w:tr>
      <w:tr w14:paraId="19BE686D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0" w:after="0"/>
              <w:ind w:firstLine="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2）固定投放点与六盒转盘协同。通过类别到盒位的映射，在统一投放位置完成分类收纳，结合低位通道和高位移动组织抓放路线。</w:t>
            </w:r>
          </w:p>
        </w:tc>
      </w:tr>
      <w:tr w14:paraId="19BE686D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single" w:sz="8" w:color="auto"/>
            </w:tcBorders>
          </w:tcPr>
          <w:p>
            <w:pPr>
              <w:keepNext w:val="0"/>
              <w:keepLines/>
              <w:widowControl/>
              <w:spacing w:lineRule="exact" w:line="400" w:before="0" w:after="0"/>
              <w:ind w:firstLine="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3）识别结果与执行状态联动。将目标时效、位置反馈、类别映射和显示记录纳入上位机；新实现以到位应答与位置复核约束后续动作，便于追溯异常。</w:t>
            </w:r>
          </w:p>
        </w:tc>
      </w:tr>
      <w:tr w14:paraId="60CAA474">
        <w:trPr>
          <w:cantSplit/>
        </w:trPr>
        <w:tc>
          <w:tcPr>
            <w:tcW w:w="8286" w:type="dxa"/>
            <w:gridSpan w:val="2"/>
            <w:vAlign w:val="top"/>
            <w:tcBorders>
              <w:top w:val="single" w:sz="8" w:color="auto"/>
              <w:bottom w:val="nil"/>
            </w:tcBorders>
          </w:tcPr>
          <w:p>
            <w:pPr>
              <w:keepNext w:val="0"/>
              <w:keepLines/>
              <w:pageBreakBefore w:val="0"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五、决赛命题设想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建议以未知几何物块的自主识别与分类收纳为决赛场景，考查首次识别、多目标处理、定位抓取和状态反馈。以下物料数量、时间及评分为命题建议，正式任务与通信限制以组委会公布为准。</w:t>
            </w:r>
          </w:p>
        </w:tc>
      </w:tr>
      <w:tr w14:paraId="60CAA474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5.1 决赛任务与阶段区别</w:t>
            </w:r>
          </w:p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5.1.1 第一阶段基础任务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设置6件不超过3类的常见实心物块，分开放置，颜色和形状组合在准备阶段公布。装置完成识别、定位、抓取与归盒，显示序号、形状、颜色、盒号和完成状态。建议限时4分钟，重点评价基础分类、抓取成功及完整作业流程。</w:t>
            </w:r>
          </w:p>
        </w:tc>
      </w:tr>
      <w:tr w14:paraId="60CAA474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5.1.2 第二阶段综合任务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设置12件、不超过6类的物块，分2、4、6件三批放入；增加此前未见的颜色与形状组合、不同转角、相邻摆放及至少2件镂空物块。准备结束后不允许重新训练模型或逐件人工登记。建议总限时7分钟，重点评价泛化、连续作业及对不确定目标的处置。</w:t>
            </w:r>
          </w:p>
        </w:tc>
      </w:tr>
      <w:tr w14:paraId="60CAA474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第一阶段采用分散、已知组合验证基本能力；第二阶段增加未知组合、批量目标及孔洞特征，同时要求批次统计与异常记录。类别判据应提前明确：可按形状加颜色分盒，也可增加镂空状态，但同一轮形成的类别键不得超过盒数。</w:t>
            </w:r>
          </w:p>
        </w:tc>
      </w:tr>
      <w:tr w14:paraId="60CAA474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5.1.3 判定与约束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物块形状、颜色和镂空状态由裁判建立真值，尺寸、质量、可夹持面及孔洞可见性在准备阶段确认，避免将不可观测内部结构作为唯一判据。同一类别应进入同一盒，不同类别不得混放。识别显示、实际落盒和批次计数分别核验；执行过松爪动作不能单独算作落盒成功。</w:t>
            </w:r>
          </w:p>
        </w:tc>
      </w:tr>
      <w:tr w14:paraId="60CAA474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计时期间由装置自主决策，不允许人工指定类别和运动目标。允许的初始化与调整仅在准备阶段完成。若禁用外网，应使用预先部署的本地模型；若允许云端，应统一网络及调用条件。安全停止、人工介入和恢复的计分规则应在赛前明确。</w:t>
            </w:r>
          </w:p>
        </w:tc>
      </w:tr>
      <w:tr w14:paraId="60CAA474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5.2 命题变化后的设计调整</w:t>
            </w:r>
          </w:p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5.2.1 视觉识别调整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对首次出现的形状组合，以通用模型及双视角证据辅助判断；彩色目标与低饱和目标分别配置前景策略，避免黑白灰物块在候选阶段遗漏。分类低可信或两视角冲突时重新采图，并记录原因，不能直接映射到某个已知类。镂空检测使用孔洞形态与另一视角复核，抓点结合实际夹持面选择。</w:t>
            </w:r>
          </w:p>
        </w:tc>
      </w:tr>
      <w:tr w14:paraId="60CAA474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5.2.2 标定与控制调整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按有效抓取区重新做九点或十六点标定，另留独立检验点。根据实际物块高度评估视差和抓取高度，必要时做分层补偿。统一绝对目标限位、盒号角度和运动完成条件；停止后取消旧任务，不自动恢复。原点、终端保护和夹持检测的补充需结合机构条件实施。</w:t>
            </w:r>
          </w:p>
        </w:tc>
      </w:tr>
      <w:tr w14:paraId="60CAA474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5.2.3 效率与部署调整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将快速定位和语义分类异步执行，对稳定目标缓存结果，减少重复推理。SAM全图分割用于需要时的补充，不能把相机预览帧率当作分类速度。通过同一批实拍样本比较本地与云端的正确率、完整耗时和失败率，再选择比赛部署路径；优先保持判定一致与动作可靠。</w:t>
            </w:r>
          </w:p>
        </w:tc>
      </w:tr>
      <w:tr w14:paraId="60CAA474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5.3 现场决赛过程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准备阶段建议5分钟：核对机械固定、供电和通信，清空储物盒，确认各轴位置基准与转盘1号盒零点，以固定参考点复核标定，检查停止功能，载入任务配置后进入待机。上述检查完成后才允许计时启动。</w:t>
            </w:r>
          </w:p>
        </w:tc>
      </w:tr>
      <w:tr w14:paraId="60CAA474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比赛开始后，裁判按批次放入物块并撤离工作区。系统采图、识别并建立类别映射，选择可抓目标，完成转盘对准、通道移动、抓取、返回和归盒。每件完成后更新显示，批次完成后显示类别及数量，裁判确认后投入下一批。遇到遮挡或冲突可重新观察；连续失败或越限时停止并保留故障记录。</w:t>
            </w:r>
          </w:p>
        </w:tc>
      </w:tr>
      <w:tr w14:paraId="60CAA474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nil"/>
            </w:tcBorders>
          </w:tcPr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结束阶段由裁判清点各盒实物，与识别记录和完成计数对照，统计错分、漏分、抓取失败及人工介入。盒区当前没有独立视觉确认条件，因此不将自主回收纠错列为已具备能力。若未来新增落料传感器或盒区相机，可另设复核任务。</w:t>
            </w:r>
          </w:p>
        </w:tc>
      </w:tr>
      <w:tr w14:paraId="60CAA474">
        <w:trPr>
          <w:cantSplit/>
        </w:trPr>
        <w:tc>
          <w:tcPr>
            <w:tcW w:w="8286" w:type="dxa"/>
            <w:gridSpan w:val="2"/>
            <w:vAlign w:val="top"/>
            <w:tcBorders>
              <w:top w:val="nil"/>
              <w:bottom w:val="single" w:sz="8" w:color="auto"/>
            </w:tcBorders>
          </w:tcPr>
          <w:p>
            <w:pPr>
              <w:keepNext w:val="0"/>
              <w:keepLines/>
              <w:widowControl/>
              <w:spacing w:lineRule="exact" w:line="400" w:before="40" w:after="0"/>
              <w:ind w:firstLine="0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5.4 建议评分与排序</w:t>
            </w:r>
          </w:p>
          <w:p>
            <w:pPr>
              <w:keepNext w:val="0"/>
              <w:keepLines/>
              <w:widowControl/>
              <w:spacing w:lineRule="exact" w:line="400" w:before="0" w:after="0"/>
              <w:ind w:firstLine="42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建议分类正确性40分，按形状、颜色、镂空及实际归盒一致性计分；自主完成度30分，按有效搬运数量和完整批次计分；时间效率20分，仅对有效完成任务计分；交互与异常处理10分，评价显示、记录和受控停止。总分相同时，先比较正确归盒数量，再比较有效完成时间。具体细则由赛题统一规定。</w:t>
            </w:r>
          </w:p>
        </w:tc>
      </w:tr>
      <w:tr w14:paraId="0625D6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  <w:cantSplit w:val="1"/>
        </w:trPr>
        <w:tc>
          <w:tcPr>
            <w:tcW w:w="8286" w:type="dxa"/>
            <w:gridSpan w:val="2"/>
          </w:tcPr>
          <w:p w14:paraId="20123513">
            <w:pPr>
              <w:keepNext/>
              <w:keepLines/>
              <w:widowControl/>
              <w:spacing w:line="400" w:lineRule="exact" w:before="0" w:after="0"/>
              <w:ind w:firstLine="0"/>
              <w:jc w:val="both"/>
              <w:rPr>
                <w:rFonts w:ascii="宋体" w:hAnsi="宋体" w:eastAsia="宋体" w:cs="Times New Roman"/>
                <w:sz w:val="24"/>
                <w:szCs w:val="24"/>
              </w:rPr>
            </w:pPr>
            <w:bookmarkStart w:id="1" w:name="OLE_LINK7"/>
            <w:bookmarkStart w:id="2" w:name="OLE_LINK8"/>
            <w:r>
              <w:rPr>
                <w:rFonts w:hint="eastAsia" w:ascii="宋体" w:hAnsi="宋体" w:eastAsia="宋体" w:cs="Times New Roman"/>
                <w:b w:val="0"/>
                <w:color w:val="000000"/>
                <w:sz w:val="21"/>
                <w:szCs w:val="24"/>
              </w:rPr>
              <w:t>郑重提示</w:t>
            </w:r>
            <w:r>
              <w:rPr>
                <w:rFonts w:hint="eastAsia" w:ascii="宋体" w:hAnsi="宋体" w:eastAsia="宋体" w:cs="Times New Roman"/>
                <w:b w:val="0"/>
                <w:color w:val="000000"/>
                <w:sz w:val="21"/>
                <w:szCs w:val="24"/>
              </w:rPr>
              <w:t>：</w:t>
            </w:r>
          </w:p>
          <w:p w14:paraId="758ACDC0">
            <w:pPr>
              <w:keepNext/>
              <w:keepLines/>
              <w:widowControl/>
              <w:spacing w:line="400" w:lineRule="exact" w:before="0" w:after="0"/>
              <w:ind w:firstLineChars="200" w:firstLine="0"/>
              <w:jc w:val="both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 w:val="0"/>
                <w:color w:val="000000"/>
                <w:sz w:val="21"/>
                <w:szCs w:val="24"/>
              </w:rPr>
              <w:t>1）文档雷同视作弊或文档出现校名和队名等，文档为0分，并对文档雷同的参赛队在大赛现场审核所用的参赛作品。</w:t>
            </w:r>
          </w:p>
          <w:p w14:paraId="16F9BF1F">
            <w:pPr>
              <w:keepNext w:val="0"/>
              <w:keepLines/>
              <w:widowControl/>
              <w:spacing w:line="400" w:lineRule="exact" w:before="0" w:after="0"/>
              <w:ind w:firstLineChars="200" w:firstLine="0"/>
              <w:jc w:val="both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 w:eastAsia="宋体" w:cs="Times New Roman"/>
                <w:b w:val="0"/>
                <w:color w:val="000000"/>
                <w:sz w:val="21"/>
                <w:szCs w:val="24"/>
              </w:rPr>
              <w:t>2）报告的标点符号、错别字、字号、字体、行距，以及标题、图、表和公式及引用等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4"/>
              </w:rPr>
              <w:t>排版规范</w:t>
            </w:r>
            <w:r>
              <w:rPr>
                <w:rFonts w:hint="eastAsia" w:ascii="宋体" w:hAnsi="宋体" w:eastAsia="宋体" w:cs="Times New Roman"/>
                <w:b w:val="0"/>
                <w:color w:val="000000"/>
                <w:sz w:val="21"/>
                <w:szCs w:val="24"/>
              </w:rPr>
              <w:t>影响该报告成绩，且报告排版规范分数不能高于报告内容质量分数。</w:t>
            </w:r>
            <w:bookmarkEnd w:id="1"/>
            <w:bookmarkEnd w:id="2"/>
          </w:p>
        </w:tc>
      </w:tr>
      <w:bookmarkEnd w:id="0"/>
    </w:tbl>
    <w:sectPr>
      <w:pgSz w:w="11906" w:h="16838"/>
      <w:pgMar w:top="1440" w:right="1701" w:bottom="1440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881"/>
    <w:rsid w:val="000615B0"/>
    <w:rsid w:val="00092342"/>
    <w:rsid w:val="00095B63"/>
    <w:rsid w:val="00095CAD"/>
    <w:rsid w:val="000D58EA"/>
    <w:rsid w:val="00135ED6"/>
    <w:rsid w:val="00146897"/>
    <w:rsid w:val="00161898"/>
    <w:rsid w:val="00186C94"/>
    <w:rsid w:val="002242D2"/>
    <w:rsid w:val="00237F0A"/>
    <w:rsid w:val="00307329"/>
    <w:rsid w:val="00393C0D"/>
    <w:rsid w:val="003A4D50"/>
    <w:rsid w:val="003B50B0"/>
    <w:rsid w:val="003F0E73"/>
    <w:rsid w:val="004602C1"/>
    <w:rsid w:val="0046103D"/>
    <w:rsid w:val="004765B2"/>
    <w:rsid w:val="0049010C"/>
    <w:rsid w:val="004D7881"/>
    <w:rsid w:val="005206D5"/>
    <w:rsid w:val="00616A95"/>
    <w:rsid w:val="00640AAB"/>
    <w:rsid w:val="0068699B"/>
    <w:rsid w:val="007904EB"/>
    <w:rsid w:val="007E2CB6"/>
    <w:rsid w:val="007E375E"/>
    <w:rsid w:val="0085131F"/>
    <w:rsid w:val="0086207F"/>
    <w:rsid w:val="0086269E"/>
    <w:rsid w:val="00867530"/>
    <w:rsid w:val="00886C34"/>
    <w:rsid w:val="008B42AA"/>
    <w:rsid w:val="008C43C8"/>
    <w:rsid w:val="009B07C0"/>
    <w:rsid w:val="009E7899"/>
    <w:rsid w:val="00B32994"/>
    <w:rsid w:val="00BC52F0"/>
    <w:rsid w:val="00C4208B"/>
    <w:rsid w:val="00C75C5B"/>
    <w:rsid w:val="00C82DB9"/>
    <w:rsid w:val="00CA0CDA"/>
    <w:rsid w:val="00D109BD"/>
    <w:rsid w:val="00D227DF"/>
    <w:rsid w:val="00D865E3"/>
    <w:rsid w:val="00DE0741"/>
    <w:rsid w:val="00E50986"/>
    <w:rsid w:val="00EE245F"/>
    <w:rsid w:val="00EE656B"/>
    <w:rsid w:val="00F518E1"/>
    <w:rsid w:val="00F55D86"/>
    <w:rsid w:val="00F658D6"/>
    <w:rsid w:val="00F86B49"/>
    <w:rsid w:val="02E24CF0"/>
    <w:rsid w:val="03CB4DA4"/>
    <w:rsid w:val="05431F3D"/>
    <w:rsid w:val="06E61A31"/>
    <w:rsid w:val="070D225A"/>
    <w:rsid w:val="07D35D98"/>
    <w:rsid w:val="0B5C3E34"/>
    <w:rsid w:val="0BD460C1"/>
    <w:rsid w:val="0D256DA4"/>
    <w:rsid w:val="0DBF12DD"/>
    <w:rsid w:val="0DCD0C23"/>
    <w:rsid w:val="0F5B2655"/>
    <w:rsid w:val="142B4CEC"/>
    <w:rsid w:val="1546199D"/>
    <w:rsid w:val="18C8758A"/>
    <w:rsid w:val="19EF40C6"/>
    <w:rsid w:val="1C4345D0"/>
    <w:rsid w:val="216B4EAE"/>
    <w:rsid w:val="23F61690"/>
    <w:rsid w:val="2665408D"/>
    <w:rsid w:val="292518B2"/>
    <w:rsid w:val="29AE382D"/>
    <w:rsid w:val="2AE15CAC"/>
    <w:rsid w:val="2C970D19"/>
    <w:rsid w:val="2E0E32EB"/>
    <w:rsid w:val="2F756F26"/>
    <w:rsid w:val="33694A91"/>
    <w:rsid w:val="35952ADB"/>
    <w:rsid w:val="38087999"/>
    <w:rsid w:val="3C5E79F0"/>
    <w:rsid w:val="3CC35212"/>
    <w:rsid w:val="3EE630B3"/>
    <w:rsid w:val="3F051B12"/>
    <w:rsid w:val="3F0A537A"/>
    <w:rsid w:val="3F4D34B9"/>
    <w:rsid w:val="3F593C0C"/>
    <w:rsid w:val="3FC419CD"/>
    <w:rsid w:val="41C11C6F"/>
    <w:rsid w:val="43E53CC0"/>
    <w:rsid w:val="449F4017"/>
    <w:rsid w:val="4A9F6B1E"/>
    <w:rsid w:val="4BB26B7D"/>
    <w:rsid w:val="4E0A0B52"/>
    <w:rsid w:val="521D3727"/>
    <w:rsid w:val="53C10A9E"/>
    <w:rsid w:val="53FE3BAE"/>
    <w:rsid w:val="54D05EC5"/>
    <w:rsid w:val="55901377"/>
    <w:rsid w:val="589E2AD0"/>
    <w:rsid w:val="58A92235"/>
    <w:rsid w:val="58DE39DA"/>
    <w:rsid w:val="58E73CBD"/>
    <w:rsid w:val="5D3C0A1B"/>
    <w:rsid w:val="5D867E6A"/>
    <w:rsid w:val="5DD43E37"/>
    <w:rsid w:val="5F780D7F"/>
    <w:rsid w:val="611773B4"/>
    <w:rsid w:val="68112A26"/>
    <w:rsid w:val="691D1666"/>
    <w:rsid w:val="6AD30254"/>
    <w:rsid w:val="6C47643F"/>
    <w:rsid w:val="6D3C6797"/>
    <w:rsid w:val="6DB8406F"/>
    <w:rsid w:val="70F353BF"/>
    <w:rsid w:val="73EA0CFB"/>
    <w:rsid w:val="74314EF6"/>
    <w:rsid w:val="75BC4DB1"/>
    <w:rsid w:val="75EF25F8"/>
    <w:rsid w:val="77260FFF"/>
    <w:rsid w:val="79885A90"/>
    <w:rsid w:val="7B14505B"/>
    <w:rsid w:val="7B1D19B6"/>
    <w:rsid w:val="7BC72392"/>
    <w:rsid w:val="7CDC06F7"/>
    <w:rsid w:val="7F52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Rule="exact" w:line="400" w:before="0" w:after="0"/>
      <w:jc w:val="both"/>
    </w:pPr>
    <w:rPr>
      <w:rFonts w:asciiTheme="minorHAnsi" w:hAnsiTheme="minorHAnsi" w:eastAsiaTheme="minorEastAsia" w:cstheme="minorBidi" w:ascii="宋体" w:hAnsi="宋体" w:eastAsia="宋体"/>
      <w:color w:val="000000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left="442" w:hanging="442" w:hangingChars="100"/>
    </w:pPr>
    <w:rPr>
      <w:rFonts w:ascii="Times New Roman" w:hAnsi="Times New Roman" w:eastAsia="仿宋_GB2312" w:cs="Times New Roman"/>
      <w:b/>
      <w:bCs/>
      <w:sz w:val="44"/>
      <w:szCs w:val="24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 2"/>
    <w:basedOn w:val="2"/>
    <w:next w:val="1"/>
    <w:qFormat/>
    <w:uiPriority w:val="0"/>
    <w:pPr>
      <w:spacing w:after="0" w:line="240" w:lineRule="auto"/>
      <w:ind w:left="0" w:leftChars="0" w:firstLine="420" w:firstLineChars="200"/>
    </w:p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_Style 23"/>
    <w:basedOn w:val="2"/>
    <w:next w:val="1"/>
    <w:qFormat/>
    <w:uiPriority w:val="0"/>
    <w:pPr>
      <w:ind w:left="0" w:firstLine="420" w:firstLineChars="200"/>
    </w:pPr>
  </w:style>
  <w:style w:type="paragraph" w:customStyle="1" w:styleId="Title">
    <w:name w:val="Title"/>
    <w:pPr>
      <w:spacing w:lineRule="exact" w:line="400" w:before="0" w:after="0"/>
    </w:pPr>
    <w:rPr>
      <w:rFonts w:ascii="宋体" w:hAnsi="宋体" w:eastAsia="宋体"/>
      <w:color w:val="000000"/>
      <w:sz w:val="21"/>
    </w:rPr>
  </w:style>
  <w:style w:type="paragraph" w:customStyle="1" w:styleId="Heading1">
    <w:name w:val="heading 1"/>
    <w:pPr>
      <w:spacing w:lineRule="exact" w:line="400" w:before="0" w:after="0"/>
    </w:pPr>
    <w:rPr>
      <w:rFonts w:ascii="宋体" w:hAnsi="宋体" w:eastAsia="宋体"/>
      <w:color w:val="000000"/>
      <w:sz w:val="21"/>
    </w:rPr>
  </w:style>
  <w:style w:type="paragraph" w:customStyle="1" w:styleId="Heading2">
    <w:name w:val="heading 2"/>
    <w:pPr>
      <w:spacing w:lineRule="exact" w:line="400" w:before="0" w:after="0"/>
    </w:pPr>
    <w:rPr>
      <w:rFonts w:ascii="宋体" w:hAnsi="宋体" w:eastAsia="宋体"/>
      <w:color w:val="000000"/>
      <w:sz w:val="21"/>
    </w:rPr>
  </w:style>
  <w:style w:type="paragraph" w:customStyle="1" w:styleId="Caption">
    <w:name w:val="caption"/>
    <w:pPr>
      <w:spacing w:lineRule="exact" w:line="400" w:before="0" w:after="0"/>
    </w:pPr>
    <w:rPr>
      <w:rFonts w:ascii="宋体" w:hAnsi="宋体" w:eastAsia="宋体"/>
      <w:color w:val="000000"/>
      <w:sz w:val="21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1.jp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2181</Words>
  <Characters>2236</Characters>
  <Lines>17</Lines>
  <Paragraphs>4</Paragraphs>
  <TotalTime>2</TotalTime>
  <ScaleCrop>false</ScaleCrop>
  <LinksUpToDate>false</LinksUpToDate>
  <CharactersWithSpaces>2293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2024-09-11T13:20:00Z</dcterms:created>
  <dc:creator/>
  <cp:lastModifiedBy/>
  <dcterms:modified xsi:type="dcterms:W3CDTF">2026-10-13T11:29:25Z</dcterms:modified>
  <cp:revision>23</cp:revision>
  <dc:title>几何物块视觉识别与自动分拣系统作品说明书</dc:title>
  <dc:subject>智能分拣作品说明书</dc:subject>
  <cp:keywords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eyJoZGlkIjoiZDk5NDMxMDY0Y2RlMTI0NmM0ODBiMWQzYmMwYjdjNzYiLCJ1c2VySWQiOiIyNTEyOTkzNyJ9</vt:lpwstr>
  </property>
  <property fmtid="{D5CDD505-2E9C-101B-9397-08002B2CF9AE}" pid="3" name="KSOProductBuildVer">
    <vt:lpwstr>2052-12.1.0.28802</vt:lpwstr>
  </property>
  <property fmtid="{D5CDD505-2E9C-101B-9397-08002B2CF9AE}" pid="4" name="ICV">
    <vt:lpwstr>4F1CE49630F14CF5A0898B2395B2DE69_13</vt:lpwstr>
  </property>
</Properties>
</file>